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52"/>
          <w:szCs w:val="52"/>
        </w:rPr>
        <w:t xml:space="preserve">BSFL Farm — Defence Engagement and Social Workforce Strategy</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Supplement to Speculative Opportunities document  |  Defence network advantage  |  Graduated workforce integration model</w:t>
      </w:r>
    </w:p>
    <w:p>
      <w:r>
        <w:t xml:space="preserve"/>
      </w:r>
    </w:p>
    <w:p>
      <w:pPr>
        <w:pStyle w:val="Heading2"/>
      </w:pPr>
      <w:r>
        <w:t xml:space="preserve">Context and revised probability weights</w:t>
      </w:r>
    </w:p>
    <w:p>
      <w:pPr>
        <w:spacing w:after="100"/>
      </w:pPr>
      <w:r>
        <w:rPr>
          <w:rFonts w:ascii="Arial" w:cs="Arial" w:eastAsia="Arial" w:hAnsi="Arial"/>
          <w:sz w:val="24"/>
          <w:szCs w:val="24"/>
        </w:rPr>
        <w:t xml:space="preserve">The original Speculative Opportunities document assessed the defence and government procurement opportunity at $184,500-$828,000 expected value over 10 years, based on a cold-contact assumption. That assessment assumed the primary barrier was access — getting in front of the right people in a procurement culture that is closed to outsiders.</w:t>
      </w:r>
    </w:p>
    <w:p>
      <w:pPr>
        <w:spacing w:after="100"/>
      </w:pPr>
      <w:r>
        <w:rPr>
          <w:rFonts w:ascii="Arial" w:cs="Arial" w:eastAsia="Arial" w:hAnsi="Arial"/>
          <w:sz w:val="24"/>
          <w:szCs w:val="24"/>
        </w:rPr>
        <w:t xml:space="preserve">The revised assessment applies to someone with a former Air Force background and active contacts on both the serving and industry sides of ADF procurement. The access barrier is largely removed. The remaining barriers are: identifying which specific problem your operation solves, finding the internal champion who is already working on that problem, and navigating the procurement pathway once the champion is identified. None of these are insurmountable and all of them are accelerated significantly by warm introductions.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026"/>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Cold-contact probability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Revised probability (network advantage)</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 revision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protocol licensing to emergency planners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+$7,000-28,000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D1+D2 — supply shock triggers domestic protein program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+$43,750-175,000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D3 — formal government food security contract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+$90,000-450,000</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Revised total expected value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$184,500-$828,000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$325,000-$1,481,000</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+$140,500-$653,000</w:t>
            </w:r>
          </w:p>
        </w:tc>
      </w:tr>
    </w:tbl>
    <w:p>
      <w:r>
        <w:t xml:space="preserve"/>
      </w:r>
    </w:p>
    <w:p>
      <w:r>
        <w:br w:type="page"/>
      </w:r>
    </w:p>
    <w:p>
      <w:pPr>
        <w:pStyle w:val="Heading1"/>
      </w:pPr>
      <w:r>
        <w:t xml:space="preserve">Part 1 — Defence and Government Procurement Strategy</w:t>
      </w:r>
    </w:p>
    <w:p>
      <w:r>
        <w:t xml:space="preserve"/>
      </w:r>
    </w:p>
    <w:p>
      <w:pPr>
        <w:pStyle w:val="Heading2"/>
      </w:pPr>
      <w:r>
        <w:t xml:space="preserve">1A — Understanding where the real problem sits</w:t>
      </w:r>
    </w:p>
    <w:p>
      <w:pPr>
        <w:spacing w:after="100"/>
      </w:pPr>
      <w:r>
        <w:rPr>
          <w:rFonts w:ascii="Arial" w:cs="Arial" w:eastAsia="Arial" w:hAnsi="Arial"/>
          <w:sz w:val="24"/>
          <w:szCs w:val="24"/>
        </w:rPr>
        <w:t xml:space="preserve">Before approaching any contact, it is worth being precise about which problem you are solving. The ADF has several distinct food-related challenges and BSFL bioconversion is relevant to some but not all of them. Pitching to the wrong problem owner is the most common reason good ideas get lost in defence procurement.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Who owns it</w:t>
            </w:r>
          </w:p>
        </w:tc>
        <w:tc>
          <w:tcPr>
            <w:tcW w:type="dxa" w:w="3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BSFL relevance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 operating base food security — producing protein in remote or austere environments without supply chain dependence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Army Engineering, Joint Logistics Command, DST Group Food and Nutrition program</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BSFL can operate on virtually any organic waste stream, in a controlled environment, with minimal footprint. This is precisely the problem that has driven US and European military insect protein research.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Disaster response food security — feeding displaced populations during natural disasters when supply chains are disrupted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Management Australia, State Emergency Services, Australian Civil-Military Centre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A portable, documented BSFL protocol that can be operated by non-specialists in a temporary structure is a genuine capability gap in current Australian disaster response planning.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Waste management on bases and in deployed environments — organic waste disposal is a significant logistical burden in deployed operations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Defence Base Services, Garrison Support, Joint Logistics Command</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BSFL bioconversion converts organic waste to protein and frass, eliminating the waste problem while producing a useful output. The waste management angle may be an easier procurement entry point than the protein production angle.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Aquaculture feed for ADF-operated fisheries programs — several remote ADF facilities run aquaculture programs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Navy, regional base commanders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Dried BSFL as a domestic fish meal substitute for ADF-operated aquaculture is a specific and tractable procurement problem with an existing budget line.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ration supply — feeding personnel on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Defence Catering Group, CASG (Capability Acquisition and Sustainment Group)</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currently. Human consumption approval is not yet in place. Not a near-term opportunity.</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The forward operating base food security angle and the disaster response angle are the highest-relevance problems and the ones most likely to have an active internal champion in DST Group or Army Engineering. The waste management angle is lower-profile but may have a shorter procurement pathway because it is a service rather than a novel food product — it does not require TGA or FSANZ approval to procure waste processing services.</w:t>
      </w:r>
    </w:p>
    <w:p>
      <w:r>
        <w:t xml:space="preserve"/>
      </w:r>
    </w:p>
    <w:p>
      <w:pPr>
        <w:pStyle w:val="Heading2"/>
      </w:pPr>
      <w:r>
        <w:t xml:space="preserve">1B — The intelligence-gathering conversation</w:t>
      </w:r>
    </w:p>
    <w:p>
      <w:pPr>
        <w:spacing w:after="100"/>
      </w:pPr>
      <w:r>
        <w:rPr>
          <w:rFonts w:ascii="Arial" w:cs="Arial" w:eastAsia="Arial" w:hAnsi="Arial"/>
          <w:sz w:val="24"/>
          <w:szCs w:val="24"/>
        </w:rPr>
        <w:t xml:space="preserve">The first use of your defence contacts is not to pitch your operation. It is to gather intelligence about which problem is currently being actively worked on, who is working on it, and what stage the internal conversation has reached. This is standard defence industry practice and your contacts will understand the framing immediately.</w:t>
      </w:r>
    </w:p>
    <w:p>
      <w:r>
        <w:t xml:space="preserve"/>
      </w:r>
    </w:p>
    <w:p>
      <w:pPr>
        <w:pStyle w:val="Heading3"/>
      </w:pPr>
      <w:r>
        <w:t xml:space="preserve">The questions worth asking currently serving contacts</w:t>
      </w:r>
    </w:p>
    <w:p>
      <w:pPr>
        <w:pStyle w:val="ListParagraph"/>
        <w:numPr>
          <w:ilvl w:val="0"/>
          <w:numId w:val="2"/>
        </w:numPr>
      </w:pPr>
      <w:r>
        <w:rPr>
          <w:rFonts w:ascii="Arial" w:cs="Arial" w:eastAsia="Arial" w:hAnsi="Arial"/>
          <w:sz w:val="22"/>
          <w:szCs w:val="22"/>
        </w:rPr>
        <w:t xml:space="preserve">Is there currently an active program, working group, or research contract in DST Group or Joint Logistics Command looking at insect protein or alternative protein for forward operating bases or disaster response?</w:t>
      </w:r>
    </w:p>
    <w:p>
      <w:pPr>
        <w:pStyle w:val="ListParagraph"/>
        <w:numPr>
          <w:ilvl w:val="0"/>
          <w:numId w:val="2"/>
        </w:numPr>
      </w:pPr>
      <w:r>
        <w:rPr>
          <w:rFonts w:ascii="Arial" w:cs="Arial" w:eastAsia="Arial" w:hAnsi="Arial"/>
          <w:sz w:val="22"/>
          <w:szCs w:val="22"/>
        </w:rPr>
        <w:t xml:space="preserve">Has the ADF engaged with any domestic insect protein producers or researchers in the past 12-24 months?</w:t>
      </w:r>
    </w:p>
    <w:p>
      <w:pPr>
        <w:pStyle w:val="ListParagraph"/>
        <w:numPr>
          <w:ilvl w:val="0"/>
          <w:numId w:val="2"/>
        </w:numPr>
      </w:pPr>
      <w:r>
        <w:rPr>
          <w:rFonts w:ascii="Arial" w:cs="Arial" w:eastAsia="Arial" w:hAnsi="Arial"/>
          <w:sz w:val="22"/>
          <w:szCs w:val="22"/>
        </w:rPr>
        <w:t xml:space="preserve">What is the current process for a small agricultural producer to engage with a relevant research or procurement team — is there a Small Business Engagement program, an innovation portal, or a preferred introduction pathway?</w:t>
      </w:r>
    </w:p>
    <w:p>
      <w:pPr>
        <w:pStyle w:val="ListParagraph"/>
        <w:numPr>
          <w:ilvl w:val="0"/>
          <w:numId w:val="2"/>
        </w:numPr>
      </w:pPr>
      <w:r>
        <w:rPr>
          <w:rFonts w:ascii="Arial" w:cs="Arial" w:eastAsia="Arial" w:hAnsi="Arial"/>
          <w:sz w:val="22"/>
          <w:szCs w:val="22"/>
        </w:rPr>
        <w:t xml:space="preserve">Is the primary driver currently operational (a felt capability gap) or research-driven (an exploratory program)? The answer changes who the right first contact is.</w:t>
      </w:r>
    </w:p>
    <w:p>
      <w:r>
        <w:t xml:space="preserve"/>
      </w:r>
    </w:p>
    <w:p>
      <w:pPr>
        <w:pStyle w:val="Heading3"/>
      </w:pPr>
      <w:r>
        <w:t xml:space="preserve">The questions worth asking industry-side contacts</w:t>
      </w:r>
    </w:p>
    <w:p>
      <w:pPr>
        <w:pStyle w:val="ListParagraph"/>
        <w:numPr>
          <w:ilvl w:val="0"/>
          <w:numId w:val="2"/>
        </w:numPr>
      </w:pPr>
      <w:r>
        <w:rPr>
          <w:rFonts w:ascii="Arial" w:cs="Arial" w:eastAsia="Arial" w:hAnsi="Arial"/>
          <w:sz w:val="22"/>
          <w:szCs w:val="22"/>
        </w:rPr>
        <w:t xml:space="preserve">Which prime contractors are currently active in ADF food security, base services, or logistics? The most likely pathway to a government contract at small operator scale is as a domestic supplier to a prime, not as a direct government vendor.</w:t>
      </w:r>
    </w:p>
    <w:p>
      <w:pPr>
        <w:pStyle w:val="ListParagraph"/>
        <w:numPr>
          <w:ilvl w:val="0"/>
          <w:numId w:val="2"/>
        </w:numPr>
      </w:pPr>
      <w:r>
        <w:rPr>
          <w:rFonts w:ascii="Arial" w:cs="Arial" w:eastAsia="Arial" w:hAnsi="Arial"/>
          <w:sz w:val="22"/>
          <w:szCs w:val="22"/>
        </w:rPr>
        <w:t xml:space="preserve">Is there an active tender or upcoming opportunity in base services, organic waste management, or food security that a BSFL producer could participate in as a subcontractor or supplier?</w:t>
      </w:r>
    </w:p>
    <w:p>
      <w:pPr>
        <w:pStyle w:val="ListParagraph"/>
        <w:numPr>
          <w:ilvl w:val="0"/>
          <w:numId w:val="2"/>
        </w:numPr>
      </w:pPr>
      <w:r>
        <w:rPr>
          <w:rFonts w:ascii="Arial" w:cs="Arial" w:eastAsia="Arial" w:hAnsi="Arial"/>
          <w:sz w:val="22"/>
          <w:szCs w:val="22"/>
        </w:rPr>
        <w:t xml:space="preserve">What certifications, compliance documents, or insurance levels would be required to qualify as a supplier to a defence prime in a food or waste management context?</w:t>
      </w:r>
    </w:p>
    <w:p>
      <w:r>
        <w:t xml:space="preserve"/>
      </w:r>
    </w:p>
    <w:p>
      <w:pPr>
        <w:pBdr>
          <w:left w:val="single" w:color="E8A000" w:sz="12"/>
        </w:pBdr>
        <w:spacing w:after="80" w:before="80"/>
        <w:ind w:left="360"/>
      </w:pPr>
      <w:r>
        <w:rPr>
          <w:rFonts w:ascii="Arial" w:cs="Arial" w:eastAsia="Arial" w:hAnsi="Arial"/>
          <w:color w:val="7A4500"/>
          <w:sz w:val="22"/>
          <w:szCs w:val="22"/>
        </w:rPr>
        <w:t xml:space="preserve">CAUTION: Do not pitch the full vision in intelligence-gathering conversations. The purpose is to understand the landscape, not to sell. A premature pitch before you know who the right person is and what problem they are trying to solve creates an impression of a founder looking for a buyer rather than a producer solving a real problem. Reserve the pitch for when the intelligence tells you exactly who to talk to and what they need.</w:t>
      </w:r>
    </w:p>
    <w:p>
      <w:r>
        <w:t xml:space="preserve"/>
      </w:r>
    </w:p>
    <w:p>
      <w:pPr>
        <w:pStyle w:val="Heading2"/>
      </w:pPr>
      <w:r>
        <w:t xml:space="preserve">1C — The three realistic pathways to ADF revenue</w:t>
      </w:r>
    </w:p>
    <w:p>
      <w:r>
        <w:t xml:space="preserve"/>
      </w:r>
    </w:p>
    <w:p>
      <w:pPr>
        <w:pStyle w:val="Heading3"/>
      </w:pPr>
      <w:r>
        <w:t xml:space="preserve">Pathway 1 — Research collaboration with DST Group</w:t>
      </w:r>
    </w:p>
    <w:p>
      <w:pPr>
        <w:spacing w:after="100"/>
      </w:pPr>
      <w:r>
        <w:rPr>
          <w:rFonts w:ascii="Arial" w:cs="Arial" w:eastAsia="Arial" w:hAnsi="Arial"/>
          <w:sz w:val="24"/>
          <w:szCs w:val="24"/>
        </w:rPr>
        <w:t xml:space="preserve">DST Group (Defence Science and Technology) regularly funds small research collaborations with industry partners through the Defence Innovation Hub and the Next Generation Technologies Fund. A collaboration grant for validating BSFL bioconversion for forward operating base food security would be worth $50,000-500,000 and would generate the independently validated data that makes your protocol credible to international military buyers as well as domestic commercial licensees.</w:t>
      </w:r>
    </w:p>
    <w:p>
      <w:pPr>
        <w:spacing w:after="100"/>
      </w:pPr>
      <w:r>
        <w:rPr>
          <w:rFonts w:ascii="Arial" w:cs="Arial" w:eastAsia="Arial" w:hAnsi="Arial"/>
          <w:sz w:val="24"/>
          <w:szCs w:val="24"/>
        </w:rPr>
        <w:t xml:space="preserve">The entry point is a Defence Innovation Hub Expression of Interest. These are assessed on: relevance to a defence capability need (high for food security), maturity of the technology (moderate — your operation will have 6-12 months of yield data by the time an application is ready), and the capability of the applicant. Your biological sciences and management background combined with a former Air Force connection is a stronger application profile than most small agtech operators can present.</w:t>
      </w:r>
    </w:p>
    <w:p>
      <w:pPr>
        <w:pBdr>
          <w:left w:val="single" w:color="2E7D32" w:sz="12"/>
        </w:pBdr>
        <w:spacing w:after="80" w:before="80"/>
        <w:ind w:left="360"/>
      </w:pPr>
      <w:r>
        <w:rPr>
          <w:rFonts w:ascii="Arial" w:cs="Arial" w:eastAsia="Arial" w:hAnsi="Arial"/>
          <w:color w:val="1B5E20"/>
          <w:sz w:val="22"/>
          <w:szCs w:val="22"/>
        </w:rPr>
        <w:t xml:space="preserve">ACTION: Check the Defence Innovation Hub portal at business.defence.gov.au/innovation for currently open challenge rounds. Rounds are published irregularly. Subscribe to notifications. When a food security, logistics, or sustainability challenge opens, your operation is one of the few domestic producers with the documentation infrastructure to submit a credible response.</w:t>
      </w:r>
    </w:p>
    <w:p>
      <w:r>
        <w:t xml:space="preserve"/>
      </w:r>
    </w:p>
    <w:p>
      <w:pPr>
        <w:pStyle w:val="Heading3"/>
      </w:pPr>
      <w:r>
        <w:t xml:space="preserve">Pathway 2 — Subcontractor to a defence prime in base services</w:t>
      </w:r>
    </w:p>
    <w:p>
      <w:pPr>
        <w:spacing w:after="100"/>
      </w:pPr>
      <w:r>
        <w:rPr>
          <w:rFonts w:ascii="Arial" w:cs="Arial" w:eastAsia="Arial" w:hAnsi="Arial"/>
          <w:sz w:val="24"/>
          <w:szCs w:val="24"/>
        </w:rPr>
        <w:t xml:space="preserve">ADF bases generate significant volumes of organic waste from catering operations. Base services contracts — held by primes including Broadspectrum, Sodexo, and Spotless — include waste management as a component. A BSFL producer offering to collect organic waste from an ADF base, convert it, and return the frass as a soil amendment is a waste management service that fits within an existing contract structure.</w:t>
      </w:r>
    </w:p>
    <w:p>
      <w:pPr>
        <w:spacing w:after="100"/>
      </w:pPr>
      <w:r>
        <w:rPr>
          <w:rFonts w:ascii="Arial" w:cs="Arial" w:eastAsia="Arial" w:hAnsi="Arial"/>
          <w:sz w:val="24"/>
          <w:szCs w:val="24"/>
        </w:rPr>
        <w:t xml:space="preserve">The commercial model is: you collect waste (tipping fee income), you process it, you sell the outputs (larvae and frass). The prime contractor benefits from an improved waste diversion metric that counts toward their environmental performance KPIs under the base services contract. You benefit from a reliable, high-volume waste stream that is consistent in composition — ADF catering waste is more homogeneous than café waste, which simplifies substrate management.</w:t>
      </w:r>
    </w:p>
    <w:p>
      <w:pPr>
        <w:spacing w:after="100"/>
      </w:pPr>
      <w:r>
        <w:rPr>
          <w:rFonts w:ascii="Arial" w:cs="Arial" w:eastAsia="Arial" w:hAnsi="Arial"/>
          <w:sz w:val="24"/>
          <w:szCs w:val="24"/>
        </w:rPr>
        <w:t xml:space="preserve">The procurement pathway is not a direct government tender — it is a commercial conversation with the prime's base services manager about a waste diversion subcontract. This is a significantly shorter and less complex pathway than direct government procurement.</w:t>
      </w:r>
    </w:p>
    <w:p>
      <w:pPr>
        <w:pBdr>
          <w:left w:val="single" w:color="2E7D32" w:sz="12"/>
        </w:pBdr>
        <w:spacing w:after="80" w:before="80"/>
        <w:ind w:left="360"/>
      </w:pPr>
      <w:r>
        <w:rPr>
          <w:rFonts w:ascii="Arial" w:cs="Arial" w:eastAsia="Arial" w:hAnsi="Arial"/>
          <w:color w:val="1B5E20"/>
          <w:sz w:val="22"/>
          <w:szCs w:val="22"/>
        </w:rPr>
        <w:t xml:space="preserve">ACTION: Ask your industry-side contacts which prime currently holds the base services contract for RAAF Base Amberley (30 minutes from the Lockyer Valley) or Oakey Army Aviation Centre (60 minutes). Amberley has approximately 5,000 personnel and generates substantial organic waste from catering operations. A waste collection and conversion arrangement with the base services prime is a concrete, near-term opportunity that does not require any novel food approval or research program.</w:t>
      </w:r>
    </w:p>
    <w:p>
      <w:r>
        <w:t xml:space="preserve"/>
      </w:r>
    </w:p>
    <w:p>
      <w:pPr>
        <w:pStyle w:val="Heading3"/>
      </w:pPr>
      <w:r>
        <w:t xml:space="preserve">Pathway 3 — Emergency management protocol licensing</w:t>
      </w:r>
    </w:p>
    <w:p>
      <w:pPr>
        <w:spacing w:after="100"/>
      </w:pPr>
      <w:r>
        <w:rPr>
          <w:rFonts w:ascii="Arial" w:cs="Arial" w:eastAsia="Arial" w:hAnsi="Arial"/>
          <w:sz w:val="24"/>
          <w:szCs w:val="24"/>
        </w:rPr>
        <w:t xml:space="preserve">This is the pathway with the shortest timeline under normal conditions and the highest upside under doomer conditions. Emergency Management Australia, the Queensland Disaster Management Arrangements, and local government emergency planning teams are actively developing food security protocols for disaster response. A documented, portable BSFL bioconversion protocol that can be operated in a temporary structure by non-specialists using local waste streams is a genuine capability addition to disaster response planning.</w:t>
      </w:r>
    </w:p>
    <w:p>
      <w:pPr>
        <w:spacing w:after="100"/>
      </w:pPr>
      <w:r>
        <w:rPr>
          <w:rFonts w:ascii="Arial" w:cs="Arial" w:eastAsia="Arial" w:hAnsi="Arial"/>
          <w:sz w:val="24"/>
          <w:szCs w:val="24"/>
        </w:rPr>
        <w:t xml:space="preserve">The commercial model is a protocol license — you provide the documented operating procedure, initial training, a starter colony, and ongoing technical support. The emergency management authority pays a license fee and an annual support retainer. The protocol is deployed as a pre-positioned capability at strategic locations — regional emergency management facilities, major evacuation centres, or remote community resource hubs.</w:t>
      </w:r>
    </w:p>
    <w:p>
      <w:pPr>
        <w:spacing w:after="100"/>
      </w:pPr>
      <w:r>
        <w:rPr>
          <w:rFonts w:ascii="Arial" w:cs="Arial" w:eastAsia="Arial" w:hAnsi="Arial"/>
          <w:sz w:val="24"/>
          <w:szCs w:val="24"/>
        </w:rPr>
        <w:t xml:space="preserve">This is where the corrective services and rehabilitation program workforce model (Part 2 of this document) intersects with the defence and emergency management angle in an interesting way. A BSFL protocol operated by trained community service workers at an emergency management facility creates a dual-purpose asset: normal-conditions vocational training, disaster-conditions food production. This combination is significantly more grant-fundable than either component alone.</w:t>
      </w:r>
    </w:p>
    <w:p>
      <w:r>
        <w:t xml:space="preserve"/>
      </w:r>
    </w:p>
    <w:p>
      <w:pPr>
        <w:pStyle w:val="Heading2"/>
      </w:pPr>
      <w:r>
        <w:t xml:space="preserve">1D — Revised expected value with network advantage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2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Pathway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Normal 10yr value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Doomer 10yr value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Revised probability</w:t>
            </w:r>
          </w:p>
        </w:tc>
        <w:tc>
          <w:tcPr>
            <w:tcW w:type="dxa" w:w="2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DST Group research collaboration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$50,000-500,000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$100,000-1,000,000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(network access)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$52,500-542,500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services subcontract — Amberley or Oakey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$30,000-80,000/yr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$50,000-120,000/yr (waste volume increases in disruption)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(near-term, commercial pathway)</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$135,000-360,000 over 10yr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management protocol licensing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$20,000-100,000/yr from yr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$80,000-400,000/yr under D3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normal + 25% D3 uplift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$112,000-560,000 over 10yr</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revised expected value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$299,500-$1,462,500</w:t>
            </w:r>
          </w:p>
        </w:tc>
      </w:tr>
    </w:tbl>
    <w:p>
      <w:r>
        <w:t xml:space="preserve"/>
      </w:r>
    </w:p>
    <w:p>
      <w:r>
        <w:br w:type="page"/>
      </w:r>
    </w:p>
    <w:p>
      <w:pPr>
        <w:pStyle w:val="Heading1"/>
      </w:pPr>
      <w:r>
        <w:t xml:space="preserve">Part 2 — Social Workforce Integration Strategy</w:t>
      </w:r>
    </w:p>
    <w:p>
      <w:r>
        <w:t xml:space="preserve"/>
      </w:r>
    </w:p>
    <w:p>
      <w:pPr>
        <w:pStyle w:val="Heading2"/>
      </w:pPr>
      <w:r>
        <w:t xml:space="preserve">2A — The graduated integration model</w:t>
      </w:r>
    </w:p>
    <w:p>
      <w:pPr>
        <w:spacing w:after="100"/>
      </w:pPr>
      <w:r>
        <w:rPr>
          <w:rFonts w:ascii="Arial" w:cs="Arial" w:eastAsia="Arial" w:hAnsi="Arial"/>
          <w:sz w:val="24"/>
          <w:szCs w:val="24"/>
        </w:rPr>
        <w:t xml:space="preserve">The model designed here sits between two extremes: an informal ad-hoc arrangement (insufficient structure to access wage subsidies or grants) and a full social enterprise with dedicated case management staff (too complex for Stage 1). The graduated integration model is a formal but lightweight partnership with a single referral organisation, structured around clear role tiers and documented progression criteria.</w:t>
      </w:r>
    </w:p>
    <w:p>
      <w:r>
        <w:t xml:space="preserve"/>
      </w:r>
    </w:p>
    <w:p>
      <w:pPr>
        <w:pStyle w:val="Heading3"/>
      </w:pPr>
      <w:r>
        <w:t xml:space="preserve">The workforce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426"/>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 description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Eligibility</w:t>
            </w:r>
          </w:p>
        </w:tc>
        <w:tc>
          <w:tcPr>
            <w:tcW w:type="dxa" w:w="3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Documentation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preparation, receiving bay inspection, packaging, basic daily checks under supervision. No technical decision-making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Disadvantaged or marginalised workers referred by partner organisation. No experience required.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attendance record. Task completion log. Batch tracking entries attributed to worker.</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daily rounds, harvest collection, frass processing, IBC cleaning and reload. Makes operational decisions within defined parameters.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 tier completed with satisfactory performance over minimum 8 weeks. Demonstrated reliable attendance.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records signed off independently. Performance review at 8 weeks. Progression record in worker file.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management, substrate moisture assessment, quality control decisions, training entry-tier workers. Operates independently on all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Developing tier completed over minimum 16 weeks. Demonstrated technical judgement.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batch records. Quality release sign-off capability. Potential employment reference for external opportunities.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hire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employment alongside social workforce. Hired for technical competence. Works across all tiers.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commercial recruitment.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employment records.</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The tier structure serves three purposes simultaneously: it gives workers a clear progression pathway with observable milestones, it gives you a documented competency record that protects you if a worker performs poorly or leaves suddenly, and it gives the referral organisation the evidence they need to report program outcomes to their own funders.</w:t>
      </w:r>
    </w:p>
    <w:p>
      <w:r>
        <w:t xml:space="preserve"/>
      </w:r>
    </w:p>
    <w:p>
      <w:pPr>
        <w:pStyle w:val="Heading2"/>
      </w:pPr>
      <w:r>
        <w:t xml:space="preserve">2B — Selecting the referral organisation</w:t>
      </w:r>
    </w:p>
    <w:p>
      <w:pPr>
        <w:spacing w:after="100"/>
      </w:pPr>
      <w:r>
        <w:rPr>
          <w:rFonts w:ascii="Arial" w:cs="Arial" w:eastAsia="Arial" w:hAnsi="Arial"/>
          <w:sz w:val="24"/>
          <w:szCs w:val="24"/>
        </w:rPr>
        <w:t xml:space="preserve">The referral organisation is the keystone of the model. They handle case management, welfare support, transport barriers, and the social complexity that would otherwise land on you. You handle the work environment, the technical training, and the commercial operation. The division of labour is clean and each party does what they are best at.</w:t>
      </w:r>
    </w:p>
    <w:p>
      <w:r>
        <w:t xml:space="preserve"/>
      </w:r>
    </w:p>
    <w:p>
      <w:pPr>
        <w:pStyle w:val="Heading3"/>
      </w:pPr>
      <w:r>
        <w:t xml:space="preserve">Criteria for a good referral partner</w:t>
      </w:r>
    </w:p>
    <w:p>
      <w:pPr>
        <w:pStyle w:val="ListParagraph"/>
        <w:numPr>
          <w:ilvl w:val="0"/>
          <w:numId w:val="2"/>
        </w:numPr>
      </w:pPr>
      <w:r>
        <w:rPr>
          <w:rFonts w:ascii="Arial" w:cs="Arial" w:eastAsia="Arial" w:hAnsi="Arial"/>
          <w:sz w:val="22"/>
          <w:szCs w:val="22"/>
        </w:rPr>
        <w:t xml:space="preserve">Located in the Lockyer Valley or Toowoomba corridor — transport to a remote farm is already a barrier for disadvantaged workers and the partner needs to be able to support this</w:t>
      </w:r>
    </w:p>
    <w:p>
      <w:pPr>
        <w:pStyle w:val="ListParagraph"/>
        <w:numPr>
          <w:ilvl w:val="0"/>
          <w:numId w:val="2"/>
        </w:numPr>
      </w:pPr>
      <w:r>
        <w:rPr>
          <w:rFonts w:ascii="Arial" w:cs="Arial" w:eastAsia="Arial" w:hAnsi="Arial"/>
          <w:sz w:val="22"/>
          <w:szCs w:val="22"/>
        </w:rPr>
        <w:t xml:space="preserve">Already running employment programs — not a welfare organisation that has never placed workers in agricultural settings</w:t>
      </w:r>
    </w:p>
    <w:p>
      <w:pPr>
        <w:pStyle w:val="ListParagraph"/>
        <w:numPr>
          <w:ilvl w:val="0"/>
          <w:numId w:val="2"/>
        </w:numPr>
      </w:pPr>
      <w:r>
        <w:rPr>
          <w:rFonts w:ascii="Arial" w:cs="Arial" w:eastAsia="Arial" w:hAnsi="Arial"/>
          <w:sz w:val="22"/>
          <w:szCs w:val="22"/>
        </w:rPr>
        <w:t xml:space="preserve">Funded independently — their fees and case management costs should not fall on you in Phase 1</w:t>
      </w:r>
    </w:p>
    <w:p>
      <w:pPr>
        <w:pStyle w:val="ListParagraph"/>
        <w:numPr>
          <w:ilvl w:val="0"/>
          <w:numId w:val="2"/>
        </w:numPr>
      </w:pPr>
      <w:r>
        <w:rPr>
          <w:rFonts w:ascii="Arial" w:cs="Arial" w:eastAsia="Arial" w:hAnsi="Arial"/>
          <w:sz w:val="22"/>
          <w:szCs w:val="22"/>
        </w:rPr>
        <w:t xml:space="preserve">Willing to provide a dedicated coordinator who is the single point of contact for any workforce issues — you do not manage welfare cases directly</w:t>
      </w:r>
    </w:p>
    <w:p>
      <w:pPr>
        <w:pStyle w:val="ListParagraph"/>
        <w:numPr>
          <w:ilvl w:val="0"/>
          <w:numId w:val="2"/>
        </w:numPr>
      </w:pPr>
      <w:r>
        <w:rPr>
          <w:rFonts w:ascii="Arial" w:cs="Arial" w:eastAsia="Arial" w:hAnsi="Arial"/>
          <w:sz w:val="22"/>
          <w:szCs w:val="22"/>
        </w:rPr>
        <w:t xml:space="preserve">Track record of honest communication about worker readiness — a partner who places unsuitable workers to meet their own placement targets is worse than no partner</w:t>
      </w:r>
    </w:p>
    <w:p>
      <w:r>
        <w:t xml:space="preserve"/>
      </w:r>
    </w:p>
    <w:p>
      <w:pPr>
        <w:pStyle w:val="Heading3"/>
      </w:pPr>
      <w:r>
        <w:t xml:space="preserve">Likely candidates in the Lockyer Valley and Toowoomba area</w:t>
      </w:r>
    </w:p>
    <w:p>
      <w:pPr>
        <w:pStyle w:val="ListParagraph"/>
        <w:numPr>
          <w:ilvl w:val="0"/>
          <w:numId w:val="2"/>
        </w:numPr>
      </w:pPr>
      <w:r>
        <w:rPr>
          <w:rFonts w:ascii="Arial" w:cs="Arial" w:eastAsia="Arial" w:hAnsi="Arial"/>
          <w:sz w:val="22"/>
          <w:szCs w:val="22"/>
        </w:rPr>
        <w:t xml:space="preserve">Toowoomba-based Mission Australia employment services — active in the Darling Downs and Lockyer Valley</w:t>
      </w:r>
    </w:p>
    <w:p>
      <w:pPr>
        <w:pStyle w:val="ListParagraph"/>
        <w:numPr>
          <w:ilvl w:val="0"/>
          <w:numId w:val="2"/>
        </w:numPr>
      </w:pPr>
      <w:r>
        <w:rPr>
          <w:rFonts w:ascii="Arial" w:cs="Arial" w:eastAsia="Arial" w:hAnsi="Arial"/>
          <w:sz w:val="22"/>
          <w:szCs w:val="22"/>
        </w:rPr>
        <w:t xml:space="preserve">BUSY At Work — Queensland employment services provider with agricultural placement experience</w:t>
      </w:r>
    </w:p>
    <w:p>
      <w:pPr>
        <w:pStyle w:val="ListParagraph"/>
        <w:numPr>
          <w:ilvl w:val="0"/>
          <w:numId w:val="2"/>
        </w:numPr>
      </w:pPr>
      <w:r>
        <w:rPr>
          <w:rFonts w:ascii="Arial" w:cs="Arial" w:eastAsia="Arial" w:hAnsi="Arial"/>
          <w:sz w:val="22"/>
          <w:szCs w:val="22"/>
        </w:rPr>
        <w:t xml:space="preserve">MAX Employment — national provider with Toowoomba presence</w:t>
      </w:r>
    </w:p>
    <w:p>
      <w:pPr>
        <w:pStyle w:val="ListParagraph"/>
        <w:numPr>
          <w:ilvl w:val="0"/>
          <w:numId w:val="2"/>
        </w:numPr>
      </w:pPr>
      <w:r>
        <w:rPr>
          <w:rFonts w:ascii="Arial" w:cs="Arial" w:eastAsia="Arial" w:hAnsi="Arial"/>
          <w:sz w:val="22"/>
          <w:szCs w:val="22"/>
        </w:rPr>
        <w:t xml:space="preserve">Lifeline Darling Downs — may have connections to employment pathways for people experiencing homelessness</w:t>
      </w:r>
    </w:p>
    <w:p>
      <w:pPr>
        <w:pStyle w:val="ListParagraph"/>
        <w:numPr>
          <w:ilvl w:val="0"/>
          <w:numId w:val="2"/>
        </w:numPr>
      </w:pPr>
      <w:r>
        <w:rPr>
          <w:rFonts w:ascii="Arial" w:cs="Arial" w:eastAsia="Arial" w:hAnsi="Arial"/>
          <w:sz w:val="22"/>
          <w:szCs w:val="22"/>
        </w:rPr>
        <w:t xml:space="preserve">Toowoomba Regional Council social services network — can refer to appropriate employment services</w:t>
      </w:r>
    </w:p>
    <w:p>
      <w:r>
        <w:t xml:space="preserve"/>
      </w:r>
    </w:p>
    <w:p>
      <w:pPr>
        <w:pBdr>
          <w:left w:val="single" w:color="2E7D32" w:sz="12"/>
        </w:pBdr>
        <w:spacing w:after="80" w:before="80"/>
        <w:ind w:left="360"/>
      </w:pPr>
      <w:r>
        <w:rPr>
          <w:rFonts w:ascii="Arial" w:cs="Arial" w:eastAsia="Arial" w:hAnsi="Arial"/>
          <w:color w:val="1B5E20"/>
          <w:sz w:val="22"/>
          <w:szCs w:val="22"/>
        </w:rPr>
        <w:t xml:space="preserve">ACTION: Before contacting any organisation, define your offer precisely: what you provide (paid work, structured training, documented progression, a genuine vocational credential), what you need (reliable workers with transport, 2-3 days per week minimum, a case manager who is contactable), and what you cannot provide (welfare support, mental health services, accommodation, transport). Clarity about the boundary is the most important thing you can offer a potential referral partner.</w:t>
      </w:r>
    </w:p>
    <w:p>
      <w:r>
        <w:t xml:space="preserve"/>
      </w:r>
    </w:p>
    <w:p>
      <w:pPr>
        <w:pStyle w:val="Heading2"/>
      </w:pPr>
      <w:r>
        <w:t xml:space="preserve">2C — The wage subsidy and grant landscape</w:t>
      </w:r>
    </w:p>
    <w:p>
      <w:pPr>
        <w:spacing w:after="100"/>
      </w:pPr>
      <w:r>
        <w:rPr>
          <w:rFonts w:ascii="Arial" w:cs="Arial" w:eastAsia="Arial" w:hAnsi="Arial"/>
          <w:sz w:val="24"/>
          <w:szCs w:val="24"/>
        </w:rPr>
        <w:t xml:space="preserve">A formal partnership with a registered employment services provider unlocks several financial mechanisms that significantly reduce the net labour cost in the early months.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to access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Wage Subsidy — Australian Government (Workforce Australia)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$10,000 per eligible worker over 6 months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Through a registered employment services provider. Worker must be eligible (long-term unemployed, disadvantaged). Provider submits the claim. You receive the subsidy as a reimbursement against wages paid.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Restart Wage Subsidy — for workers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$10,000 per eligible worker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pathway as above. Relevant if your workforce includes older workers experiencing long-term unemployment.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Indigenous Wage Subsidy — for Aboriginal and Torres Strait Islander workers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$6,825 per eligible worker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Through Workforce Australia or a Community Development Programme provider. Relevant if you employ First Nations workers in the Lockyer Valley area.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Queensland Government Back to Work — regional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$15,000 per eligible worker in eligible regions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application to Queensland Department of Employment. Lockyer Valley qualifies as a regional area. Strong fit for first 2-3 workers hired under this model.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Enterprise Development and Investment Fund (SEDIF)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Loans and grants for social enterprises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social enterprise registration or certification. Not immediately accessible but worth pursuing from year 2 if the workforce program is formalised.</w:t>
            </w:r>
          </w:p>
        </w:tc>
      </w:tr>
    </w:tbl>
    <w:p>
      <w:r>
        <w:t xml:space="preserve"/>
      </w:r>
    </w:p>
    <w:p>
      <w:pPr>
        <w:pBdr>
          <w:left w:val="single" w:color="E8A000" w:sz="12"/>
        </w:pBdr>
        <w:spacing w:after="80" w:before="80"/>
        <w:ind w:left="360"/>
      </w:pPr>
      <w:r>
        <w:rPr>
          <w:rFonts w:ascii="Arial" w:cs="Arial" w:eastAsia="Arial" w:hAnsi="Arial"/>
          <w:color w:val="7A4500"/>
          <w:sz w:val="22"/>
          <w:szCs w:val="22"/>
        </w:rPr>
        <w:t xml:space="preserve">CAUTION: Wage subsidies are reimbursed after wages are paid — they are not advance funding. In Phase 1 with a thin cash buffer, this means you need to be able to pay the wage before receiving the subsidy. Structure your first social workforce hire to coincide with revenue being established, not before. Month 3-4 is the earliest realistic timing.</w:t>
      </w:r>
    </w:p>
    <w:p>
      <w:r>
        <w:t xml:space="preserve"/>
      </w:r>
    </w:p>
    <w:p>
      <w:pPr>
        <w:pStyle w:val="Heading2"/>
      </w:pPr>
      <w:r>
        <w:t xml:space="preserve">2D — The documentation that makes the program grant-fundable</w:t>
      </w:r>
    </w:p>
    <w:p>
      <w:pPr>
        <w:spacing w:after="100"/>
      </w:pPr>
      <w:r>
        <w:rPr>
          <w:rFonts w:ascii="Arial" w:cs="Arial" w:eastAsia="Arial" w:hAnsi="Arial"/>
          <w:sz w:val="24"/>
          <w:szCs w:val="24"/>
        </w:rPr>
        <w:t xml:space="preserve">The most valuable output of the social workforce program is not the labour — it is the evidence. A documented vocational pathway with measurable outcomes is fundable in ways that a general employment arrangement is not. The evidence you need to generate grant value from the program is simple and flows naturally from the batch tracking and operational documentation already in place.</w:t>
      </w:r>
    </w:p>
    <w:p>
      <w:r>
        <w:t xml:space="preserve"/>
      </w:r>
    </w:p>
    <w:p>
      <w:pPr>
        <w:pStyle w:val="Heading3"/>
      </w:pPr>
      <w:r>
        <w:t xml:space="preserve">What to document from day one of any social workforce hire</w:t>
      </w:r>
    </w:p>
    <w:p>
      <w:pPr>
        <w:pStyle w:val="ListParagraph"/>
        <w:numPr>
          <w:ilvl w:val="0"/>
          <w:numId w:val="2"/>
        </w:numPr>
      </w:pPr>
      <w:r>
        <w:rPr>
          <w:rFonts w:ascii="Arial" w:cs="Arial" w:eastAsia="Arial" w:hAnsi="Arial"/>
          <w:sz w:val="22"/>
          <w:szCs w:val="22"/>
        </w:rPr>
        <w:t xml:space="preserve">Entry date and referral source</w:t>
      </w:r>
    </w:p>
    <w:p>
      <w:pPr>
        <w:pStyle w:val="ListParagraph"/>
        <w:numPr>
          <w:ilvl w:val="0"/>
          <w:numId w:val="2"/>
        </w:numPr>
      </w:pPr>
      <w:r>
        <w:rPr>
          <w:rFonts w:ascii="Arial" w:cs="Arial" w:eastAsia="Arial" w:hAnsi="Arial"/>
          <w:sz w:val="22"/>
          <w:szCs w:val="22"/>
        </w:rPr>
        <w:t xml:space="preserve">Starting tier and assessed competency level</w:t>
      </w:r>
    </w:p>
    <w:p>
      <w:pPr>
        <w:pStyle w:val="ListParagraph"/>
        <w:numPr>
          <w:ilvl w:val="0"/>
          <w:numId w:val="2"/>
        </w:numPr>
      </w:pPr>
      <w:r>
        <w:rPr>
          <w:rFonts w:ascii="Arial" w:cs="Arial" w:eastAsia="Arial" w:hAnsi="Arial"/>
          <w:sz w:val="22"/>
          <w:szCs w:val="22"/>
        </w:rPr>
        <w:t xml:space="preserve">Tasks completed each session with date and duration</w:t>
      </w:r>
    </w:p>
    <w:p>
      <w:pPr>
        <w:pStyle w:val="ListParagraph"/>
        <w:numPr>
          <w:ilvl w:val="0"/>
          <w:numId w:val="2"/>
        </w:numPr>
      </w:pPr>
      <w:r>
        <w:rPr>
          <w:rFonts w:ascii="Arial" w:cs="Arial" w:eastAsia="Arial" w:hAnsi="Arial"/>
          <w:sz w:val="22"/>
          <w:szCs w:val="22"/>
        </w:rPr>
        <w:t xml:space="preserve">Batch tracking entries attributed to the worker — this creates a tangible portfolio of documented technical work</w:t>
      </w:r>
    </w:p>
    <w:p>
      <w:pPr>
        <w:pStyle w:val="ListParagraph"/>
        <w:numPr>
          <w:ilvl w:val="0"/>
          <w:numId w:val="2"/>
        </w:numPr>
      </w:pPr>
      <w:r>
        <w:rPr>
          <w:rFonts w:ascii="Arial" w:cs="Arial" w:eastAsia="Arial" w:hAnsi="Arial"/>
          <w:sz w:val="22"/>
          <w:szCs w:val="22"/>
        </w:rPr>
        <w:t xml:space="preserve">Tier progression dates and the specific milestones that triggered progression</w:t>
      </w:r>
    </w:p>
    <w:p>
      <w:pPr>
        <w:pStyle w:val="ListParagraph"/>
        <w:numPr>
          <w:ilvl w:val="0"/>
          <w:numId w:val="2"/>
        </w:numPr>
      </w:pPr>
      <w:r>
        <w:rPr>
          <w:rFonts w:ascii="Arial" w:cs="Arial" w:eastAsia="Arial" w:hAnsi="Arial"/>
          <w:sz w:val="22"/>
          <w:szCs w:val="22"/>
        </w:rPr>
        <w:t xml:space="preserve">Any external accreditation or recognition achieved — even a first aid certificate or a food handling certificate adds credibility</w:t>
      </w:r>
    </w:p>
    <w:p>
      <w:pPr>
        <w:pStyle w:val="ListParagraph"/>
        <w:numPr>
          <w:ilvl w:val="0"/>
          <w:numId w:val="2"/>
        </w:numPr>
      </w:pPr>
      <w:r>
        <w:rPr>
          <w:rFonts w:ascii="Arial" w:cs="Arial" w:eastAsia="Arial" w:hAnsi="Arial"/>
          <w:sz w:val="22"/>
          <w:szCs w:val="22"/>
        </w:rPr>
        <w:t xml:space="preserve">Exit record: reason for exit, tier reached, whether employment was secured externally, worker consent for outcome reporting</w:t>
      </w:r>
    </w:p>
    <w:p>
      <w:r>
        <w:t xml:space="preserve"/>
      </w:r>
    </w:p>
    <w:p>
      <w:pPr>
        <w:spacing w:after="100"/>
      </w:pPr>
      <w:r>
        <w:rPr>
          <w:rFonts w:ascii="Arial" w:cs="Arial" w:eastAsia="Arial" w:hAnsi="Arial"/>
          <w:sz w:val="24"/>
          <w:szCs w:val="24"/>
        </w:rPr>
        <w:t xml:space="preserve">This documentation serves four purposes simultaneously: operational record for your own workforce management, compliance evidence for wage subsidy claims, program outcome evidence for grant applications, and the foundation of a vocational credential that workers can use in future employment. A worker who leaves after completing the skilled tier has a documented record of independent batch management, quality control sign-off, and colony management in a commercial insect bioconversion operation. That is a genuine credential in an emerging industry.</w:t>
      </w:r>
    </w:p>
    <w:p>
      <w:r>
        <w:t xml:space="preserve"/>
      </w:r>
    </w:p>
    <w:p>
      <w:pPr>
        <w:pStyle w:val="Heading2"/>
      </w:pPr>
      <w:r>
        <w:t xml:space="preserve">2E — The intersection with defence and emergency management</w:t>
      </w:r>
    </w:p>
    <w:p>
      <w:pPr>
        <w:spacing w:after="100"/>
      </w:pPr>
      <w:r>
        <w:rPr>
          <w:rFonts w:ascii="Arial" w:cs="Arial" w:eastAsia="Arial" w:hAnsi="Arial"/>
          <w:sz w:val="24"/>
          <w:szCs w:val="24"/>
        </w:rPr>
        <w:t xml:space="preserve">The most strategically interesting version of this model is the one where the social workforce program and the emergency management protocol licensing overlap. Here is what that looks like in practice:</w:t>
      </w:r>
    </w:p>
    <w:p>
      <w:pPr>
        <w:spacing w:after="100"/>
      </w:pPr>
      <w:r>
        <w:rPr>
          <w:rFonts w:ascii="Arial" w:cs="Arial" w:eastAsia="Arial" w:hAnsi="Arial"/>
          <w:sz w:val="24"/>
          <w:szCs w:val="24"/>
        </w:rPr>
        <w:t xml:space="preserve">A BSFL protocol operated by trained community service workers at a regional emergency management facility in the Lockyer Valley creates a pre-positioned food security capability. In normal operations it is a vocational training program producing larvae, frass, and leachate for commercial sale. In a declared disaster it becomes an active protein production facility staffed by people who are already trained, already on-site, and already familiar with the protocol.</w:t>
      </w:r>
    </w:p>
    <w:p>
      <w:pPr>
        <w:spacing w:after="100"/>
      </w:pPr>
      <w:r>
        <w:rPr>
          <w:rFonts w:ascii="Arial" w:cs="Arial" w:eastAsia="Arial" w:hAnsi="Arial"/>
          <w:sz w:val="24"/>
          <w:szCs w:val="24"/>
        </w:rPr>
        <w:t xml:space="preserve">The funding case for this combination is significantly stronger than either component alone. It is simultaneously: a vocational employment program (fundable by Department of Employment), a food security infrastructure investment (fundable by Emergency Management Australia and LVRC), a waste diversion program (fundable by the Recycling Modernisation Fund), and a circular agriculture demonstration site (fundable by Advance Queensland). Multiple funding bodies each see their specific priority reflected in the same physical operation.</w:t>
      </w:r>
    </w:p>
    <w:p>
      <w:r>
        <w:t xml:space="preserve"/>
      </w:r>
    </w:p>
    <w:p>
      <w:pPr>
        <w:pBdr>
          <w:left w:val="single" w:color="9B59B6" w:sz="12"/>
        </w:pBdr>
        <w:spacing w:after="80" w:before="80"/>
        <w:ind w:left="360"/>
      </w:pPr>
      <w:r>
        <w:rPr>
          <w:rFonts w:ascii="Arial" w:cs="Arial" w:eastAsia="Arial" w:hAnsi="Arial"/>
          <w:color w:val="6C3483"/>
          <w:sz w:val="22"/>
          <w:szCs w:val="22"/>
        </w:rPr>
        <w:t xml:space="preserve">SCENARIO: Under D3 conditions — government actively funding distributed food security infrastructure — this combined model is one of the most fundable proposals that could be put to an emergency management authority in SEQ. The fact that it can be designed, documented, and piloted at Stage 1 scale on your property before any government involvement means that when the funding becomes available, you are not proposing a concept. You are proposing to replicate something that already works.</w:t>
      </w:r>
    </w:p>
    <w:p>
      <w:r>
        <w:t xml:space="preserve"/>
      </w:r>
    </w:p>
    <w:p>
      <w:pPr>
        <w:pStyle w:val="Heading2"/>
      </w:pPr>
      <w:r>
        <w:t xml:space="preserve">2F — Revised expected value for social workforce program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0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Revenue or value pathway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Normal 10yr</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Doomer 10yr</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Wage subsidies — net labour cost reduction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$20,000-60,000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$25,000-70,000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 (accessible with correct partner)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$15,750-45,500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Grant funding — vocational program grants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$30,000-100,000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$50,000-200,000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$23,750-87,500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management protocol licensing (combined 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$50,000-200,000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$150,000-600,000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normal + 25% D3 uplift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$48,750-195,000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Reputational and licensing value — government-endorsed program strengthens commercial protocol credibility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$20,000-100,000 (licensing premium)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$30,000-150,000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$18,000-90,000</w:t>
            </w:r>
          </w:p>
        </w:tc>
      </w:tr>
      <w:tr>
        <w:trPr>
          <w:tblHeader w:val="false"/>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expected value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$106,250-418,000</w:t>
            </w:r>
          </w:p>
        </w:tc>
      </w:tr>
    </w:tbl>
    <w:p>
      <w:r>
        <w:t xml:space="preserve"/>
      </w:r>
    </w:p>
    <w:p>
      <w:r>
        <w:br w:type="page"/>
      </w:r>
    </w:p>
    <w:p>
      <w:pPr>
        <w:pStyle w:val="Heading1"/>
      </w:pPr>
      <w:r>
        <w:t xml:space="preserve">Combined Portfolio Revision</w:t>
      </w:r>
    </w:p>
    <w:p>
      <w:pPr>
        <w:spacing w:after="100"/>
      </w:pPr>
      <w:r>
        <w:rPr>
          <w:rFonts w:ascii="Arial" w:cs="Arial" w:eastAsia="Arial" w:hAnsi="Arial"/>
          <w:sz w:val="24"/>
          <w:szCs w:val="24"/>
        </w:rPr>
        <w:t xml:space="preserve">The table below shows the revised expected values for both the defence and social workforce opportunities, updated from the original Speculative Opportunities document to reflect your specific background and network.</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026"/>
      </w:tblGrid>
      <w:tr>
        <w:trPr>
          <w:tblHeader/>
        </w:trPr>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Original expected value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Revised expected value</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rPr>
          <w:tblHeader w:val="false"/>
        </w:trP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Defence and emergency preparedness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$184,500-$828,000</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$299,500-$1,462,500</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+$115,000-$634,500</w:t>
            </w:r>
          </w:p>
        </w:tc>
      </w:tr>
      <w:tr>
        <w:trPr>
          <w:tblHeader w:val="false"/>
        </w:trP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workforce program (new)</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modelled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$106,250-$418,000</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+$106,250-$418,000</w:t>
            </w:r>
          </w:p>
        </w:tc>
      </w:tr>
      <w:tr>
        <w:trPr>
          <w:tblHeader w:val="false"/>
        </w:trP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addition to portfolio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+$221,250-$1,052,500</w:t>
            </w:r>
          </w:p>
        </w:tc>
      </w:tr>
    </w:tbl>
    <w:p>
      <w:r>
        <w:t xml:space="preserve"/>
      </w:r>
    </w:p>
    <w:p>
      <w:pPr>
        <w:pStyle w:val="Heading2"/>
      </w:pPr>
      <w:r>
        <w:t xml:space="preserve">The three immediate actions with the highest expected return per hour of effort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3826"/>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 required</w:t>
            </w:r>
          </w:p>
        </w:tc>
        <w:tc>
          <w:tcPr>
            <w:tcW w:type="dxa" w:w="3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return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your serving defence contacts and ask the intelligence-gathering questions in Part 1B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hours including follow-up conversations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Reveals which of the three defence pathways is currently most viable and saves 6-12 months of misdirected effort. Potentially unlocks the base services subcontract which is the fastest path to recurring ADF revenue.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Defence Innovation Hub portal for currently open challenge rounds relevant to food security or sustainability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minutes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a relevant round is open now, an application prepared with 6 months of yield data (from month 7 onward) is competitive. Missing an open round costs 12-18 months.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BUSY At Work or MAX Employment in Toowoomba and describe the graduated integration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 including a phone call and follow-up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Establishes whether a viable referral partnership exists before you need workers. The relationship takes 3-6 months to formalise — start it now so it is ready at month 3-4 when you can absorb the first social hire.</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The combined portfolio across all opportunities in both the original Speculative Opportunities document and this supplement now has an expected value of approximately $908,000-$4,107,500 over 10 years, with total option value costs of under $1,000. The asymmetry between option cost and expected return is the defining feature of this portfolio. None of these are bets that require significant capital. They are positions that require time, documentation, and relationship-building — all of which are compatible with running the core operation simultaneously.</w:t>
      </w:r>
    </w:p>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2026-04-22T14:07:49.721Z</dcterms:created>
  <dcterms:modified xsi:type="dcterms:W3CDTF">2026-04-22T14:07:49.757Z</dcterms:modified>
</cp:coreProperties>
</file>

<file path=docProps/custom.xml><?xml version="1.0" encoding="utf-8"?>
<Properties xmlns="http://schemas.openxmlformats.org/officeDocument/2006/custom-properties" xmlns:vt="http://schemas.openxmlformats.org/officeDocument/2006/docPropsVTypes"/>
</file>