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 Australian Expert and Organisation Directory</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Scientific experts  |  Commercial operators  |  Industry bodies  |  Contact strategies</w:t>
      </w:r>
    </w:p>
    <w:p>
      <w:r>
        <w:t xml:space="preserve"/>
      </w:r>
    </w:p>
    <w:p>
      <w:pPr>
        <w:pStyle w:val="Heading2"/>
      </w:pPr>
      <w:r>
        <w:t xml:space="preserve">How to use this directory</w:t>
      </w:r>
    </w:p>
    <w:p>
      <w:pPr>
        <w:spacing w:after="100"/>
      </w:pPr>
      <w:r>
        <w:rPr>
          <w:rFonts w:ascii="Arial" w:cs="Arial" w:eastAsia="Arial" w:hAnsi="Arial"/>
          <w:sz w:val="24"/>
          <w:szCs w:val="24"/>
        </w:rPr>
        <w:t xml:space="preserve">Entries are grouped into four categories: scientific researchers, commercial operators, industry bodies, and regulatory contacts. Each entry includes a specific contact strategy — not just who to contact but how to approach them and what to ask for. The most valuable relationships in this directory are not necessarily the most famous names — they are the people closest to the specific problems you are solving and most likely to benefit from your documented data.</w:t>
      </w:r>
    </w:p>
    <w:p>
      <w:pPr>
        <w:spacing w:after="100"/>
      </w:pPr>
      <w:r>
        <w:rPr>
          <w:rFonts w:ascii="Arial" w:cs="Arial" w:eastAsia="Arial" w:hAnsi="Arial"/>
          <w:sz w:val="24"/>
          <w:szCs w:val="24"/>
        </w:rPr>
        <w:t xml:space="preserve">Queensland-based experts are prioritised throughout. Where the Australian expert base is thin on a specific topic, the best national expert is included regardless of state.</w:t>
      </w:r>
    </w:p>
    <w:p>
      <w:pPr>
        <w:pBdr>
          <w:left w:val="single" w:color="1565C0" w:sz="12"/>
        </w:pBdr>
        <w:spacing w:after="80" w:before="80"/>
        <w:ind w:left="360"/>
      </w:pPr>
      <w:r>
        <w:rPr>
          <w:rFonts w:ascii="Arial" w:cs="Arial" w:eastAsia="Arial" w:hAnsi="Arial"/>
          <w:color w:val="0D47A1"/>
          <w:sz w:val="22"/>
          <w:szCs w:val="22"/>
        </w:rPr>
        <w:t xml:space="preserve">NOTE: Current as of April 2026. Academic staff move institutions periodically. Verify current affiliation at the linked institution website before contacting.</w:t>
      </w:r>
    </w:p>
    <w:p>
      <w:r>
        <w:t xml:space="preserve"/>
      </w:r>
    </w:p>
    <w:p>
      <w:r>
        <w:br w:type="page"/>
      </w:r>
    </w:p>
    <w:p>
      <w:pPr>
        <w:pStyle w:val="Heading1"/>
      </w:pPr>
      <w:r>
        <w:t xml:space="preserve">Part 1 — Scientific Researchers</w:t>
      </w:r>
    </w:p>
    <w:p>
      <w:pPr>
        <w:spacing w:after="100"/>
      </w:pPr>
      <w:r>
        <w:rPr>
          <w:rFonts w:ascii="Arial" w:cs="Arial" w:eastAsia="Arial" w:hAnsi="Arial"/>
          <w:sz w:val="24"/>
          <w:szCs w:val="24"/>
        </w:rPr>
        <w:t xml:space="preserve">These are researchers currently publishing peer-reviewed work directly relevant to your operation. They are potential research partners, protocol validators, and — critically — the people whose published work your licensing documentation will cite.</w:t>
      </w:r>
    </w:p>
    <w:p>
      <w:r>
        <w:t xml:space="preserve"/>
      </w:r>
    </w:p>
    <w:p>
      <w:pPr>
        <w:pStyle w:val="Heading2"/>
      </w:pPr>
      <w:r>
        <w:t xml:space="preserve">Queensland-based researchers</w:t>
      </w:r>
    </w:p>
    <w:p>
      <w:r>
        <w:t xml:space="preserve"/>
      </w:r>
    </w:p>
    <w:p>
      <w:pPr>
        <w:pStyle w:val="Heading3"/>
      </w:pPr>
      <w:r>
        <w:t xml:space="preserve">Professor Louwrens (Louw) Hoffman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Professor of Meat Science, Centre for Nutrition and Food Sciences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Alliance for Agriculture and Food Innovation (QAAFI), University of Queensland — Gatton and St Lucia campuses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UQ Gatton campus — 20 minutes from your property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Larval nutritional composition, BSFL as human food ingredient, BSFL burger patties, insect protein safety and quality. Actively publishing on BSFL across multiple product applications including partial beef replacement. Direct supervisor of the most active BSFL PhD program in Queensland.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your single most proximate scientific contact. He is 20 minutes away, actively supervising BSFL research, and his work covers exactly the product quality and safety questions your licensing documentation needs validated — nutritional composition, heavy metal safety, processing effects on quality. A UQ Gatton research partnership almost certainly goes through his lab. His email is publicly listed.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louwrens.hoffman@uq.edu.au | +61 4 1798 4547 | QAAFI, UQ Gatton</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Email directly as a commercial BSFL operator in the Lockyer Valley. Reference his published work on BSFL nutritional composition (cite the 2024 NIRS paper with Alagappan et al.). Ask whether any current or upcoming research projects would benefit from a commercial field site with documented batch data 20 minutes from the Gatton campus. Do not ask for anything — offer something. Your batch data is genuinely useful to his research.</w:t>
      </w:r>
    </w:p>
    <w:p>
      <w:r>
        <w:t xml:space="preserve"/>
      </w:r>
    </w:p>
    <w:p>
      <w:pPr>
        <w:pStyle w:val="Heading3"/>
      </w:pPr>
      <w:r>
        <w:t xml:space="preserve">Shanmugam (Shan) Alagappan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PhD researcher (thesis recently submitted, likely postdoctoral from 2026), Centre for Nutrition and Food Sciences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Alliance for Agriculture and Food Innovation (QAAFI), University of Queensland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UQ Brisbane / Gatton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BSFL quality and safety across different food waste streams — heavy metals, mycotoxins, microbial safety, NIR spectroscopy for rapid nutritional profiling. Most recent author on the 2024 heavy metals paper and the NIRS frass monitoring paper. His thesis specifically investigated BSFL safety on commercial food waste streams — exactly your substrate base.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Shan's PhD research answers the most commercially important question in your operation: is the product safe when reared on mixed commercial food waste? His documented safety data across multiple waste stream types is directly usable as a reference for your frass and larvae product safety claims. As a recently submitted PhD student transitioning to postdoc, he is at the stage in his career where a commercial field site partnership is most valuable to him — it generates new data for publications at a stage when publications matter most.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s.alagappan@uq.edu.au | QAAFI, UQ</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Contact after reaching out to Professor Hoffman. Shan is likely to be the day-to-day contact for any research partnership that Hoffman's lab agrees to. Read his 2024 heavy metals paper before contacting — your ability to discuss his methodology (waste stream characterisation, instar timing, post-harvest treatment effects) signals you as a credible industry partner rather than just a farm seeking free testing.</w:t>
      </w:r>
    </w:p>
    <w:p>
      <w:r>
        <w:t xml:space="preserve"/>
      </w:r>
    </w:p>
    <w:p>
      <w:pPr>
        <w:pStyle w:val="Heading3"/>
      </w:pPr>
      <w:r>
        <w:t xml:space="preserve">Associate Professor Daniel Cozzolino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Associate Professor, Centre for Nutrition and Food Sciences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Alliance for Agriculture and Food Innovation (QAAFI), University of Queensland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UQ Brisbane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NIR and MIR spectroscopy for rapid quality assessment of BSFL and frass. Chemometrics for substrate traceability. He is the spectroscopy methods expert in the Hoffman/Alagappan research group — his methodology is what would be used to build a rapid quality testing system for your operation at scale.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you pursue the licensing protocol validation pathway, Cozzolino is the person who would design the rapid quality testing protocol using spectroscopy. This is relevant to your protocol documentation because a licensed protocol that includes a validated rapid testing method is significantly more credible to licensees than one based on manual assessment alone. The technology is not expensive at small scale — portable NIR instruments start at approximately $3,000 secondhand.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d.cozzolino@uq.edu.au | QAAFI, UQ</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Contact as part of a broader QAAFI engagement rather than directly as the first point of contact. His work is highly technical and the most relevant entry point is through Hoffman or Alagappan's existing relationship.</w:t>
      </w:r>
    </w:p>
    <w:p>
      <w:r>
        <w:t xml:space="preserve"/>
      </w:r>
    </w:p>
    <w:p>
      <w:pPr>
        <w:pStyle w:val="Heading3"/>
      </w:pPr>
      <w:r>
        <w:t xml:space="preserve">Dr Deirdre Mikkelsen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Research Fellow, Centre for Nutrition and Food Sciences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Alliance for Agriculture and Food Innovation (QAAFI), University of Queensland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UQ Brisbane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Food chemistry, carbohydrate chemistry, in vitro fermentation. Co-author on multiple Alagappan BSFL papers including the 2024 NIRS frass monitoring paper. Her contribution is in the food chemistry and fermentation science dimensions of BSFL research — frass composition, substrate fermentation dynamics.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directly relevant than Hoffman and Alagappan at Stage 1 but relevant to the frass product quality research pathway. Her work on frass composition using NIRS supports the NPK testing and frass product certification work that becomes important from month 3 onward.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d.mikkelsen@uq.edu.au | School of Agriculture and Food Sustainability, UQ</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Not a priority first contact. Engage through the Hoffman lab research partnership.</w:t>
      </w:r>
    </w:p>
    <w:p>
      <w:r>
        <w:t xml:space="preserve"/>
      </w:r>
    </w:p>
    <w:p>
      <w:r>
        <w:t xml:space="preserve"/>
      </w:r>
    </w:p>
    <w:p>
      <w:pPr>
        <w:pStyle w:val="Heading2"/>
      </w:pPr>
      <w:r>
        <w:t xml:space="preserve">Queensland-adjacent researchers — close enough to visit</w:t>
      </w:r>
    </w:p>
    <w:p>
      <w:r>
        <w:t xml:space="preserve"/>
      </w:r>
    </w:p>
    <w:p>
      <w:pPr>
        <w:pStyle w:val="Heading3"/>
      </w:pPr>
      <w:r>
        <w:t xml:space="preserve">Professor Nigel Andrew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Professor of Entomology, Chair of Science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Southern Cross University, Lismore NSW</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Lismore NSW — 2.5 hours from the Lockyer Valley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Entomology, insect ecology and physiology, BSF biology, chitin and chitosan extraction, BSF-derived bioplastics. His team at SCU is specifically working on chitin and chitosan from BSF as sustainable alternatives to conventional packaging — the most advanced chitosan research program in Australia outside of UQ. In 2025 his team partnered with Mobius Farms, a commercial BSFL operator, for field research.</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Andrew's team is the most relevant contact for your chitosan pathway. His chitin-to-chitosan extraction research and the Mobius Farms partnership demonstrate that he actively works with commercial operators rather than only in laboratory settings. His 2025 partnership with Mobius Farms means he has current experience translating bench research to commercial operation — which is exactly what your protocol documentation needs.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via SCU faculty directory at scu.edu.au | Faculty of Science and Engineering</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Reference the 2025 SCU article on BSF frass as sustainable landscaping fertiliser and the Mobius Farms partnership when contacting. Frame your approach as: Lockyer Valley commercial BSFL operator with documented batch data, interested in chitosan extraction protocol validation and potential research partnership. Offer your operation as a second commercial field site to complement the Mobius Farms relationship.</w:t>
      </w:r>
    </w:p>
    <w:p>
      <w:r>
        <w:t xml:space="preserve"/>
      </w:r>
    </w:p>
    <w:p>
      <w:pPr>
        <w:pStyle w:val="Heading3"/>
      </w:pPr>
      <w:r>
        <w:t xml:space="preserve">Dr Lachlan 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Lecturer, Faculty of Science and Engineering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Southern Cross University, Lismore NSW</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Lismore NSW</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Polymer science, chitin extraction, chitosan production from BSF larvae cocoons, wound dressing applications, biodegradable packaging from BSF-derived chitosan. Actively working on pharmaceutical and industrial applications of BSF chitosan — wound care and bioplastics specifically.</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Yee is the most relevant contact for the pharmaceutical chitosan opportunity identified in the Speculative Opportunities document. His wound dressing research is precisely the market pathway where BSF-derived chitosan commands $200-500/kg rather than $15-40/kg agricultural grade. His lab has the chemistry expertise to validate your chitosan extraction protocol and characterise the deacetylation degree required for pharmaceutical applications.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via SCU faculty directory at scu.edu.au | Faculty of Science and Engineering</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Contact after engaging with Andrew's lab. Reference Yee's chitosan wound dressing research specifically. Your interest is in understanding the deacetylation degree requirements and extraction protocol modifications needed to produce pharmaceutical-grade chitosan from your frass-derived chitin. Ask whether a commercial supply of characterised substrate material would be useful for his research.</w:t>
      </w:r>
    </w:p>
    <w:p>
      <w:r>
        <w:t xml:space="preserve"/>
      </w:r>
    </w:p>
    <w:p>
      <w:r>
        <w:t xml:space="preserve"/>
      </w:r>
    </w:p>
    <w:p>
      <w:pPr>
        <w:pStyle w:val="Heading2"/>
      </w:pPr>
      <w:r>
        <w:t xml:space="preserve">Other Australian researchers — national leaders in specific areas</w:t>
      </w:r>
    </w:p>
    <w:p>
      <w:r>
        <w:t xml:space="preserve"/>
      </w:r>
    </w:p>
    <w:p>
      <w:pPr>
        <w:pStyle w:val="Heading3"/>
      </w:pPr>
      <w:r>
        <w:t xml:space="preserve">Professor Kyall Zenger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Associate Professor, Centre for Sustainable Tropical Fisheries and Aquaculture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James Cook University, Townsville QLD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Townsville QLD — 14 hours from the Lockyer Valley but Queensland-based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BSF genetics, genomic selection for BSFL breeding programs, NIR phenotyping for protein and fat content. Leading a $600,000+ ARC Linkage Grant project with FlyFarm Queensland specifically on BSF genetics and industrial scale-up. His research is on long-term genetic improvement of BSF colonies — exactly the genetic diversity management question your breeding colony faces.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Zenger is the most relevant contact for your colony genetic management program. His ARC project with FlyFarm Queensland means he has current commercial partnerships and is not just a theoretical researcher. The genetic diversity research is directly applicable to your wild integration protocol and the long-term performance of your breeding colony. His JCU location is remote but all of his research involves molecular tools that can be applied remotely to samples you send him.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via JCU research portfolio at research.jcu.edu.au</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Approach with a specific question: your operation uses regular wild BSF integration to maintain genetic diversity and you are interested in understanding whether a simple genetic diversity monitoring protocol could be designed for a small commercial operation. Offer to provide regular larval samples for genomic analysis in exchange for a summary genetic diversity report. This costs him very little and gives you validated colony genetic health data for your licensing protocol.</w:t>
      </w:r>
    </w:p>
    <w:p>
      <w:r>
        <w:t xml:space="preserve"/>
      </w:r>
    </w:p>
    <w:p>
      <w:pPr>
        <w:pStyle w:val="Heading3"/>
      </w:pPr>
      <w:r>
        <w:t xml:space="preserve">Dr Marit Kragt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Associate Professor, School of Agriculture and Environment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University of Western Australia, Perth WA</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Perth WA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Agricultural economics, waste management economics, BSFL industry development in Australia. Co-lead on the $2.5 million Closing the Loop ARC project. Her research covers waste stream mapping, industry attitudes, market potential assessment, and economic viability of BSFL bioconversion at regional scale.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Kragt is less relevant operationally but highly relevant strategically. Her industry development research produced the waste stream mapping for Queensland that would be the foundation of any SEQ scale-up proposal. Her published work is credible citation material for your grant applications, particularly the SEQ City Deal and QRIDA Sustainability Loan applications. Her data on Queensland waste volumes by sector is directly usable.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m.kragt@uwa.edu.au | UWA School of Agriculture and Environment</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Not a priority contact for operational support. Read her published waste stream mapping papers and cite them in grant applications. Contact only if pursuing the SEQ City Deal or government waste processing contract pathway where you need formal waste volume data to support a proposal.</w:t>
      </w:r>
    </w:p>
    <w:p>
      <w:r>
        <w:t xml:space="preserve"/>
      </w:r>
    </w:p>
    <w:p>
      <w:r>
        <w:t xml:space="preserve"/>
      </w:r>
    </w:p>
    <w:p>
      <w:r>
        <w:br w:type="page"/>
      </w:r>
    </w:p>
    <w:p>
      <w:pPr>
        <w:pStyle w:val="Heading1"/>
      </w:pPr>
      <w:r>
        <w:t xml:space="preserve">Part 2 — Commercial Operators</w:t>
      </w:r>
    </w:p>
    <w:p>
      <w:pPr>
        <w:spacing w:after="100"/>
      </w:pPr>
      <w:r>
        <w:rPr>
          <w:rFonts w:ascii="Arial" w:cs="Arial" w:eastAsia="Arial" w:hAnsi="Arial"/>
          <w:sz w:val="24"/>
          <w:szCs w:val="24"/>
        </w:rPr>
        <w:t xml:space="preserve">These are commercial BSFL operations that are either potential collaborators, benchmarks for your protocol documentation, or potential competitors to understand. The Australian industry is small enough that operators generally know each other and collaboration is more common than competition at this stage.</w:t>
      </w:r>
    </w:p>
    <w:p>
      <w:r>
        <w:t xml:space="preserve"/>
      </w:r>
    </w:p>
    <w:p>
      <w:pPr>
        <w:pStyle w:val="Heading3"/>
      </w:pPr>
      <w:r>
        <w:t xml:space="preserve">Olympia Yarger — Goterra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and Founder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Goterra Pty Ltd, Canberra ACT</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Canberra ACT (national operations)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Modular autonomous BSFL waste management units deployed at point of waste generation. Goterra builds and deploys robotic BSFL processing units that sit on-site at waste generators rather than collecting waste and processing it centrally. ACT Australian of the Year 2023. A fly species was named Hermetia olympiae in her honour. Previously President of the IPAA. Has processed more than 35,000 tonnes of food waste through BSFL.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Yarger is the most prominent figure in the Australian BSFL industry and her commercial model is different enough from yours that she is not a direct competitor in the Lockyer Valley market. Her modular on-site model and your centralised processing model serve different customers. She is a potential industry ally, a reference point for media and grant applications, and a pathway into the research networks that have used Goterra as a commercial partner (including the UQ QAAFI group whose papers feature Goterra waste streams).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via goterra.com.au | LinkedIn: Olympia Yarger</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Join the IPAA and engage with Yarger through industry channels rather than approaching cold. Her profile means she receives many unsolicited approaches. The IPAA context and your documented commercial operation give you a legitimate reason to engage. Do not position yourself as seeking her advice — position yourself as a fellow operator interested in industry collaboration.</w:t>
      </w:r>
    </w:p>
    <w:p>
      <w:r>
        <w:t xml:space="preserve"/>
      </w:r>
    </w:p>
    <w:p>
      <w:pPr>
        <w:pStyle w:val="Heading3"/>
      </w:pPr>
      <w:r>
        <w:t xml:space="preserve">Constant Tedder — FlyFarm Queensland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Co-Founder and CEO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FlyFarm Worldwide Ltd / FlyFarm Queensland, Brisbane QLD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Brisbane QLD — 1.5 hours from the Lockyer Valley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BSFL farming technology, robotics and IoT systems for BSFL rearing, scaling from pilot to commercial operations. Brisbane demonstration plant. Active ARC Linkage Grant partnership with JCU (Prof. Kyall Zenger) on BSF genetics. FlyFarm offers consulting services for BSFL operations.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FlyFarm is the closest commercial BSFL technology operator to your property. Their Brisbane demonstration plant is visit-able. Tedder is commercially oriented and his co-operation with the JCU genetics research means he is well-connected in the Queensland BSFL science network. His consulting arm means he is experienced in advising operators at your scale. However he also sells automation technology that you do not currently need — manage the relationship accordingly.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via flyfarm.com | LinkedIn: Constant Tedder | Brisbane demonstration plant</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Visit the Brisbane demonstration plant before approaching formally. Observing their system gives you a technical reference point and makes your subsequent conversation more substantive. Approach as a small operator interested in eventual technology adoption at scale rather than as a current customer — this is honest and keeps the relationship consultative rather than sales-oriented.</w:t>
      </w:r>
    </w:p>
    <w:p>
      <w:r>
        <w:t xml:space="preserve"/>
      </w:r>
    </w:p>
    <w:p>
      <w:pPr>
        <w:pStyle w:val="Heading3"/>
      </w:pPr>
      <w:r>
        <w:t xml:space="preserve">Mobius Farms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BSFL operator — SCU research partner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 not publicly specified — likely NSW north coast based on SCU partnership</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NSW</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BSFL operation with active research partnership with SCU Professor Nigel Andrew and Dr Lachlan Yee. Involved in BSF frass as sustainable landscaping fertiliser trials with Fulton Hogan construction on a DTMR (Department of Transport and Main Roads) project in 2024-2025. Sustainability, community capacity building, vocational training focus.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Mobius Farms is the most operationally similar commercial operator to your vision in Australia. They share your interest in sustainability, community workforce development, and circular agriculture framing. Their SCU research partnership is a model for the UQ Gatton partnership you are building. They are not in the Lockyer Valley market so there is no competitive overlap.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via SCU partnership channels or search for Mobius Farms on LinkedIn</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Approach as a peer operator interested in comparing notes on the SCU research partnership experience. Their frass-as-landscaping-fertiliser trial with Fulton Hogan is directly relevant to the DTMR frass application work described in the SCU awards material — this is a public-works contractor using your product type, which is a market channel worth understanding.</w:t>
      </w:r>
    </w:p>
    <w:p>
      <w:r>
        <w:t xml:space="preserve"/>
      </w:r>
    </w:p>
    <w:p>
      <w:r>
        <w:t xml:space="preserve"/>
      </w:r>
    </w:p>
    <w:p>
      <w:r>
        <w:br w:type="page"/>
      </w:r>
    </w:p>
    <w:p>
      <w:pPr>
        <w:pStyle w:val="Heading1"/>
      </w:pPr>
      <w:r>
        <w:t xml:space="preserve">Part 3 — Industry Bodies and Networks</w:t>
      </w:r>
    </w:p>
    <w:p>
      <w:r>
        <w:t xml:space="preserve"/>
      </w:r>
    </w:p>
    <w:p>
      <w:pPr>
        <w:pStyle w:val="Heading3"/>
      </w:pPr>
      <w:r>
        <w:t xml:space="preserve">Insect Protein Association of Australia (IPAA)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association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Australia-wide, member-based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National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Advocacy for Australian insect industry regulation, feed and food standards. Full member voting rights, certification access, IPAA logo use. Board includes Dr Vivian Mateus PhD Entomology (ESQ councillor and IPAA food subcommittee), Alison (Feed For Thought, sustainable pet food), Mikkel (SKOV A/S climate solutions, Crickets and Co). Growing membership from 13 to 57+ members between 2018 and 2022. Works with DAF, FSANZ, and government on biosecurity and feed approval frameworks.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IPAA membership is the single most important industry body action. It gives you: early notice of regulatory changes before they are publicly announced, access to the biosecurity and feed approval policy conversations that affect your substrate approvals, connection to the national network of commercial operators and researchers, and use of the IPAA logo on product labelling which adds credibility with sophisticated buyers. Annual membership fee is modest. This should be done in the first week of operation.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insectproteinassoc.com | Full Member application online</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Apply for Full Member status as soon as the operation is commercially producing. The Full Member category requires actual production. Associate or individual membership is available from day one and gives access to the network before production starts. Attend the first webinar or online event you can access after joining.</w:t>
      </w:r>
    </w:p>
    <w:p>
      <w:r>
        <w:t xml:space="preserve"/>
      </w:r>
    </w:p>
    <w:p>
      <w:pPr>
        <w:pStyle w:val="Heading3"/>
      </w:pPr>
      <w:r>
        <w:t xml:space="preserve">AgriFutures Australia — Emerging Insect Technology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Rural Research and Development Corporation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Australia, national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National (Wagga Wagga NSW headquarters, national programs)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Funding and coordination of insect industry research, development, and extension. Currently running a five-year program of research for the Australian insect industry. Previously funded $2 million+ University of Adelaide BSFL research. Operates the Emerging Insect Technology (EIT) Hub in partnership with industry. Conducts annual surveys of insect producers for industry data.</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is the most important research funding body for your licensing protocol development. Their EIT Hub is the institutional home of the kind of protocol validation research that makes a licensed protocol credible. Registering with AgriFutures as a producer gets you on their mailing list for research expressions of interest, workshop invitations, and producer surveys. Being a documented producer who responds to their surveys builds your profile in their system before you ever submit a grant application.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agrifutures.com.au/rural-industries/insects | Producer registration available online</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Register as an insect producer on the AgriFutures database immediately. This costs nothing and places you in their communications for the five-year research program. Subscribe to the EIT Hub newsletter. When an expression of interest for industry participants opens, your registered commercial operation with documented batch data makes you a credible respondent.</w:t>
      </w:r>
    </w:p>
    <w:p>
      <w:r>
        <w:t xml:space="preserve"/>
      </w:r>
    </w:p>
    <w:p>
      <w:pPr>
        <w:pStyle w:val="Heading3"/>
      </w:pPr>
      <w:r>
        <w:t xml:space="preserve">Entomological Society of Queensland (ESQ)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Scientific society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ESQ, Queensland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expertise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Professional society for entomologists in Queensland. Publishes the Australian Entomologist. Dr Vivian Mateus (IPAA board member) is an ESQ councillor. Hosts events and workshops connecting entomology researchers across Queensland.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relevant to you</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ESQ membership provides access to the Queensland entomology research network through a different channel than QAAFI or university partnerships. Your biological sciences background makes you a credible member rather than just an industry observer. Attending ESQ events is how you meet the early-career researchers who are most likely to be interested in your farm as a field site.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esq.org.au</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CONTACT STRATEGY: Attend one ESQ event in your first year. You do not need to present — attending and networking as a commercial BSFL operator in the Lockyer Valley is enough. Researchers at ESQ events are looking for field sites and industry partners.</w:t>
      </w:r>
    </w:p>
    <w:p>
      <w:r>
        <w:t xml:space="preserve"/>
      </w:r>
    </w:p>
    <w:p>
      <w:r>
        <w:t xml:space="preserve"/>
      </w:r>
    </w:p>
    <w:p>
      <w:r>
        <w:br w:type="page"/>
      </w:r>
    </w:p>
    <w:p>
      <w:pPr>
        <w:pStyle w:val="Heading1"/>
      </w:pPr>
      <w:r>
        <w:t xml:space="preserve">Part 4 — Regulatory Contacts Relevant to Scientific and Commercial Development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4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Biosecurity Queensland — Department of Agriculture and Fisheries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25 23 | daf.qld.gov.au</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approval for poultry and aquaculture feed. Written approval required before any product sold as animal feed. Also the body to contact about research exemptions for non-approved substrates in the research stream.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FSANZ Novel Foods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fsanz.gov.au/science-data/novel-foods | Stakeholder registration available online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as an industry stakeholder in the Novel Foods review. Gives access to consultation documents on BSFL human consumption approval. Your submission as a commercial producer carries regulatory weight.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Food Waste Cooperative Research Centre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endfoodwaste.com.au</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CRC that funded Alagappan's BSFL safety research. Not a direct funder for small operators but the CRC's published reports and datasets are free to access and directly relevant to your substrate documentation.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Department of Agriculture and Fisheries (DAF) — Lockyer Valley contacts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1300 130 372 | daf.qld.gov.au</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DAF extension officers in the Lockyer Valley who understand the agricultural context. Different from the biosecurity team. Useful for local regulatory context and introduction to the Lockyer Valley Growers Association network.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QAAFI Business Development — Oliver Frith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qaafi@uq.edu.au | qaafi.uq.edu.au/research</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correct contact point for any partnership proposal with QAAFI. Oliver Frith is listed as the business development contact for industry partnerships. Initial partnership enquiries go through him, not directly to individual researchers.</w:t>
            </w:r>
          </w:p>
        </w:tc>
      </w:tr>
    </w:tbl>
    <w:p>
      <w:r>
        <w:t xml:space="preserve"/>
      </w:r>
    </w:p>
    <w:p>
      <w:r>
        <w:br w:type="page"/>
      </w:r>
    </w:p>
    <w:p>
      <w:pPr>
        <w:pStyle w:val="Heading1"/>
      </w:pPr>
      <w:r>
        <w:t xml:space="preserve">Priority Contact Sequence</w:t>
      </w:r>
    </w:p>
    <w:p>
      <w:pPr>
        <w:spacing w:after="100"/>
      </w:pPr>
      <w:r>
        <w:rPr>
          <w:rFonts w:ascii="Arial" w:cs="Arial" w:eastAsia="Arial" w:hAnsi="Arial"/>
          <w:sz w:val="24"/>
          <w:szCs w:val="24"/>
        </w:rPr>
        <w:t xml:space="preserve">The table below ranks every contact by priority for your specific situation, accounting for proximity, relevance, and the stage of your operation.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226"/>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IPAA — join as associate member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cost, immediate access to regulatory developments and the national network. The most asymmetric action in this document.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 register as insect producer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cost, places you in the five-year research program communications. Do it at the same time as IPAA.</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Professor Louwrens Hoffman — UQ Gatton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2-3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minutes away. Most relevant scientific contact. Do not approach before you have a stocking date confirmed and at least some batch data to offer.</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FSANZ Novel Foods — register as stakeholder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cost, 15 minutes. Preserves the human consumption option value at no effort.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Shanmugam Alagappan — UQ QAAFI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Approach after Hoffman. He is likely the day-to-day research partner in any UQ collaboration.</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FlyFarm Queensland — visit Brisbane plant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 before approaching formally. Observe their system as a reference point.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Professor Nigel Andrew — SCU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4-6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Chitosan pathway and community workforce framing. Approach after establishing the UQ relationship.</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Lachlan Yee — SCU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Pharmaceutical chitosan. Approach through Andrew's introduction.</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Olympia Yarger — Goterra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3-6</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 IPAA channels. Not a cold approach.</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Professor Kyall Zenger — JCU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1-2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Colony genetic diversity. Remote contact by post or email with larval samples. Lower urgency than Lockyer Valley contacts.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ESQ — attend one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building. Not urgent but worth doing once.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Marit Kragt — UWA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1-2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Cite her work in grant applications. Contact only if pursuing formal government waste processing contract.</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two Week 1 actions — IPAA associate membership and AgriFutures producer registration — should happen before the first substrate is mixed. They are the lowest-effort, highest-option-value actions in this entire document and there is no reason to delay them.</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2026-04-22T20:59:08.507Z</dcterms:created>
  <dcterms:modified xsi:type="dcterms:W3CDTF">2026-04-22T20:59:08.509Z</dcterms:modified>
</cp:coreProperties>
</file>

<file path=docProps/custom.xml><?xml version="1.0" encoding="utf-8"?>
<Properties xmlns="http://schemas.openxmlformats.org/officeDocument/2006/custom-properties" xmlns:vt="http://schemas.openxmlformats.org/officeDocument/2006/docPropsVTypes"/>
</file>