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52"/>
          <w:szCs w:val="52"/>
        </w:rPr>
        <w:t xml:space="preserve">BSFL Farm — Speculative and Contingent Opportunities</w:t>
      </w:r>
    </w:p>
    <w:p>
      <w:pPr>
        <w:spacing w:after="40"/>
      </w:pPr>
      <w:r>
        <w:rPr>
          <w:rFonts w:ascii="Arial" w:cs="Arial" w:eastAsia="Arial" w:hAnsi="Arial"/>
          <w:color w:val="666666"/>
          <w:sz w:val="22"/>
          <w:szCs w:val="22"/>
        </w:rPr>
        <w:t xml:space="preserve">658 Lefthand Branch Rd, Lockyer Valley QLD  |  April 2026</w:t>
      </w:r>
    </w:p>
    <w:p>
      <w:pPr>
        <w:pBdr>
          <w:bottom w:val="single" w:color="CCCCCC" w:sz="4" w:space="1"/>
        </w:pBdr>
        <w:spacing w:after="280"/>
      </w:pPr>
      <w:r>
        <w:rPr>
          <w:rFonts w:ascii="Arial" w:cs="Arial" w:eastAsia="Arial" w:hAnsi="Arial"/>
          <w:color w:val="888888"/>
          <w:sz w:val="20"/>
          <w:szCs w:val="20"/>
        </w:rPr>
        <w:t xml:space="preserve">10-year horizon  |  Probability-weighted expected value  |  Normal and doomer scenario analysis</w:t>
      </w:r>
    </w:p>
    <w:p>
      <w:r>
        <w:t xml:space="preserve"/>
      </w:r>
    </w:p>
    <w:p>
      <w:pPr>
        <w:pStyle w:val="Heading2"/>
      </w:pPr>
      <w:r>
        <w:t xml:space="preserve">Methodology and probability framework</w:t>
      </w:r>
    </w:p>
    <w:p>
      <w:pPr>
        <w:spacing w:after="100"/>
      </w:pPr>
      <w:r>
        <w:rPr>
          <w:rFonts w:ascii="Arial" w:cs="Arial" w:eastAsia="Arial" w:hAnsi="Arial"/>
          <w:sz w:val="24"/>
          <w:szCs w:val="24"/>
        </w:rPr>
        <w:t xml:space="preserve">Each opportunity is valued under two scenarios across a 10-year horizon. Normal conditions means current market structure, supply chains, and regulatory environment persist with gradual change. Doomer conditions means at least one of three plausible disruption scenarios has materialised.</w:t>
      </w:r>
    </w:p>
    <w:p>
      <w:pPr>
        <w:spacing w:after="100"/>
      </w:pPr>
      <w:r>
        <w:rPr>
          <w:rFonts w:ascii="Arial" w:cs="Arial" w:eastAsia="Arial" w:hAnsi="Arial"/>
          <w:sz w:val="24"/>
          <w:szCs w:val="24"/>
        </w:rPr>
        <w:t xml:space="preserve">Probability weights are my own estimates based on current trends, historical precedent, and structural factors. They are shown explicitly so you can substitute your own view. The expected value calculation is: (normal value x normal probability) + (doomer value x doomer probability). Where an opportunity has option value — meaning low-cost actions taken now that preserve access to a larger future opportunity — this is noted separately from the financial value estimate.</w:t>
      </w:r>
    </w:p>
    <w:p>
      <w:r>
        <w:t xml:space="preserve"/>
      </w:r>
    </w:p>
    <w:p>
      <w:pPr>
        <w:pStyle w:val="Heading2"/>
      </w:pPr>
      <w:r>
        <w:t xml:space="preserve">The three doomer scenarios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600"/>
        <w:gridCol w:w="2826"/>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10-year probability estimate</w:t>
            </w:r>
          </w:p>
        </w:tc>
      </w:tr>
      <w:tr>
        <w:trPr>
          <w:tblHeader w:val="false"/>
        </w:trP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20"/>
                <w:szCs w:val="20"/>
              </w:rPr>
              <w:t xml:space="preserve">D1</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Protein supply shock</w:t>
            </w:r>
          </w:p>
        </w:tc>
        <w:tc>
          <w:tcPr>
            <w:tcW w:type="dxa" w:w="3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disruption to imported protein feed (fish meal, soy) through geopolitical tension, shipping disruption, or export restrictions. Australia imports approximately 60% of aquaculture feed ingredients. A 12-24 month disruption would drive domestic alternative protein prices to 3-5x current levels. Partial precedent: COVID shipping disruptions 2021-22.</w:t>
            </w:r>
          </w:p>
        </w:tc>
        <w:tc>
          <w:tcPr>
            <w:tcW w:type="dxa" w:w="28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20"/>
                <w:szCs w:val="20"/>
              </w:rPr>
              <w:t xml:space="preserve">25-35%. Assessed at 30% for calculations.</w:t>
            </w:r>
          </w:p>
        </w:tc>
      </w:tr>
      <w:tr>
        <w:trPr>
          <w:tblHeader w:val="false"/>
        </w:trP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D2</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Sustained food price inflation</w:t>
            </w:r>
          </w:p>
        </w:tc>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Combination of climate events reducing domestic production, energy price rises increasing conventional food costs, and currency weakness increasing import costs. Does not require catastrophe — a sustained 40-60% increase in food prices over 5 years changes the economics of waste-to-protein conversion significantly. Partial precedent: 2022-24 global food price inflation.</w:t>
            </w:r>
          </w:p>
        </w:tc>
        <w:tc>
          <w:tcPr>
            <w:tcW w:type="dxa" w:w="282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000000"/>
                <w:sz w:val="20"/>
                <w:szCs w:val="20"/>
              </w:rPr>
              <w:t xml:space="preserve">30-40%. Assessed at 35% for calculations.</w:t>
            </w:r>
          </w:p>
        </w:tc>
      </w:tr>
      <w:tr>
        <w:trPr>
          <w:tblHeader w:val="false"/>
        </w:trPr>
        <w:tc>
          <w:tcPr>
            <w:tcW w:type="dxa" w:w="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D3</w:t>
            </w:r>
          </w:p>
        </w:tc>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Government food security intervention</w:t>
            </w:r>
          </w:p>
        </w:tc>
        <w:tc>
          <w:tcPr>
            <w:tcW w:type="dxa" w:w="3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or state government determines distributed domestic protein production is a strategic priority. Procurement contracts, infrastructure grants, or mandatory waste diversion requirements with teeth. Policy architecture already being built (SEQ City Deal, ARENA). Requires a triggering event but the framework exists. Partial precedent: COVID-driven domestic manufacturing policy shifts.</w:t>
            </w:r>
          </w:p>
        </w:tc>
        <w:tc>
          <w:tcPr>
            <w:tcW w:type="dxa" w:w="282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20"/>
                <w:szCs w:val="20"/>
              </w:rPr>
              <w:t xml:space="preserve">35-45%. Assessed at 40% for calculations.</w:t>
            </w:r>
          </w:p>
        </w:tc>
      </w:tr>
      <w:tr>
        <w:trPr>
          <w:tblHeader w:val="false"/>
        </w:trP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D1+D2+D3</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Combined disruption</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three scenarios co-occurring, which is plausible since D1 typically triggers D2 which typically triggers D3. The correlation between scenarios means the probability of at least one occurring is not simply the sum of individual probabilities.</w:t>
            </w:r>
          </w:p>
        </w:tc>
        <w:tc>
          <w:tcPr>
            <w:tcW w:type="dxa" w:w="2826"/>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At least one of D1, D2, or D3 occurring in 10 years: approximately 60-70%. Assessed at 65% for portfolio calculations.</w:t>
            </w:r>
          </w:p>
        </w:tc>
      </w:tr>
    </w:tbl>
    <w:p>
      <w:r>
        <w:t xml:space="preserve"/>
      </w:r>
    </w:p>
    <w:p>
      <w:pPr>
        <w:pBdr>
          <w:left w:val="single" w:color="1565C0" w:sz="12"/>
        </w:pBdr>
        <w:spacing w:after="80" w:before="80"/>
        <w:ind w:left="360"/>
      </w:pPr>
      <w:r>
        <w:rPr>
          <w:rFonts w:ascii="Arial" w:cs="Arial" w:eastAsia="Arial" w:hAnsi="Arial"/>
          <w:color w:val="0D47A1"/>
          <w:sz w:val="22"/>
          <w:szCs w:val="22"/>
        </w:rPr>
        <w:t xml:space="preserve">NOTE: A 65% probability that at least one disruption scenario occurs over 10 years is not pessimistic — it is consistent with the historical frequency of significant supply chain or food system disruptions in Australia over the past 30 years, which includes the 1998 waterfront dispute, the 2002-03 drought, the 2010-11 Queensland floods, the 2019-20 drought and fires, and the 2021-22 COVID supply chain disruptions. Disruption is not abnormal. It is the baseline punctuated by periods of stability.</w:t>
      </w:r>
    </w:p>
    <w:p>
      <w:r>
        <w:t xml:space="preserve"/>
      </w:r>
    </w:p>
    <w:p>
      <w:r>
        <w:br w:type="page"/>
      </w:r>
    </w:p>
    <w:p>
      <w:pPr>
        <w:pStyle w:val="Heading1"/>
      </w:pPr>
      <w:r>
        <w:t xml:space="preserve">Opportunity 1 — Integrated Olive and BSFL Circular Farm</w:t>
      </w:r>
    </w:p>
    <w:p>
      <w:pPr>
        <w:spacing w:after="100"/>
      </w:pPr>
      <w:r>
        <w:rPr>
          <w:rFonts w:ascii="Arial" w:cs="Arial" w:eastAsia="Arial" w:hAnsi="Arial"/>
          <w:sz w:val="24"/>
          <w:szCs w:val="24"/>
        </w:rPr>
        <w:t xml:space="preserve">You have a BSFL bioconversion operation and an olive grove on the same property. This is not a coincidence to be managed — it is a genuine competitive advantage that most BSFL operators globally do not have. The integration creates value in at least four directions simultaneously.</w:t>
      </w:r>
    </w:p>
    <w:p>
      <w:r>
        <w:t xml:space="preserve"/>
      </w:r>
    </w:p>
    <w:p>
      <w:pPr>
        <w:pStyle w:val="Heading2"/>
      </w:pPr>
      <w:r>
        <w:t xml:space="preserve">The four integration pathways</w:t>
      </w:r>
    </w:p>
    <w:p>
      <w:r>
        <w:t xml:space="preserve"/>
      </w:r>
    </w:p>
    <w:p>
      <w:pPr>
        <w:pStyle w:val="Heading3"/>
      </w:pPr>
      <w:r>
        <w:t xml:space="preserve">1A — Frass as direct olive grove input</w:t>
      </w:r>
    </w:p>
    <w:p>
      <w:pPr>
        <w:spacing w:after="100"/>
      </w:pPr>
      <w:r>
        <w:rPr>
          <w:rFonts w:ascii="Arial" w:cs="Arial" w:eastAsia="Arial" w:hAnsi="Arial"/>
          <w:sz w:val="24"/>
          <w:szCs w:val="24"/>
        </w:rPr>
        <w:t xml:space="preserve">BSFL frass applied to olive trees provides nitrogen, phosphorus, potassium, and crucially chitin — which suppresses soil pathogens including Verticillium dahliae, one of the most damaging olive tree pathogens in Australia. Olive growers typically spend $800-1,500 per hectare per year on fertiliser inputs. If your frass replaces 30-50% of their fertiliser requirement, and the grove is approximately 1-2 hectares based on the satellite image, the on-site value of frass applied directly to your own trees is $240-1,500 per year in avoided input costs. This value does not appear in your P&amp;L but it reduces the actual cost of olive production on the property.</w:t>
      </w:r>
    </w:p>
    <w:p>
      <w:pPr>
        <w:pBdr>
          <w:left w:val="single" w:color="2E7D32" w:sz="12"/>
        </w:pBdr>
        <w:spacing w:after="80" w:before="80"/>
        <w:ind w:left="360"/>
      </w:pPr>
      <w:r>
        <w:rPr>
          <w:rFonts w:ascii="Arial" w:cs="Arial" w:eastAsia="Arial" w:hAnsi="Arial"/>
          <w:color w:val="1B5E20"/>
          <w:sz w:val="22"/>
          <w:szCs w:val="22"/>
        </w:rPr>
        <w:t xml:space="preserve">OPTION VALUE: Start applying frass to the olive grove from your first batch. Document soil samples before and after application annually. This generates the before-and-after soil health data that makes your frass product story credible to external farm buyers — you are not theorising, you are showing results from your own trees.</w:t>
      </w:r>
    </w:p>
    <w:p>
      <w:r>
        <w:t xml:space="preserve"/>
      </w:r>
    </w:p>
    <w:p>
      <w:pPr>
        <w:pStyle w:val="Heading3"/>
      </w:pPr>
      <w:r>
        <w:t xml:space="preserve">1B — Premium olive oil marketing story</w:t>
      </w:r>
    </w:p>
    <w:p>
      <w:pPr>
        <w:spacing w:after="100"/>
      </w:pPr>
      <w:r>
        <w:rPr>
          <w:rFonts w:ascii="Arial" w:cs="Arial" w:eastAsia="Arial" w:hAnsi="Arial"/>
          <w:sz w:val="24"/>
          <w:szCs w:val="24"/>
        </w:rPr>
        <w:t xml:space="preserve">A small-batch extra virgin olive oil produced on a property where food waste is converted to soil amendment by insects closes a complete circular loop from table scraps to olive oil. This story has genuine premium market value in the current Australian food culture. Specialty food retailers, farmers market customers, and food media respond strongly to demonstrably circular production. Locally produced Australian extra virgin olive oil already commands $15-40 per 500ml at farmers markets. A documented circular farm story — with your microscope photography, batch tracking, and soil amendment records as evidence — could support pricing at the upper end of that range or above it.</w:t>
      </w:r>
    </w:p>
    <w:p>
      <w:pPr>
        <w:spacing w:after="100"/>
      </w:pPr>
      <w:r>
        <w:rPr>
          <w:rFonts w:ascii="Arial" w:cs="Arial" w:eastAsia="Arial" w:hAnsi="Arial"/>
          <w:sz w:val="24"/>
          <w:szCs w:val="24"/>
        </w:rPr>
        <w:t xml:space="preserve">The olive oil revenue itself is separate from the BSFL business but the combined farm story multiplies the value of both. You are not a bug farmer with an olive tree. You are a circular food system producing premium olive oil from a documented zero-waste operation. That is a different product at a different price point.</w:t>
      </w:r>
    </w:p>
    <w:p>
      <w:r>
        <w:t xml:space="preserve"/>
      </w:r>
    </w:p>
    <w:p>
      <w:pPr>
        <w:pStyle w:val="Heading3"/>
      </w:pPr>
      <w:r>
        <w:t xml:space="preserve">1C — On-farm demonstration site for protocol licensing</w:t>
      </w:r>
    </w:p>
    <w:p>
      <w:pPr>
        <w:spacing w:after="100"/>
      </w:pPr>
      <w:r>
        <w:rPr>
          <w:rFonts w:ascii="Arial" w:cs="Arial" w:eastAsia="Arial" w:hAnsi="Arial"/>
          <w:sz w:val="24"/>
          <w:szCs w:val="24"/>
        </w:rPr>
        <w:t xml:space="preserve">A licensed protocol needs proof that it works in a real integrated farm context, not just in an industrial shed. When you approach potential licensees in non-competing geographies, they will want to visit a working operation. A farm visit that shows the tunnel producing larvae, the frass going to the olive grove, and a bottle of the resulting olive oil on the table is a more compelling demonstration than any document. The physical integration of your operation makes the licensing story tangible in a way that an urban industrial BSFL facility cannot replicate.</w:t>
      </w:r>
    </w:p>
    <w:p>
      <w:r>
        <w:t xml:space="preserve"/>
      </w:r>
    </w:p>
    <w:p>
      <w:pPr>
        <w:pStyle w:val="Heading3"/>
      </w:pPr>
      <w:r>
        <w:t xml:space="preserve">1D — Agritourism and educational visits</w:t>
      </w:r>
    </w:p>
    <w:p>
      <w:pPr>
        <w:spacing w:after="100"/>
      </w:pPr>
      <w:r>
        <w:rPr>
          <w:rFonts w:ascii="Arial" w:cs="Arial" w:eastAsia="Arial" w:hAnsi="Arial"/>
          <w:sz w:val="24"/>
          <w:szCs w:val="24"/>
        </w:rPr>
        <w:t xml:space="preserve">Farm visits, school educational tours, and agritourism are growing in the Lockyer Valley. A farm that combines olive growing, insect bioconversion, and demonstrable circular agriculture principles is genuinely educational and genuinely unusual. A half-day farm visit at $25-50 per person for school groups or $80-120 for adult agritourism experiences generates revenue from the farm story rather than from production alone.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Revenue pathway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Normal 10yr value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Doomer 10yr value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 weight</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Frass to olive grove (avoided costs)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$2,400-15,000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$4,800-30,000 (food prices 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35%, Doomer 65%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$3,960-22,500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olive oil uplift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$5,000-25,000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$8,000-40,000 (local premium rises)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35%, Doomer 65%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$7,250-34,250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Licensing demonstration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$20,000-100,000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$30,000-150,000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35%, Doomer 65%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$26,500-132,500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Agritourism visits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$5,000-30,000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$3,000-20,000 (travel may reduce)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35%, Doomer 65%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$3,700-25,500</w:t>
            </w:r>
          </w:p>
        </w:tc>
      </w:tr>
      <w:tr>
        <w:trPr>
          <w:tblHeader w:val="false"/>
        </w:trP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10-year expected value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$41,410-214,750</w:t>
            </w:r>
          </w:p>
        </w:tc>
      </w:tr>
    </w:tbl>
    <w:p>
      <w:r>
        <w:t xml:space="preserve"/>
      </w:r>
    </w:p>
    <w:p>
      <w:pPr>
        <w:pBdr>
          <w:left w:val="single" w:color="C0392B" w:sz="12"/>
        </w:pBdr>
        <w:spacing w:after="80" w:before="80"/>
        <w:ind w:left="360"/>
      </w:pPr>
      <w:r>
        <w:rPr>
          <w:rFonts w:ascii="Arial" w:cs="Arial" w:eastAsia="Arial" w:hAnsi="Arial"/>
          <w:color w:val="922B21"/>
          <w:sz w:val="22"/>
          <w:szCs w:val="22"/>
        </w:rPr>
        <w:t xml:space="preserve">DOOMER SIGNAL: The doomer conditions actually increase the value of this opportunity in most dimensions — food price inflation makes local circular production more valuable, not less. This is one of the rare opportunities that is worth more under adverse conditions than under normal ones. It deserves early investment of time and documentation.</w:t>
      </w:r>
    </w:p>
    <w:p>
      <w:r>
        <w:t xml:space="preserve"/>
      </w:r>
    </w:p>
    <w:p>
      <w:r>
        <w:br w:type="page"/>
      </w:r>
    </w:p>
    <w:p>
      <w:pPr>
        <w:pStyle w:val="Heading1"/>
      </w:pPr>
      <w:r>
        <w:t xml:space="preserve">Opportunity 2 — Wound Care and Pharmaceutical Chitosan</w:t>
      </w:r>
    </w:p>
    <w:p>
      <w:pPr>
        <w:spacing w:after="100"/>
      </w:pPr>
      <w:r>
        <w:rPr>
          <w:rFonts w:ascii="Arial" w:cs="Arial" w:eastAsia="Arial" w:hAnsi="Arial"/>
          <w:sz w:val="24"/>
          <w:szCs w:val="24"/>
        </w:rPr>
        <w:t xml:space="preserve">Your chitosan pathway is already documented at agricultural grade ($15-40/kg) and specialty horticultural grade ($50-80/kg). There is a third tier that most BSFL operators never reach: pharmaceutical and medical-grade chitosan for wound care applications.</w:t>
      </w:r>
    </w:p>
    <w:p>
      <w:r>
        <w:t xml:space="preserve"/>
      </w:r>
    </w:p>
    <w:p>
      <w:pPr>
        <w:pStyle w:val="Heading2"/>
      </w:pPr>
      <w:r>
        <w:t xml:space="preserve">Why BSF-derived chitosan is different</w:t>
      </w:r>
    </w:p>
    <w:p>
      <w:pPr>
        <w:spacing w:after="100"/>
      </w:pPr>
      <w:r>
        <w:rPr>
          <w:rFonts w:ascii="Arial" w:cs="Arial" w:eastAsia="Arial" w:hAnsi="Arial"/>
          <w:sz w:val="24"/>
          <w:szCs w:val="24"/>
        </w:rPr>
        <w:t xml:space="preserve">Wound care chitosan requires high purity, high deacetylation degree (above 85% DD), and a traceable, contaminant-free source. Crustacean-derived chitosan — the dominant commercial source — has variable heavy metal contamination from shellfish processing and significant batch-to-batch inconsistency. BSF-derived chitosan has none of these problems because the substrate is controlled, the process is documented, and the insect origin produces a naturally cleaner product. International specialty suppliers describe BSF-derived chitosan as the gold standard specifically because of these properties.</w:t>
      </w:r>
    </w:p>
    <w:p>
      <w:pPr>
        <w:spacing w:after="100"/>
      </w:pPr>
      <w:r>
        <w:rPr>
          <w:rFonts w:ascii="Arial" w:cs="Arial" w:eastAsia="Arial" w:hAnsi="Arial"/>
          <w:sz w:val="24"/>
          <w:szCs w:val="24"/>
        </w:rPr>
        <w:t xml:space="preserve">Wound care chitosan dressings are used in hospitals, aged care facilities, and emergency medicine for haemostasis and wound healing. The global wound care chitosan market is valued at approximately USD 3.5 billion and growing at 12% annually. Australian medical device manufacturers and hospital procurement teams are the relevant buyers at Stage 1 scale. Pricing for pharmaceutical-grade chitosan is $200-500/kg depending on purity documentation.</w:t>
      </w:r>
    </w:p>
    <w:p>
      <w:r>
        <w:t xml:space="preserve"/>
      </w:r>
    </w:p>
    <w:p>
      <w:pPr>
        <w:pStyle w:val="Heading2"/>
      </w:pPr>
      <w:r>
        <w:t xml:space="preserve">What needs to be true to reach this market</w:t>
      </w:r>
    </w:p>
    <w:p>
      <w:pPr>
        <w:pStyle w:val="ListParagraph"/>
        <w:numPr>
          <w:ilvl w:val="0"/>
          <w:numId w:val="2"/>
        </w:numPr>
      </w:pPr>
      <w:r>
        <w:rPr>
          <w:rFonts w:ascii="Arial" w:cs="Arial" w:eastAsia="Arial" w:hAnsi="Arial"/>
          <w:sz w:val="22"/>
          <w:szCs w:val="22"/>
        </w:rPr>
        <w:t xml:space="preserve">Deacetylation degree above 85% — requires more rigorous deacetylation conditions than agricultural grade production</w:t>
      </w:r>
    </w:p>
    <w:p>
      <w:pPr>
        <w:pStyle w:val="ListParagraph"/>
        <w:numPr>
          <w:ilvl w:val="0"/>
          <w:numId w:val="2"/>
        </w:numPr>
      </w:pPr>
      <w:r>
        <w:rPr>
          <w:rFonts w:ascii="Arial" w:cs="Arial" w:eastAsia="Arial" w:hAnsi="Arial"/>
          <w:sz w:val="22"/>
          <w:szCs w:val="22"/>
        </w:rPr>
        <w:t xml:space="preserve">Independent NATA-accredited laboratory certificate of analysis for every batch — approximately $200-400 per test</w:t>
      </w:r>
    </w:p>
    <w:p>
      <w:pPr>
        <w:pStyle w:val="ListParagraph"/>
        <w:numPr>
          <w:ilvl w:val="0"/>
          <w:numId w:val="2"/>
        </w:numPr>
      </w:pPr>
      <w:r>
        <w:rPr>
          <w:rFonts w:ascii="Arial" w:cs="Arial" w:eastAsia="Arial" w:hAnsi="Arial"/>
          <w:sz w:val="22"/>
          <w:szCs w:val="22"/>
        </w:rPr>
        <w:t xml:space="preserve">TGA notification as a medical device component if sold to Australian wound care manufacturers — complex regulatory pathway, 12-24 months minimum</w:t>
      </w:r>
    </w:p>
    <w:p>
      <w:pPr>
        <w:pStyle w:val="ListParagraph"/>
        <w:numPr>
          <w:ilvl w:val="0"/>
          <w:numId w:val="2"/>
        </w:numPr>
      </w:pPr>
      <w:r>
        <w:rPr>
          <w:rFonts w:ascii="Arial" w:cs="Arial" w:eastAsia="Arial" w:hAnsi="Arial"/>
          <w:sz w:val="22"/>
          <w:szCs w:val="22"/>
        </w:rPr>
        <w:t xml:space="preserve">Documented substrate consistency — your batch tracking system is already building this</w:t>
      </w:r>
    </w:p>
    <w:p>
      <w:pPr>
        <w:pStyle w:val="ListParagraph"/>
        <w:numPr>
          <w:ilvl w:val="0"/>
          <w:numId w:val="2"/>
        </w:numPr>
      </w:pPr>
      <w:r>
        <w:rPr>
          <w:rFonts w:ascii="Arial" w:cs="Arial" w:eastAsia="Arial" w:hAnsi="Arial"/>
          <w:sz w:val="22"/>
          <w:szCs w:val="22"/>
        </w:rPr>
        <w:t xml:space="preserve">Minimum order quantities of 500g-1kg per batch — achievable at Stage 1 frass volumes</w:t>
      </w:r>
    </w:p>
    <w:p>
      <w:r>
        <w:t xml:space="preserve"/>
      </w:r>
    </w:p>
    <w:p>
      <w:pPr>
        <w:pBdr>
          <w:left w:val="single" w:color="9B59B6" w:sz="12"/>
        </w:pBdr>
        <w:spacing w:after="80" w:before="80"/>
        <w:ind w:left="360"/>
      </w:pPr>
      <w:r>
        <w:rPr>
          <w:rFonts w:ascii="Arial" w:cs="Arial" w:eastAsia="Arial" w:hAnsi="Arial"/>
          <w:color w:val="6C3483"/>
          <w:sz w:val="22"/>
          <w:szCs w:val="22"/>
        </w:rPr>
        <w:t xml:space="preserve">SCENARIO: Under normal conditions this market is accessible but requires 18-24 months of regulatory work and capital for TGA notification. Under D1 or D2 conditions where import costs for crustacean chitosan rise significantly, domestic BSF-derived chitosan becomes cost-competitive much faster and regulatory pathways may be expedited.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20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 revenue at Stage 1</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10yr cumulative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agricultural grade only (base case already modelled)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$1,200-4,000/yr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$12,000-40,000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$4,200-14,000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pharma grade achieved (optimistic)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$15,000-40,000/yr from yr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$120,000-320,000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$18,000-48,000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Doomer D1 — import chitosan costs rise 3x, domestic premium increases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$25,000-80,000/yr from yr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$200,000-640,000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$60,000-192,000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Doomer D3 — government procurement of domestic wound care inputs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$50,000-200,000/yr from yr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$350,000-1,400,000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$70,000-280,000</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expected value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$152,200-534,000</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OPTION VALUE: The option value here is high and the cost of preserving it is low. Adding deacetylation degree measurement to your chitosan extraction protocol from month 4 costs approximately $80 per test. Running 6 tests over the first 12 months gives you a documented DD history. If the pharmaceutical market never becomes viable, you have spent $480. If it does, you have 12 months of documentation that a competitor starting later does not have.</w:t>
      </w:r>
    </w:p>
    <w:p>
      <w:r>
        <w:t xml:space="preserve"/>
      </w:r>
    </w:p>
    <w:p>
      <w:r>
        <w:br w:type="page"/>
      </w:r>
    </w:p>
    <w:p>
      <w:pPr>
        <w:pStyle w:val="Heading1"/>
      </w:pPr>
      <w:r>
        <w:t xml:space="preserve">Opportunity 3 — Defence, Emergency Preparedness, and Distributed Food Security</w:t>
      </w:r>
    </w:p>
    <w:p>
      <w:pPr>
        <w:spacing w:after="100"/>
      </w:pPr>
      <w:r>
        <w:rPr>
          <w:rFonts w:ascii="Arial" w:cs="Arial" w:eastAsia="Arial" w:hAnsi="Arial"/>
          <w:sz w:val="24"/>
          <w:szCs w:val="24"/>
        </w:rPr>
        <w:t xml:space="preserve">This opportunity sits at the intersection of food security, military logistics, and emergency management — three areas that are simultaneously low-probability in their most dramatic forms but where early positioning costs almost nothing and the payoff under doomer conditions is very large.</w:t>
      </w:r>
    </w:p>
    <w:p>
      <w:r>
        <w:t xml:space="preserve"/>
      </w:r>
    </w:p>
    <w:p>
      <w:pPr>
        <w:pStyle w:val="Heading2"/>
      </w:pPr>
      <w:r>
        <w:t xml:space="preserve">The defence and emergency management angle</w:t>
      </w:r>
    </w:p>
    <w:p>
      <w:pPr>
        <w:spacing w:after="100"/>
      </w:pPr>
      <w:r>
        <w:rPr>
          <w:rFonts w:ascii="Arial" w:cs="Arial" w:eastAsia="Arial" w:hAnsi="Arial"/>
          <w:sz w:val="24"/>
          <w:szCs w:val="24"/>
        </w:rPr>
        <w:t xml:space="preserve">BSFL bioconversion is one of the very few protein production systems that can operate on almost any organic waste stream, in a controlled environment, with a very small physical footprint, and with no dependence on global supply chains. These properties are exactly what defence and emergency management agencies look for in forward operating base food production and disaster response food security systems.</w:t>
      </w:r>
    </w:p>
    <w:p>
      <w:pPr>
        <w:spacing w:after="100"/>
      </w:pPr>
      <w:r>
        <w:rPr>
          <w:rFonts w:ascii="Arial" w:cs="Arial" w:eastAsia="Arial" w:hAnsi="Arial"/>
          <w:sz w:val="24"/>
          <w:szCs w:val="24"/>
        </w:rPr>
        <w:t xml:space="preserve">CSIRO, DST Group (Defence Science and Technology), and the Australian Army Research Centre have active programs examining insect protein for logistics applications. The United States military has funded insect protein research specifically for forward operating base food production. The European Defence Agency has published on insect bioconversion for military food security. Australia is approximately 3-5 years behind the US and EU on this but the policy interest is there.</w:t>
      </w:r>
    </w:p>
    <w:p>
      <w:pPr>
        <w:spacing w:after="100"/>
      </w:pPr>
      <w:r>
        <w:rPr>
          <w:rFonts w:ascii="Arial" w:cs="Arial" w:eastAsia="Arial" w:hAnsi="Arial"/>
          <w:sz w:val="24"/>
          <w:szCs w:val="24"/>
        </w:rPr>
        <w:t xml:space="preserve">The more immediate and realistic pathway is not direct military supply but emergency management. State Emergency Services, Queensland Disaster Management, and local government emergency planning increasingly include food security provisions. A documented, portable BSFL protocol that can be operated in a temporary structure using local waste streams is genuinely valuable to emergency management planners.</w:t>
      </w:r>
    </w:p>
    <w:p>
      <w:r>
        <w:t xml:space="preserve"/>
      </w:r>
    </w:p>
    <w:p>
      <w:pPr>
        <w:pStyle w:val="Heading2"/>
      </w:pPr>
      <w:r>
        <w:t xml:space="preserve">The specific Australian angle</w:t>
      </w:r>
    </w:p>
    <w:p>
      <w:pPr>
        <w:spacing w:after="100"/>
      </w:pPr>
      <w:r>
        <w:rPr>
          <w:rFonts w:ascii="Arial" w:cs="Arial" w:eastAsia="Arial" w:hAnsi="Arial"/>
          <w:sz w:val="24"/>
          <w:szCs w:val="24"/>
        </w:rPr>
        <w:t xml:space="preserve">Australia's geographic isolation makes import-dependent food systems genuinely vulnerable in ways that European or North American supply chains are not. A 10-day shipping delay that causes a minor inconvenience in Germany becomes a serious food security issue in northern Queensland or Western Australia. This structural vulnerability is understood at the policy level and is driving the domestic food production agenda in ways that are not yet visible in the mainstream funding landscape.</w:t>
      </w:r>
    </w:p>
    <w:p>
      <w:pPr>
        <w:spacing w:after="100"/>
      </w:pPr>
      <w:r>
        <w:rPr>
          <w:rFonts w:ascii="Arial" w:cs="Arial" w:eastAsia="Arial" w:hAnsi="Arial"/>
          <w:sz w:val="24"/>
          <w:szCs w:val="24"/>
        </w:rPr>
        <w:t xml:space="preserve">Your operation is in the Lockyer Valley — which produces approximately one third of Australia's fresh vegetables and is therefore already understood by government as a strategic food production region. A BSFL protein production operation in the Lockyer Valley with a documented protocol, council relationships, and a track record of waste diversion is positioned to participate in any government food security initiative in ways that an urban operator is not.</w:t>
      </w:r>
    </w:p>
    <w:p>
      <w:r>
        <w:t xml:space="preserve"/>
      </w:r>
    </w:p>
    <w:p>
      <w:pPr>
        <w:pBdr>
          <w:left w:val="single" w:color="9B59B6" w:sz="12"/>
        </w:pBdr>
        <w:spacing w:after="80" w:before="80"/>
        <w:ind w:left="360"/>
      </w:pPr>
      <w:r>
        <w:rPr>
          <w:rFonts w:ascii="Arial" w:cs="Arial" w:eastAsia="Arial" w:hAnsi="Arial"/>
          <w:color w:val="6C3483"/>
          <w:sz w:val="22"/>
          <w:szCs w:val="22"/>
        </w:rPr>
        <w:t xml:space="preserve">SCENARIO: Under normal conditions the direct military and emergency management market is small and slow to procure. Under D1 or D3 conditions — particularly a supply chain disruption that draws government attention to domestic protein production vulnerability — this market could become very large very quickly. The historical pattern is that governments move slowly until they do not.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20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10yr cumulative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protocol licensing to emergency planners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$5,000-20,000/yr from yr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$35,000-140,000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$7,000-28,000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D1+D2 — supply shock triggers government domestic protein program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$50,000-200,000/yr from yr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$350,000-1,400,000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$87,500-350,000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D3 — formal government food security procurement contract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$100,000-500,000/yr from yr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$600,000-3,000,000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$90,000-450,000</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expected value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$184,500-828,000</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OPTION VALUE: The option value for this opportunity is almost entirely in relationships and documentation rather than capital. Attend one Queensland Disaster Management conference as an observer. Email DST Group and introduce your operation. These actions cost one day and $0. If nothing ever comes of it, the cost is negligible. If D3 materialises, being a known entity with a documented protocol and government relationships is worth millions.</w:t>
      </w:r>
    </w:p>
    <w:p>
      <w:r>
        <w:t xml:space="preserve"/>
      </w:r>
    </w:p>
    <w:p>
      <w:r>
        <w:br w:type="page"/>
      </w:r>
    </w:p>
    <w:p>
      <w:pPr>
        <w:pStyle w:val="Heading1"/>
      </w:pPr>
      <w:r>
        <w:t xml:space="preserve">Opportunity 4 — Prison, Rehabilitation, and Community Programs</w:t>
      </w:r>
    </w:p>
    <w:p>
      <w:pPr>
        <w:spacing w:after="100"/>
      </w:pPr>
      <w:r>
        <w:rPr>
          <w:rFonts w:ascii="Arial" w:cs="Arial" w:eastAsia="Arial" w:hAnsi="Arial"/>
          <w:sz w:val="24"/>
          <w:szCs w:val="24"/>
        </w:rPr>
        <w:t xml:space="preserve">Several countries including the United States, the Netherlands, and Kenya run BSFL bioconversion programs in correctional facilities and community rehabilitation programs. The model is straightforward: a simple, documented protocol operated by inmates or community service participants converts organic waste, produces food or animal feed, and provides genuine vocational skills. The protocol operator receives a management fee, a royalty on product sold, and in some cases a tipping fee on waste processed.</w:t>
      </w:r>
    </w:p>
    <w:p>
      <w:r>
        <w:t xml:space="preserve"/>
      </w:r>
    </w:p>
    <w:p>
      <w:pPr>
        <w:pStyle w:val="Heading2"/>
      </w:pPr>
      <w:r>
        <w:t xml:space="preserve">The Australian context</w:t>
      </w:r>
    </w:p>
    <w:p>
      <w:pPr>
        <w:spacing w:after="100"/>
      </w:pPr>
      <w:r>
        <w:rPr>
          <w:rFonts w:ascii="Arial" w:cs="Arial" w:eastAsia="Arial" w:hAnsi="Arial"/>
          <w:sz w:val="24"/>
          <w:szCs w:val="24"/>
        </w:rPr>
        <w:t xml:space="preserve">Queensland Corrective Services operates prison farms and agricultural programs across the state. The Darling Downs Correctional Centre and Southern Queensland Correctional Centre are both within 60-90 minutes of the Lockyer Valley. Queensland also operates community service programs through the Department of Justice. These programs actively seek new vocational activities with genuine employment pathways.</w:t>
      </w:r>
    </w:p>
    <w:p>
      <w:pPr>
        <w:spacing w:after="100"/>
      </w:pPr>
      <w:r>
        <w:rPr>
          <w:rFonts w:ascii="Arial" w:cs="Arial" w:eastAsia="Arial" w:hAnsi="Arial"/>
          <w:sz w:val="24"/>
          <w:szCs w:val="24"/>
        </w:rPr>
        <w:t xml:space="preserve">The specific fit of BSFL bioconversion for a correctional or rehabilitation context is unusually strong. The work is: physically simple enough for people with limited experience, technically interesting enough to maintain engagement, scientifically documented in a way that generates genuine pride in the operators, and commercially viable in a way that most prison farm activities are not. The larvae and frass have real buyers. The work matters.</w:t>
      </w:r>
    </w:p>
    <w:p>
      <w:pPr>
        <w:spacing w:after="100"/>
      </w:pPr>
      <w:r>
        <w:rPr>
          <w:rFonts w:ascii="Arial" w:cs="Arial" w:eastAsia="Arial" w:hAnsi="Arial"/>
          <w:sz w:val="24"/>
          <w:szCs w:val="24"/>
        </w:rPr>
        <w:t xml:space="preserve">Your biological sciences and management background combined with a working protocol and commercial relationships makes you a credible partner for a correctional or community services program in a way that most BSFL operators are not. You are not pitching a hobby project. You are pitching a documented commercial protocol with yield data, customer relationships, and a licensing model that the institution can operate under your IP with a royalty arrangement.</w:t>
      </w:r>
    </w:p>
    <w:p>
      <w:r>
        <w:t xml:space="preserve"/>
      </w:r>
    </w:p>
    <w:p>
      <w:pPr>
        <w:pStyle w:val="Heading2"/>
      </w:pPr>
      <w:r>
        <w:t xml:space="preserve">Revenue model for this opportunity</w:t>
      </w:r>
    </w:p>
    <w:p>
      <w:pPr>
        <w:spacing w:after="100"/>
      </w:pPr>
      <w:r>
        <w:rPr>
          <w:rFonts w:ascii="Arial" w:cs="Arial" w:eastAsia="Arial" w:hAnsi="Arial"/>
          <w:sz w:val="24"/>
          <w:szCs w:val="24"/>
        </w:rPr>
        <w:t xml:space="preserve">The operator (you) provides: the protocol license, initial training, ongoing technical support, and access to your customer relationships. The institution provides: labour, basic infrastructure, and waste stream. Revenue split: management fee of $2,000-5,000 per month from the institution, plus royalty of 8-12% on product revenue, plus tipping fee on waste processed if applicable.</w:t>
      </w:r>
    </w:p>
    <w:p>
      <w:pPr>
        <w:spacing w:after="100"/>
      </w:pPr>
      <w:r>
        <w:rPr>
          <w:rFonts w:ascii="Arial" w:cs="Arial" w:eastAsia="Arial" w:hAnsi="Arial"/>
          <w:sz w:val="24"/>
          <w:szCs w:val="24"/>
        </w:rPr>
        <w:t xml:space="preserve">A single correctional facility running a 4-IBC BSFL operation at your current scale would generate approximately $8,000-15,000 per year in management fees and royalties at steady state. The more significant value is that each correctional facility becomes a proof-of-concept site for the broader licensing model — a government-endorsed, independently operated, documented BSFL protocol is the most credible possible reference for commercial licensees.</w:t>
      </w:r>
    </w:p>
    <w:p>
      <w:r>
        <w:t xml:space="preserve"/>
      </w:r>
    </w:p>
    <w:p>
      <w:pPr>
        <w:pBdr>
          <w:left w:val="single" w:color="9B59B6" w:sz="12"/>
        </w:pBdr>
        <w:spacing w:after="80" w:before="80"/>
        <w:ind w:left="360"/>
      </w:pPr>
      <w:r>
        <w:rPr>
          <w:rFonts w:ascii="Arial" w:cs="Arial" w:eastAsia="Arial" w:hAnsi="Arial"/>
          <w:color w:val="6C3483"/>
          <w:sz w:val="22"/>
          <w:szCs w:val="22"/>
        </w:rPr>
        <w:t xml:space="preserve">SCENARIO: Under normal conditions this requires active relationship-building with Queensland Corrective Services and the Department of Justice over 12-24 months. Under D2 or D3 conditions where unemployment rises, prison populations increase, and government seeks cost-effective vocational programs, the appetite for this type of arrangement increases significantly and the procurement timeline compresses.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20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10yr cumulative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one facility, management fee plus royalty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$8,000-15,000/yr from yr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$56,000-105,000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$11,200-21,000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three facilities at yr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$24,000-45,000/yr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$120,000-225,000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$12,000-22,500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D2+D3 — government actively seeks vocational food security programs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$40,000-120,000/yr from yr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$280,000-840,000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$56,000-168,000</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expected value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$79,200-211,500</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OPTION VALUE: The relationship-building action here is a single letter to the Director-General of Queensland Corrective Services introducing your operation and expressing interest in a vocational program partnership. It costs 30 minutes and a stamp. The response rate is low but the option value of being in their system when a relevant program opens is high.</w:t>
      </w:r>
    </w:p>
    <w:p>
      <w:r>
        <w:t xml:space="preserve"/>
      </w:r>
    </w:p>
    <w:p>
      <w:r>
        <w:br w:type="page"/>
      </w:r>
    </w:p>
    <w:p>
      <w:pPr>
        <w:pStyle w:val="Heading1"/>
      </w:pPr>
      <w:r>
        <w:t xml:space="preserve">Opportunity 5 — Larval Oil as Cosmetics Ingredient</w:t>
      </w:r>
    </w:p>
    <w:p>
      <w:pPr>
        <w:spacing w:after="100"/>
      </w:pPr>
      <w:r>
        <w:rPr>
          <w:rFonts w:ascii="Arial" w:cs="Arial" w:eastAsia="Arial" w:hAnsi="Arial"/>
          <w:sz w:val="24"/>
          <w:szCs w:val="24"/>
        </w:rPr>
        <w:t xml:space="preserve">BSF larval oil has a fatty acid profile that is attracting significant attention from cosmetics formulators. The oil is approximately 50-55% lauric acid — similar to coconut oil but with dramatically better sustainability credentials, a traceable insect origin, and novel biological properties that cosmetics chemists find interesting. Lauric acid is a key ingredient in cleansers, moisturisers, and hair care products.</w:t>
      </w:r>
    </w:p>
    <w:p>
      <w:r>
        <w:t xml:space="preserve"/>
      </w:r>
    </w:p>
    <w:p>
      <w:pPr>
        <w:pStyle w:val="Heading2"/>
      </w:pPr>
      <w:r>
        <w:t xml:space="preserve">Why this market is moving faster than most people expect</w:t>
      </w:r>
    </w:p>
    <w:p>
      <w:pPr>
        <w:spacing w:after="100"/>
      </w:pPr>
      <w:r>
        <w:rPr>
          <w:rFonts w:ascii="Arial" w:cs="Arial" w:eastAsia="Arial" w:hAnsi="Arial"/>
          <w:sz w:val="24"/>
          <w:szCs w:val="24"/>
        </w:rPr>
        <w:t xml:space="preserve">The clean beauty movement in Australia and globally has exhausted the obvious sustainable ingredient story. Organic coconut oil, shea butter, and jojoba oil are now commodity ingredients with no differentiation. Formulators are actively seeking the next generation of sustainable ingredients with a genuinely novel story. Insect-derived cosmetic ingredients — particularly from a documented, traceable, food-waste-fed BSF operation — tick every box that the premium cosmetics market currently values: circular production, verifiable sustainability, novel biological properties, and a compelling narrative.</w:t>
      </w:r>
    </w:p>
    <w:p>
      <w:pPr>
        <w:spacing w:after="100"/>
      </w:pPr>
      <w:r>
        <w:rPr>
          <w:rFonts w:ascii="Arial" w:cs="Arial" w:eastAsia="Arial" w:hAnsi="Arial"/>
          <w:sz w:val="24"/>
          <w:szCs w:val="24"/>
        </w:rPr>
        <w:t xml:space="preserve">Australian cosmetics brands including several Lockyer Valley and SEQ-based independent formulators are already exploring insect-derived ingredients. The market does not require export — it exists domestically. A local supply of documented, food-safe BSF larval oil is genuinely hard to source in Australia and you would be one of very few domestic suppliers.</w:t>
      </w:r>
    </w:p>
    <w:p>
      <w:r>
        <w:t xml:space="preserve"/>
      </w:r>
    </w:p>
    <w:p>
      <w:pPr>
        <w:pStyle w:val="Heading2"/>
      </w:pPr>
      <w:r>
        <w:t xml:space="preserve">What needs to be true</w:t>
      </w:r>
    </w:p>
    <w:p>
      <w:pPr>
        <w:pStyle w:val="ListParagraph"/>
        <w:numPr>
          <w:ilvl w:val="0"/>
          <w:numId w:val="2"/>
        </w:numPr>
      </w:pPr>
      <w:r>
        <w:rPr>
          <w:rFonts w:ascii="Arial" w:cs="Arial" w:eastAsia="Arial" w:hAnsi="Arial"/>
          <w:sz w:val="22"/>
          <w:szCs w:val="22"/>
        </w:rPr>
        <w:t xml:space="preserve">Larval lipid extraction — at Stage 1 scale this is a simple cold-press or hexane extraction from dried larvae. A manual cold-press for small batches costs $200-400.</w:t>
      </w:r>
    </w:p>
    <w:p>
      <w:pPr>
        <w:pStyle w:val="ListParagraph"/>
        <w:numPr>
          <w:ilvl w:val="0"/>
          <w:numId w:val="2"/>
        </w:numPr>
      </w:pPr>
      <w:r>
        <w:rPr>
          <w:rFonts w:ascii="Arial" w:cs="Arial" w:eastAsia="Arial" w:hAnsi="Arial"/>
          <w:sz w:val="22"/>
          <w:szCs w:val="22"/>
        </w:rPr>
        <w:t xml:space="preserve">Cosmetics ingredient documentation — Certificate of Analysis for fatty acid profile, heavy metals, and microbial load. Approximately $150-300 per batch from a NATA laboratory.</w:t>
      </w:r>
    </w:p>
    <w:p>
      <w:pPr>
        <w:pStyle w:val="ListParagraph"/>
        <w:numPr>
          <w:ilvl w:val="0"/>
          <w:numId w:val="2"/>
        </w:numPr>
      </w:pPr>
      <w:r>
        <w:rPr>
          <w:rFonts w:ascii="Arial" w:cs="Arial" w:eastAsia="Arial" w:hAnsi="Arial"/>
          <w:sz w:val="22"/>
          <w:szCs w:val="22"/>
        </w:rPr>
        <w:t xml:space="preserve">NICNAS (now AICIS) registration — industrial chemicals notification for cosmetics use. Simplified pathway for ingredients with low risk profile. Approximately $500-2,000 and 3-6 months.</w:t>
      </w:r>
    </w:p>
    <w:p>
      <w:pPr>
        <w:pStyle w:val="ListParagraph"/>
        <w:numPr>
          <w:ilvl w:val="0"/>
          <w:numId w:val="2"/>
        </w:numPr>
      </w:pPr>
      <w:r>
        <w:rPr>
          <w:rFonts w:ascii="Arial" w:cs="Arial" w:eastAsia="Arial" w:hAnsi="Arial"/>
          <w:sz w:val="22"/>
          <w:szCs w:val="22"/>
        </w:rPr>
        <w:t xml:space="preserve">Minimum viable supply — 500ml-1L per month is sufficient for independent formulators at Stage 1. This represents approximately 5kg of dried larvae processed for oil, which is within your Stage 1 output.</w:t>
      </w:r>
    </w:p>
    <w:p>
      <w:r>
        <w:t xml:space="preserve"/>
      </w:r>
    </w:p>
    <w:p>
      <w:pPr>
        <w:pBdr>
          <w:left w:val="single" w:color="9B59B6" w:sz="12"/>
        </w:pBdr>
        <w:spacing w:after="80" w:before="80"/>
        <w:ind w:left="360"/>
      </w:pPr>
      <w:r>
        <w:rPr>
          <w:rFonts w:ascii="Arial" w:cs="Arial" w:eastAsia="Arial" w:hAnsi="Arial"/>
          <w:color w:val="6C3483"/>
          <w:sz w:val="22"/>
          <w:szCs w:val="22"/>
        </w:rPr>
        <w:t xml:space="preserve">SCENARIO: Under normal conditions this is a premium niche market worth pursuing from year 2 when you have consistent dried larvae output and the documentation infrastructure is in place. Under D2 conditions where coconut oil and other imported ingredients become significantly more expensive, domestic BSF oil becomes cost-competitive across a much wider formulators market, not just the premium niche.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20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10yr cumulative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independent formulators, premium niche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$5,000-20,000/yr from yr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$45,000-180,000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$9,000-36,000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wholesale to cosmetics distributor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$15,000-50,000/yr from yr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$105,000-350,000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$10,500-35,000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D2 — import ingredient costs rise, domestic BSF oil competitive across mainstream formulators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$30,000-100,000/yr from yr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$240,000-800,000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$60,000-200,000</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expected value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$79,500-271,000</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OPTION VALUE: The option value here is in beginning to document larval oil yield from your dehydrator runs from month 1 onward. Every dehydrator run produces some oil as a byproduct of the drying process — it appears as a small amount of liquid in the drip tray. Weigh and record it. By month 6 you have oil yield data per batch at zero additional effort. This data is your evidence base when you approach cosmetics formulators.</w:t>
      </w:r>
    </w:p>
    <w:p>
      <w:r>
        <w:t xml:space="preserve"/>
      </w:r>
    </w:p>
    <w:p>
      <w:r>
        <w:br w:type="page"/>
      </w:r>
    </w:p>
    <w:p>
      <w:pPr>
        <w:pStyle w:val="Heading1"/>
      </w:pPr>
      <w:r>
        <w:t xml:space="preserve">Opportunity 6 — BSFL Protein for Human Consumption</w:t>
      </w:r>
    </w:p>
    <w:p>
      <w:pPr>
        <w:spacing w:after="100"/>
      </w:pPr>
      <w:r>
        <w:rPr>
          <w:rFonts w:ascii="Arial" w:cs="Arial" w:eastAsia="Arial" w:hAnsi="Arial"/>
          <w:sz w:val="24"/>
          <w:szCs w:val="24"/>
        </w:rPr>
        <w:t xml:space="preserve">This is the most speculative opportunity in this document and also potentially the most valuable under certain doomer conditions. It is included not as an immediate opportunity but because the regulatory and positioning groundwork you lay now determines whether you can access it later.</w:t>
      </w:r>
    </w:p>
    <w:p>
      <w:r>
        <w:t xml:space="preserve"/>
      </w:r>
    </w:p>
    <w:p>
      <w:pPr>
        <w:pStyle w:val="Heading2"/>
      </w:pPr>
      <w:r>
        <w:t xml:space="preserve">Current Australian regulatory status</w:t>
      </w:r>
    </w:p>
    <w:p>
      <w:pPr>
        <w:spacing w:after="100"/>
      </w:pPr>
      <w:r>
        <w:rPr>
          <w:rFonts w:ascii="Arial" w:cs="Arial" w:eastAsia="Arial" w:hAnsi="Arial"/>
          <w:sz w:val="24"/>
          <w:szCs w:val="24"/>
        </w:rPr>
        <w:t xml:space="preserve">BSFL are not currently approved for direct human consumption in Australia under the FSANZ (Food Standards Australia New Zealand) framework. They are approved for animal feed under DAF biosecurity rules. However FSANZ is actively reviewing insect protein as a Novel Food, and several Australian food companies are preparing applications. The global precedent is clear — the EU approved insect protein for human consumption in 2021, Canada in 2023, and the US FDA has a pathway for GRAS (Generally Recognised as Safe) status.</w:t>
      </w:r>
    </w:p>
    <w:p>
      <w:pPr>
        <w:spacing w:after="100"/>
      </w:pPr>
      <w:r>
        <w:rPr>
          <w:rFonts w:ascii="Arial" w:cs="Arial" w:eastAsia="Arial" w:hAnsi="Arial"/>
          <w:sz w:val="24"/>
          <w:szCs w:val="24"/>
        </w:rPr>
        <w:t xml:space="preserve">The realistic Australian timeline for BSFL human consumption approval is 3-7 years under normal regulatory progression. Under D2 conditions where food price inflation creates political pressure to expand domestic protein sources, this timeline could compress significantly. Australia moved extremely quickly on regulatory approvals during COVID when circumstances demanded it.</w:t>
      </w:r>
    </w:p>
    <w:p>
      <w:r>
        <w:t xml:space="preserve"/>
      </w:r>
    </w:p>
    <w:p>
      <w:pPr>
        <w:pStyle w:val="Heading2"/>
      </w:pPr>
      <w:r>
        <w:t xml:space="preserve">The market that opens on approval</w:t>
      </w:r>
    </w:p>
    <w:p>
      <w:pPr>
        <w:spacing w:after="100"/>
      </w:pPr>
      <w:r>
        <w:rPr>
          <w:rFonts w:ascii="Arial" w:cs="Arial" w:eastAsia="Arial" w:hAnsi="Arial"/>
          <w:sz w:val="24"/>
          <w:szCs w:val="24"/>
        </w:rPr>
        <w:t xml:space="preserve">The day FSANZ approves BSFL for human consumption, every Australian food manufacturer, sports nutrition brand, and functional food company is looking for a domestic, traceable, documented supply. Your batch tracking system, your substrate documentation, and your established production protocol puts you in the first tier of credible suppliers on that day. Operators who start documenting for this market now are in a fundamentally different position from those who start when approval is announced.</w:t>
      </w:r>
    </w:p>
    <w:p>
      <w:pPr>
        <w:spacing w:after="100"/>
      </w:pPr>
      <w:r>
        <w:rPr>
          <w:rFonts w:ascii="Arial" w:cs="Arial" w:eastAsia="Arial" w:hAnsi="Arial"/>
          <w:sz w:val="24"/>
          <w:szCs w:val="24"/>
        </w:rPr>
        <w:t xml:space="preserve">Human-consumption dried larvae protein would command $150-300/kg retail versus $70-100/kg for animal feed dried larvae. The volume potential is also larger — the sports nutrition and functional food market in Australia is worth approximately $1 billion annually and growing.</w:t>
      </w:r>
    </w:p>
    <w:p>
      <w:r>
        <w:t xml:space="preserve"/>
      </w:r>
    </w:p>
    <w:p>
      <w:pPr>
        <w:pBdr>
          <w:left w:val="single" w:color="9B59B6" w:sz="12"/>
        </w:pBdr>
        <w:spacing w:after="80" w:before="80"/>
        <w:ind w:left="360"/>
      </w:pPr>
      <w:r>
        <w:rPr>
          <w:rFonts w:ascii="Arial" w:cs="Arial" w:eastAsia="Arial" w:hAnsi="Arial"/>
          <w:color w:val="6C3483"/>
          <w:sz w:val="22"/>
          <w:szCs w:val="22"/>
        </w:rPr>
        <w:t xml:space="preserve">SCENARIO: Under normal conditions this opportunity is worth positioning for but not investing in before regulatory approval. Under D2 conditions where food prices drive political acceleration of novel food approvals, this could become the largest single revenue opportunity in the operation within 5 years of approval.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20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 revenue if approved</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10yr cumulative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 of approval in 10yr</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approval in year 5-7, premium retail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$30,000-100,000/yr at Stage 1 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$90,000-300,000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$36,000-120,000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D2 — approval accelerated to year 2-3 by food price pressure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$50,000-200,000/yr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$400,000-1,600,000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$80,000-320,000</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expected value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$116,000-440,000</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OPTION VALUE: Register as a stakeholder in the FSANZ Novel Foods review process now at fsanz.gov.au. This costs nothing and gives you access to consultation documents, proposed standards, and the ability to submit comments as an industry participant. Your submission as a documented commercial BSFL operator carries significantly more weight than a consumer submission.</w:t>
      </w:r>
    </w:p>
    <w:p>
      <w:r>
        <w:t xml:space="preserve"/>
      </w:r>
    </w:p>
    <w:p>
      <w:r>
        <w:br w:type="page"/>
      </w:r>
    </w:p>
    <w:p>
      <w:pPr>
        <w:pStyle w:val="Heading1"/>
      </w:pPr>
      <w:r>
        <w:t xml:space="preserve">Opportunity 7 — Carbon Sequestration via Frass-Soil Integration</w:t>
      </w:r>
    </w:p>
    <w:p>
      <w:pPr>
        <w:spacing w:after="100"/>
      </w:pPr>
      <w:r>
        <w:rPr>
          <w:rFonts w:ascii="Arial" w:cs="Arial" w:eastAsia="Arial" w:hAnsi="Arial"/>
          <w:sz w:val="24"/>
          <w:szCs w:val="24"/>
        </w:rPr>
        <w:t xml:space="preserve">This opportunity is genuinely speculative and is included because the scientific evidence is strengthening and the regulatory framework, while not yet in place, is being actively developed. It has high option value at near-zero current cost.</w:t>
      </w:r>
    </w:p>
    <w:p>
      <w:r>
        <w:t xml:space="preserve"/>
      </w:r>
    </w:p>
    <w:p>
      <w:pPr>
        <w:pStyle w:val="Heading2"/>
      </w:pPr>
      <w:r>
        <w:t xml:space="preserve">The mechanism</w:t>
      </w:r>
    </w:p>
    <w:p>
      <w:pPr>
        <w:spacing w:after="100"/>
      </w:pPr>
      <w:r>
        <w:rPr>
          <w:rFonts w:ascii="Arial" w:cs="Arial" w:eastAsia="Arial" w:hAnsi="Arial"/>
          <w:sz w:val="24"/>
          <w:szCs w:val="24"/>
        </w:rPr>
        <w:t xml:space="preserve">BSFL frass applied to agricultural soil increases soil organic carbon through two mechanisms: direct organic matter addition from the frass material itself, and indirect stimulation of soil microbial activity via the chitin fraction. Soil organic carbon sequestration is a measurable, verifiable greenhouse gas abatement activity under the Australian Carbon Credit Unit (ACCU) scheme.</w:t>
      </w:r>
    </w:p>
    <w:p>
      <w:pPr>
        <w:spacing w:after="100"/>
      </w:pPr>
      <w:r>
        <w:rPr>
          <w:rFonts w:ascii="Arial" w:cs="Arial" w:eastAsia="Arial" w:hAnsi="Arial"/>
          <w:sz w:val="24"/>
          <w:szCs w:val="24"/>
        </w:rPr>
        <w:t xml:space="preserve">Currently there is no approved ACCU methodology for frass-derived soil carbon sequestration. However the Clean Energy Regulator is actively expanding the methodology suite and the Soil Carbon methodology already exists for agricultural land. A frass-specific addendum or a new methodology covering insect-derived biostimulant soil carbon is a plausible regulatory development within 3-7 years as the insect industry grows and lobbies for inclusion.</w:t>
      </w:r>
    </w:p>
    <w:p>
      <w:r>
        <w:t xml:space="preserve"/>
      </w:r>
    </w:p>
    <w:p>
      <w:pPr>
        <w:pStyle w:val="Heading2"/>
      </w:pPr>
      <w:r>
        <w:t xml:space="preserve">The olive grove as a pilot site</w:t>
      </w:r>
    </w:p>
    <w:p>
      <w:pPr>
        <w:spacing w:after="100"/>
      </w:pPr>
      <w:r>
        <w:rPr>
          <w:rFonts w:ascii="Arial" w:cs="Arial" w:eastAsia="Arial" w:hAnsi="Arial"/>
          <w:sz w:val="24"/>
          <w:szCs w:val="24"/>
        </w:rPr>
        <w:t xml:space="preserve">This is where the olive grove integration becomes particularly interesting. If you document baseline soil organic carbon in the olive grove now, apply frass consistently, and measure annual carbon increases, you are building a dataset that could support an ACCU methodology application or a research partnership with UQ Gatton that contributes to the methodology development. You would not just be a future beneficiary of the methodology — you could be a contributor to its creation.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20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 revenue at scale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10yr cumulative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 methodology developed, 50 ha frass application network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$15,000-40,000/yr from yr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$45,000-120,000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$6,750-18,000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D2+D3 — government fast-tracks soil carbon methodologies as food security measure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$30,000-100,000/yr from yr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$180,000-600,000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$27,000-90,000</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expected value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$33,750-108,000</w:t>
            </w:r>
          </w:p>
        </w:tc>
      </w:tr>
    </w:tbl>
    <w:p>
      <w:r>
        <w:t xml:space="preserve"/>
      </w:r>
    </w:p>
    <w:p>
      <w:pPr>
        <w:pBdr>
          <w:left w:val="single" w:color="2E7D32" w:sz="12"/>
        </w:pBdr>
        <w:spacing w:after="80" w:before="80"/>
        <w:ind w:left="360"/>
      </w:pPr>
      <w:r>
        <w:rPr>
          <w:rFonts w:ascii="Arial" w:cs="Arial" w:eastAsia="Arial" w:hAnsi="Arial"/>
          <w:color w:val="1B5E20"/>
          <w:sz w:val="22"/>
          <w:szCs w:val="22"/>
        </w:rPr>
        <w:t xml:space="preserve">OPTION VALUE: Get a baseline soil carbon test in the olive grove this month. Approximate cost $80-120 from a NATA laboratory. Apply frass from your first batch. Test again at 12 months. The data costs $160-240 total and could be worth significantly more if a carbon methodology emerges that rewards documented frass application history.</w:t>
      </w:r>
    </w:p>
    <w:p>
      <w:r>
        <w:t xml:space="preserve"/>
      </w:r>
    </w:p>
    <w:p>
      <w:r>
        <w:br w:type="page"/>
      </w:r>
    </w:p>
    <w:p>
      <w:pPr>
        <w:pStyle w:val="Heading1"/>
      </w:pPr>
      <w:r>
        <w:t xml:space="preserve">Portfolio Summary — Expected Value Across All Opportunities</w:t>
      </w:r>
    </w:p>
    <w:p>
      <w:pPr>
        <w:spacing w:after="100"/>
      </w:pPr>
      <w:r>
        <w:rPr>
          <w:rFonts w:ascii="Arial" w:cs="Arial" w:eastAsia="Arial" w:hAnsi="Arial"/>
          <w:sz w:val="24"/>
          <w:szCs w:val="24"/>
        </w:rPr>
        <w:t xml:space="preserve">The table below summarises the 10-year probability-weighted expected value across all seven opportunities. Values are presented as ranges reflecting uncertainty in both the normal-conditions market development and the doomer scenario probabilities.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226"/>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 low</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value high</w:t>
            </w:r>
          </w:p>
        </w:tc>
        <w:tc>
          <w:tcPr>
            <w:tcW w:type="dxa" w:w="2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Option value cost now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Integrated olive and BSFL circular farm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$41,410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$214,750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start documenting immediately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Pharmaceutical chitosan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$534,000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 — DD testing over 12 months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Defence and emergency preparedness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$184,500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$828,000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one letter, one conference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Prison and rehabilitation programs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$79,200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$211,500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one letter to QCS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Larval oil for cosmetics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$79,500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$271,000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document oil yield from month 1</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 Human consumption protein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$116,000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$440,000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register as FSANZ stakeholder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 Carbon sequestration via frass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$108,000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$160-240 — baseline soil carbon test</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PORTFOLIO TOTAL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$686,560</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$2,607,250</w:t>
            </w:r>
          </w:p>
        </w:tc>
        <w:tc>
          <w:tcPr>
            <w:tcW w:type="dxa" w:w="2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20"/>
                <w:szCs w:val="20"/>
              </w:rPr>
              <w:t xml:space="preserve">$640-720 total option value cost</w:t>
            </w:r>
          </w:p>
        </w:tc>
      </w:tr>
    </w:tbl>
    <w:p>
      <w:r>
        <w:t xml:space="preserve"/>
      </w:r>
    </w:p>
    <w:p>
      <w:pPr>
        <w:pStyle w:val="Heading2"/>
      </w:pPr>
      <w:r>
        <w:t xml:space="preserve">What this analysis is and is not</w:t>
      </w:r>
    </w:p>
    <w:p>
      <w:pPr>
        <w:spacing w:after="100"/>
      </w:pPr>
      <w:r>
        <w:rPr>
          <w:rFonts w:ascii="Arial" w:cs="Arial" w:eastAsia="Arial" w:hAnsi="Arial"/>
          <w:sz w:val="24"/>
          <w:szCs w:val="24"/>
        </w:rPr>
        <w:t xml:space="preserve">These expected value estimates are not revenue forecasts. They are structured estimates of the probability-weighted value of opportunities that may or may not materialise depending on market conditions, regulatory developments, and external events. The wide ranges reflect genuine uncertainty, not analytical imprecision.</w:t>
      </w:r>
    </w:p>
    <w:p>
      <w:pPr>
        <w:spacing w:after="100"/>
      </w:pPr>
      <w:r>
        <w:rPr>
          <w:rFonts w:ascii="Arial" w:cs="Arial" w:eastAsia="Arial" w:hAnsi="Arial"/>
          <w:sz w:val="24"/>
          <w:szCs w:val="24"/>
        </w:rPr>
        <w:t xml:space="preserve">What the analysis does show clearly is the asymmetric option value of low-cost positioning actions. For a total cost of $640-720 over the first 12 months — most of which is soil carbon testing — you preserve access to a portfolio of opportunities with a probability-weighted value of $686,560 to $2,607,250 over 10 years. Even if you assign only a 10% probability to the entire portfolio materialising, the expected return on $720 of option investment is approximately $68,000-260,000.</w:t>
      </w:r>
    </w:p>
    <w:p>
      <w:pPr>
        <w:spacing w:after="100"/>
      </w:pPr>
      <w:r>
        <w:rPr>
          <w:rFonts w:ascii="Arial" w:cs="Arial" w:eastAsia="Arial" w:hAnsi="Arial"/>
          <w:sz w:val="24"/>
          <w:szCs w:val="24"/>
        </w:rPr>
        <w:t xml:space="preserve">The three most important positioning actions, ranked by expected value per dollar of option cost:</w:t>
      </w:r>
    </w:p>
    <w:p>
      <w:pPr>
        <w:pStyle w:val="ListParagraph"/>
        <w:numPr>
          <w:ilvl w:val="0"/>
          <w:numId w:val="2"/>
        </w:numPr>
      </w:pPr>
      <w:r>
        <w:rPr>
          <w:rFonts w:ascii="Arial" w:cs="Arial" w:eastAsia="Arial" w:hAnsi="Arial"/>
          <w:sz w:val="22"/>
          <w:szCs w:val="22"/>
        </w:rPr>
        <w:t xml:space="preserve">Register as an FSANZ Novel Foods stakeholder — $0. Expected value contribution: $116,000-440,000.</w:t>
      </w:r>
    </w:p>
    <w:p>
      <w:pPr>
        <w:pStyle w:val="ListParagraph"/>
        <w:numPr>
          <w:ilvl w:val="0"/>
          <w:numId w:val="2"/>
        </w:numPr>
      </w:pPr>
      <w:r>
        <w:rPr>
          <w:rFonts w:ascii="Arial" w:cs="Arial" w:eastAsia="Arial" w:hAnsi="Arial"/>
          <w:sz w:val="22"/>
          <w:szCs w:val="22"/>
        </w:rPr>
        <w:t xml:space="preserve">Write one letter to Queensland Corrective Services and one to DST Group — $0. Expected value contribution: $263,700-1,039,500.</w:t>
      </w:r>
    </w:p>
    <w:p>
      <w:pPr>
        <w:pStyle w:val="ListParagraph"/>
        <w:numPr>
          <w:ilvl w:val="0"/>
          <w:numId w:val="2"/>
        </w:numPr>
      </w:pPr>
      <w:r>
        <w:rPr>
          <w:rFonts w:ascii="Arial" w:cs="Arial" w:eastAsia="Arial" w:hAnsi="Arial"/>
          <w:sz w:val="22"/>
          <w:szCs w:val="22"/>
        </w:rPr>
        <w:t xml:space="preserve">Document oil yield from dehydrator runs from month 1 — $0. Expected value contribution: $79,500-271,000.</w:t>
      </w:r>
    </w:p>
    <w:p>
      <w:r>
        <w:t xml:space="preserve"/>
      </w:r>
    </w:p>
    <w:p>
      <w:pPr>
        <w:pBdr>
          <w:left w:val="single" w:color="C0392B" w:sz="12"/>
        </w:pBdr>
        <w:spacing w:after="80" w:before="80"/>
        <w:ind w:left="360"/>
      </w:pPr>
      <w:r>
        <w:rPr>
          <w:rFonts w:ascii="Arial" w:cs="Arial" w:eastAsia="Arial" w:hAnsi="Arial"/>
          <w:color w:val="922B21"/>
          <w:sz w:val="22"/>
          <w:szCs w:val="22"/>
        </w:rPr>
        <w:t xml:space="preserve">DOOMER SIGNAL: The single most significant assumption in this analysis is the 65% probability that at least one doomer scenario occurs in 10 years. If you believe this probability is lower — say 30% — the expected values roughly halve. If you believe it is higher — say 80% — they increase proportionally. The framing matters: these are not doom bets. They are positions in a portfolio of scenarios, most of which have real precedent in recent Australian history.</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2026-04-22T05:16:10.510Z</dcterms:created>
  <dcterms:modified xsi:type="dcterms:W3CDTF">2026-04-22T05:16:10.512Z</dcterms:modified>
</cp:coreProperties>
</file>

<file path=docProps/custom.xml><?xml version="1.0" encoding="utf-8"?>
<Properties xmlns="http://schemas.openxmlformats.org/officeDocument/2006/custom-properties" xmlns:vt="http://schemas.openxmlformats.org/officeDocument/2006/docPropsVTypes"/>
</file>