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3A5C"/>
          <w:sz w:val="48"/>
          <w:szCs w:val="48"/>
        </w:rPr>
        <w:t xml:space="preserve">BSFL Grow Frame — Build Instructions</w:t>
      </w:r>
    </w:p>
    <w:p>
      <w:pPr>
        <w:spacing w:after="40"/>
      </w:pPr>
      <w:r>
        <w:rPr>
          <w:rFonts w:ascii="Arial" w:cs="Arial" w:eastAsia="Arial" w:hAnsi="Arial"/>
          <w:color w:val="666666"/>
          <w:sz w:val="22"/>
          <w:szCs w:val="22"/>
        </w:rPr>
        <w:t xml:space="preserve">658 Lefthand Branch Rd, Lockyer Valley QLD</w:t>
      </w:r>
    </w:p>
    <w:p>
      <w:pPr>
        <w:spacing w:after="40"/>
      </w:pPr>
      <w:r>
        <w:rPr>
          <w:rFonts w:ascii="Arial" w:cs="Arial" w:eastAsia="Arial" w:hAnsi="Arial"/>
          <w:color w:val="666666"/>
          <w:sz w:val="22"/>
          <w:szCs w:val="22"/>
        </w:rPr>
        <w:t xml:space="preserve">IBC grow frame with migration harvest ramp  |  Stage 1 production system</w:t>
      </w:r>
    </w:p>
    <w:p>
      <w:pPr>
        <w:pBdr>
          <w:bottom w:val="single" w:color="CCCCCC" w:sz="4" w:space="1"/>
        </w:pBdr>
        <w:spacing w:after="280"/>
      </w:pPr>
      <w:r>
        <w:rPr>
          <w:rFonts w:ascii="Arial" w:cs="Arial" w:eastAsia="Arial" w:hAnsi="Arial"/>
          <w:color w:val="888888"/>
          <w:sz w:val="20"/>
          <w:szCs w:val="20"/>
        </w:rPr>
        <w:t xml:space="preserve">April 2026  |  Repeat for each of 4 IBCs staggered 3 days apart</w:t>
      </w:r>
    </w:p>
    <w:p>
      <w:r>
        <w:t xml:space="preserve"/>
      </w:r>
    </w:p>
    <w:p>
      <w:pPr>
        <w:pStyle w:val="Heading2"/>
      </w:pPr>
      <w:r>
        <w:t xml:space="preserve">Tools required (whole build)</w:t>
      </w:r>
    </w:p>
    <w:p>
      <w:pPr>
        <w:pStyle w:val="ListParagraph"/>
        <w:numPr>
          <w:ilvl w:val="0"/>
          <w:numId w:val="2"/>
        </w:numPr>
      </w:pPr>
      <w:r>
        <w:rPr>
          <w:rFonts w:ascii="Arial" w:cs="Arial" w:eastAsia="Arial" w:hAnsi="Arial"/>
          <w:sz w:val="22"/>
          <w:szCs w:val="22"/>
        </w:rPr>
        <w:t xml:space="preserve">Tape measure, pencil, set square  </w:t>
      </w:r>
      <w:r>
        <w:rPr>
          <w:rFonts w:ascii="Arial" w:cs="Arial" w:eastAsia="Arial" w:hAnsi="Arial"/>
          <w:b/>
          <w:bCs/>
          <w:sz w:val="22"/>
          <w:szCs w:val="22"/>
        </w:rPr>
        <w:t xml:space="preserve">1 each</w:t>
      </w:r>
    </w:p>
    <w:p>
      <w:pPr>
        <w:pStyle w:val="ListParagraph"/>
        <w:numPr>
          <w:ilvl w:val="0"/>
          <w:numId w:val="2"/>
        </w:numPr>
      </w:pPr>
      <w:r>
        <w:rPr>
          <w:rFonts w:ascii="Arial" w:cs="Arial" w:eastAsia="Arial" w:hAnsi="Arial"/>
          <w:sz w:val="22"/>
          <w:szCs w:val="22"/>
        </w:rPr>
        <w:t xml:space="preserve">Handsaw or circular saw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Power drill + 4mm and 8mm drill bits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Staple gun + 8mm galvanised staples  </w:t>
      </w:r>
      <w:r>
        <w:rPr>
          <w:rFonts w:ascii="Arial" w:cs="Arial" w:eastAsia="Arial" w:hAnsi="Arial"/>
          <w:b/>
          <w:bCs/>
          <w:sz w:val="22"/>
          <w:szCs w:val="22"/>
        </w:rPr>
        <w:t xml:space="preserve">1 gun, 1 box staples</w:t>
      </w:r>
    </w:p>
    <w:p>
      <w:pPr>
        <w:pStyle w:val="ListParagraph"/>
        <w:numPr>
          <w:ilvl w:val="0"/>
          <w:numId w:val="2"/>
        </w:numPr>
      </w:pPr>
      <w:r>
        <w:rPr>
          <w:rFonts w:ascii="Arial" w:cs="Arial" w:eastAsia="Arial" w:hAnsi="Arial"/>
          <w:sz w:val="22"/>
          <w:szCs w:val="22"/>
        </w:rPr>
        <w:t xml:space="preserve">Tin snips (for hardware cloth)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4 clamps  </w:t>
      </w:r>
      <w:r>
        <w:rPr>
          <w:rFonts w:ascii="Arial" w:cs="Arial" w:eastAsia="Arial" w:hAnsi="Arial"/>
          <w:b/>
          <w:bCs/>
          <w:sz w:val="22"/>
          <w:szCs w:val="22"/>
        </w:rPr>
        <w:t xml:space="preserve">4</w:t>
      </w:r>
    </w:p>
    <w:p>
      <w:pPr>
        <w:pStyle w:val="ListParagraph"/>
        <w:numPr>
          <w:ilvl w:val="0"/>
          <w:numId w:val="2"/>
        </w:numPr>
      </w:pPr>
      <w:r>
        <w:rPr>
          <w:rFonts w:ascii="Arial" w:cs="Arial" w:eastAsia="Arial" w:hAnsi="Arial"/>
          <w:sz w:val="22"/>
          <w:szCs w:val="22"/>
        </w:rPr>
        <w:t xml:space="preserve">Safety glasses  </w:t>
      </w:r>
      <w:r>
        <w:rPr>
          <w:rFonts w:ascii="Arial" w:cs="Arial" w:eastAsia="Arial" w:hAnsi="Arial"/>
          <w:b/>
          <w:bCs/>
          <w:sz w:val="22"/>
          <w:szCs w:val="22"/>
        </w:rPr>
        <w:t xml:space="preserve">1 pair</w:t>
      </w:r>
    </w:p>
    <w:p>
      <w:r>
        <w:t xml:space="preserve"/>
      </w:r>
    </w:p>
    <w:p>
      <w:pPr>
        <w:pStyle w:val="Heading1"/>
      </w:pPr>
      <w:r>
        <w:t xml:space="preserve">Part 1 — Inspect and Prepare the IBC</w:t>
      </w:r>
    </w:p>
    <w:p>
      <w:r>
        <w:rPr>
          <w:rFonts w:ascii="Arial" w:cs="Arial" w:eastAsia="Arial" w:hAnsi="Arial"/>
          <w:sz w:val="24"/>
          <w:szCs w:val="24"/>
        </w:rPr>
        <w:t xml:space="preserve">Do this before building anything that goes inside. A contaminated or wrongly-sized IBC wastes the entire build.</w:t>
      </w:r>
    </w:p>
    <w:p>
      <w:r>
        <w:t xml:space="preserve"/>
      </w:r>
    </w:p>
    <w:p>
      <w:pPr>
        <w:pStyle w:val="ListParagraph"/>
        <w:numPr>
          <w:ilvl w:val="0"/>
          <w:numId w:val="3"/>
        </w:numPr>
        <w:spacing w:after="60" w:before="160"/>
      </w:pPr>
      <w:r>
        <w:rPr>
          <w:rFonts w:ascii="Arial" w:cs="Arial" w:eastAsia="Arial" w:hAnsi="Arial"/>
          <w:b/>
          <w:bCs/>
          <w:sz w:val="24"/>
          <w:szCs w:val="24"/>
        </w:rPr>
        <w:t xml:space="preserve">Confirm the IBC is food-grade</w:t>
      </w:r>
    </w:p>
    <w:p>
      <w:pPr>
        <w:spacing w:after="60"/>
        <w:ind w:left="720"/>
      </w:pPr>
      <w:r>
        <w:rPr>
          <w:rFonts w:ascii="Arial" w:cs="Arial" w:eastAsia="Arial" w:hAnsi="Arial"/>
          <w:sz w:val="22"/>
          <w:szCs w:val="22"/>
        </w:rPr>
        <w:t xml:space="preserve">Look for a label on the cage frame or plastic vessel. Food-grade IBCs previously held fruit juice, vinegar, food oil, or water. Write down what it held. If the provenance is unknown or if it smells of chemicals, do not use it for larvae rearing.</w:t>
      </w:r>
    </w:p>
    <w:p>
      <w:pPr>
        <w:pBdr>
          <w:left w:val="single" w:color="E8A000" w:sz="12"/>
        </w:pBdr>
        <w:spacing w:after="80" w:before="80"/>
        <w:ind w:left="360"/>
      </w:pPr>
      <w:r>
        <w:rPr>
          <w:rFonts w:ascii="Arial" w:cs="Arial" w:eastAsia="Arial" w:hAnsi="Arial"/>
          <w:color w:val="7A4500"/>
          <w:sz w:val="22"/>
          <w:szCs w:val="22"/>
        </w:rPr>
        <w:t xml:space="preserve">CAUTION: Avoid any IBC that held industrial chemicals, solvents, or fertiliser concentrate. Trace residues in the plastic kill larvae even after thorough cleaning.</w:t>
      </w:r>
    </w:p>
    <w:p>
      <w:r>
        <w:t xml:space="preserve"/>
      </w:r>
    </w:p>
    <w:p>
      <w:pPr>
        <w:pStyle w:val="ListParagraph"/>
        <w:numPr>
          <w:ilvl w:val="0"/>
          <w:numId w:val="3"/>
        </w:numPr>
        <w:spacing w:after="60" w:before="160"/>
      </w:pPr>
      <w:r>
        <w:rPr>
          <w:rFonts w:ascii="Arial" w:cs="Arial" w:eastAsia="Arial" w:hAnsi="Arial"/>
          <w:b/>
          <w:bCs/>
          <w:sz w:val="24"/>
          <w:szCs w:val="24"/>
        </w:rPr>
        <w:t xml:space="preserve">Measure internal base dimensions</w:t>
      </w:r>
    </w:p>
    <w:p>
      <w:pPr>
        <w:spacing w:after="60"/>
        <w:ind w:left="720"/>
      </w:pPr>
      <w:r>
        <w:rPr>
          <w:rFonts w:ascii="Arial" w:cs="Arial" w:eastAsia="Arial" w:hAnsi="Arial"/>
          <w:sz w:val="22"/>
          <w:szCs w:val="22"/>
        </w:rPr>
        <w:t xml:space="preserve">Open the top hatch. Drop a tape measure inside and measure the internal width and internal depth at the base. Standard 1000L IBCs are approximately 1000mm wide x 1200mm deep internally, but this varies between manufacturers. Write both numbers down. Your screen frame will be cut to these dimensions minus 10mm on each side for clearance.</w:t>
      </w:r>
    </w:p>
    <w:p>
      <w:r>
        <w:t xml:space="preserve"/>
      </w:r>
    </w:p>
    <w:p>
      <w:pPr>
        <w:pStyle w:val="ListParagraph"/>
        <w:numPr>
          <w:ilvl w:val="0"/>
          <w:numId w:val="3"/>
        </w:numPr>
        <w:spacing w:after="60" w:before="160"/>
      </w:pPr>
      <w:r>
        <w:rPr>
          <w:rFonts w:ascii="Arial" w:cs="Arial" w:eastAsia="Arial" w:hAnsi="Arial"/>
          <w:b/>
          <w:bCs/>
          <w:sz w:val="24"/>
          <w:szCs w:val="24"/>
        </w:rPr>
        <w:t xml:space="preserve">Find the cage rail at 100-150mm height</w:t>
      </w:r>
    </w:p>
    <w:p>
      <w:pPr>
        <w:spacing w:after="60"/>
        <w:ind w:left="720"/>
      </w:pPr>
      <w:r>
        <w:rPr>
          <w:rFonts w:ascii="Arial" w:cs="Arial" w:eastAsia="Arial" w:hAnsi="Arial"/>
          <w:sz w:val="22"/>
          <w:szCs w:val="22"/>
        </w:rPr>
        <w:t xml:space="preserve">Look at the metal cage frame on the outside. Find the horizontal rail closest to 100-150mm above the IBC base floor. Your screen frame will rest on this rail. Measure its exact height from the base and note it. If no rail falls in the 100-150mm range, you will cut four small timber feet in Part 2 Step 7 to achieve the right height.</w:t>
      </w:r>
    </w:p>
    <w:p>
      <w:pPr>
        <w:pBdr>
          <w:left w:val="single" w:color="2E7D32" w:sz="12"/>
        </w:pBdr>
        <w:spacing w:after="80" w:before="80"/>
        <w:ind w:left="360"/>
      </w:pPr>
      <w:r>
        <w:rPr>
          <w:rFonts w:ascii="Arial" w:cs="Arial" w:eastAsia="Arial" w:hAnsi="Arial"/>
          <w:color w:val="1B5E20"/>
          <w:sz w:val="22"/>
          <w:szCs w:val="22"/>
        </w:rPr>
        <w:t xml:space="preserve">TIP: The gap below the screen is where leachate drains and collects. 100-150mm is the working range. Less than 100mm and leachate pools against the screen underside. More than 150mm and heat from the mat below is too far from the substrate to be efficient.</w:t>
      </w:r>
    </w:p>
    <w:p>
      <w:r>
        <w:t xml:space="preserve"/>
      </w:r>
    </w:p>
    <w:p>
      <w:pPr>
        <w:pStyle w:val="ListParagraph"/>
        <w:numPr>
          <w:ilvl w:val="0"/>
          <w:numId w:val="3"/>
        </w:numPr>
        <w:spacing w:after="60" w:before="160"/>
      </w:pPr>
      <w:r>
        <w:rPr>
          <w:rFonts w:ascii="Arial" w:cs="Arial" w:eastAsia="Arial" w:hAnsi="Arial"/>
          <w:b/>
          <w:bCs/>
          <w:sz w:val="24"/>
          <w:szCs w:val="24"/>
        </w:rPr>
        <w:t xml:space="preserve">Clean the IBC</w:t>
      </w:r>
    </w:p>
    <w:p>
      <w:pPr>
        <w:spacing w:after="60"/>
        <w:ind w:left="720"/>
      </w:pPr>
      <w:r>
        <w:rPr>
          <w:rFonts w:ascii="Arial" w:cs="Arial" w:eastAsia="Arial" w:hAnsi="Arial"/>
          <w:sz w:val="22"/>
          <w:szCs w:val="22"/>
        </w:rPr>
        <w:t xml:space="preserve">Fill one quarter full with water. Add one cup of white vinegar. Slosh thoroughly to coat all interior walls. Drain fully through the base outlet valve. Rinse twice more with plain water. Leave the top hatch and outlet valve open for 24 hours to air dry completely before use.</w:t>
      </w:r>
    </w:p>
    <w:p>
      <w:pPr>
        <w:pBdr>
          <w:left w:val="single" w:color="E8A000" w:sz="12"/>
        </w:pBdr>
        <w:spacing w:after="80" w:before="80"/>
        <w:ind w:left="360"/>
      </w:pPr>
      <w:r>
        <w:rPr>
          <w:rFonts w:ascii="Arial" w:cs="Arial" w:eastAsia="Arial" w:hAnsi="Arial"/>
          <w:color w:val="7A4500"/>
          <w:sz w:val="22"/>
          <w:szCs w:val="22"/>
        </w:rPr>
        <w:t xml:space="preserve">CAUTION: Do not use bleach. Trace bleach residue affects larval health. A vinegar rinse is fully sufficient for a previously food-grade vessel.</w:t>
      </w:r>
    </w:p>
    <w:p>
      <w:r>
        <w:t xml:space="preserve"/>
      </w:r>
    </w:p>
    <w:p>
      <w:pPr>
        <w:pStyle w:val="ListParagraph"/>
        <w:numPr>
          <w:ilvl w:val="0"/>
          <w:numId w:val="3"/>
        </w:numPr>
        <w:spacing w:after="60" w:before="160"/>
      </w:pPr>
      <w:r>
        <w:rPr>
          <w:rFonts w:ascii="Arial" w:cs="Arial" w:eastAsia="Arial" w:hAnsi="Arial"/>
          <w:b/>
          <w:bCs/>
          <w:sz w:val="24"/>
          <w:szCs w:val="24"/>
        </w:rPr>
        <w:t xml:space="preserve">Drill ventilation holes in the lid</w:t>
      </w:r>
    </w:p>
    <w:p>
      <w:pPr>
        <w:spacing w:after="60"/>
        <w:ind w:left="720"/>
      </w:pPr>
      <w:r>
        <w:rPr>
          <w:rFonts w:ascii="Arial" w:cs="Arial" w:eastAsia="Arial" w:hAnsi="Arial"/>
          <w:sz w:val="22"/>
          <w:szCs w:val="22"/>
        </w:rPr>
        <w:t xml:space="preserve">The IBC top hatch needs ventilation holes for gas exchange while blocking adult fly escape. Using an 8mm drill bit, drill a 4x6 grid of holes evenly across the lid (24 holes total). Cut a piece of standard insect flyscreen mesh slightly larger than the lid. Staple it firmly to the underside of the lid using the staple gun, covering all holes. The mesh sits between the drilled holes and the IBC interior.</w:t>
      </w:r>
    </w:p>
    <w:p>
      <w:pPr>
        <w:pBdr>
          <w:left w:val="single" w:color="E8A000" w:sz="12"/>
        </w:pBdr>
        <w:spacing w:after="80" w:before="80"/>
        <w:ind w:left="360"/>
      </w:pPr>
      <w:r>
        <w:rPr>
          <w:rFonts w:ascii="Arial" w:cs="Arial" w:eastAsia="Arial" w:hAnsi="Arial"/>
          <w:color w:val="7A4500"/>
          <w:sz w:val="22"/>
          <w:szCs w:val="22"/>
        </w:rPr>
        <w:t xml:space="preserve">CAUTION: Do not skip the flyscreen mesh. Adult BSF females will find any opening and lay eggs directly into your substrate, collapsing the controlled batch cycle.</w:t>
      </w:r>
    </w:p>
    <w:p>
      <w:r>
        <w:t xml:space="preserve"/>
      </w:r>
    </w:p>
    <w:p>
      <w:pPr>
        <w:pStyle w:val="Heading1"/>
      </w:pPr>
      <w:r>
        <w:t xml:space="preserve">Part 2 — Build the Substrate Screen Frame</w:t>
      </w:r>
    </w:p>
    <w:p>
      <w:r>
        <w:rPr>
          <w:rFonts w:ascii="Arial" w:cs="Arial" w:eastAsia="Arial" w:hAnsi="Arial"/>
          <w:sz w:val="24"/>
          <w:szCs w:val="24"/>
        </w:rPr>
        <w:t xml:space="preserve">This frame sits inside the IBC at 100-150mm above the base. Substrate loads on top of it. Leachate drains through the mesh. The frame is fully removable for cleaning between batches.</w:t>
      </w:r>
    </w:p>
    <w:p>
      <w:r>
        <w:t xml:space="preserve"/>
      </w:r>
    </w:p>
    <w:p>
      <w:pPr>
        <w:pStyle w:val="Heading3"/>
      </w:pPr>
      <w:r>
        <w:t xml:space="preserve">Materials — one screen frame</w:t>
      </w:r>
    </w:p>
    <w:p>
      <w:pPr>
        <w:pStyle w:val="ListParagraph"/>
        <w:numPr>
          <w:ilvl w:val="0"/>
          <w:numId w:val="2"/>
        </w:numPr>
      </w:pPr>
      <w:r>
        <w:rPr>
          <w:rFonts w:ascii="Arial" w:cs="Arial" w:eastAsia="Arial" w:hAnsi="Arial"/>
          <w:sz w:val="22"/>
          <w:szCs w:val="22"/>
        </w:rPr>
        <w:t xml:space="preserve">45x45 treated pine — cut to IBC internal width minus 10mm  </w:t>
      </w:r>
      <w:r>
        <w:rPr>
          <w:rFonts w:ascii="Arial" w:cs="Arial" w:eastAsia="Arial" w:hAnsi="Arial"/>
          <w:b/>
          <w:bCs/>
          <w:sz w:val="22"/>
          <w:szCs w:val="22"/>
        </w:rPr>
        <w:t xml:space="preserve">2 lengths</w:t>
      </w:r>
    </w:p>
    <w:p>
      <w:pPr>
        <w:pStyle w:val="ListParagraph"/>
        <w:numPr>
          <w:ilvl w:val="0"/>
          <w:numId w:val="2"/>
        </w:numPr>
      </w:pPr>
      <w:r>
        <w:rPr>
          <w:rFonts w:ascii="Arial" w:cs="Arial" w:eastAsia="Arial" w:hAnsi="Arial"/>
          <w:sz w:val="22"/>
          <w:szCs w:val="22"/>
        </w:rPr>
        <w:t xml:space="preserve">45x45 treated pine — cut to IBC internal depth minus 10mm  </w:t>
      </w:r>
      <w:r>
        <w:rPr>
          <w:rFonts w:ascii="Arial" w:cs="Arial" w:eastAsia="Arial" w:hAnsi="Arial"/>
          <w:b/>
          <w:bCs/>
          <w:sz w:val="22"/>
          <w:szCs w:val="22"/>
        </w:rPr>
        <w:t xml:space="preserve">2 lengths</w:t>
      </w:r>
    </w:p>
    <w:p>
      <w:pPr>
        <w:pStyle w:val="ListParagraph"/>
        <w:numPr>
          <w:ilvl w:val="0"/>
          <w:numId w:val="2"/>
        </w:numPr>
      </w:pPr>
      <w:r>
        <w:rPr>
          <w:rFonts w:ascii="Arial" w:cs="Arial" w:eastAsia="Arial" w:hAnsi="Arial"/>
          <w:sz w:val="22"/>
          <w:szCs w:val="22"/>
        </w:rPr>
        <w:t xml:space="preserve">45x45 treated pine — cross-braces (length calculated in Step 2)  </w:t>
      </w:r>
      <w:r>
        <w:rPr>
          <w:rFonts w:ascii="Arial" w:cs="Arial" w:eastAsia="Arial" w:hAnsi="Arial"/>
          <w:b/>
          <w:bCs/>
          <w:sz w:val="22"/>
          <w:szCs w:val="22"/>
        </w:rPr>
        <w:t xml:space="preserve">3-4 lengths</w:t>
      </w:r>
    </w:p>
    <w:p>
      <w:pPr>
        <w:pStyle w:val="ListParagraph"/>
        <w:numPr>
          <w:ilvl w:val="0"/>
          <w:numId w:val="2"/>
        </w:numPr>
      </w:pPr>
      <w:r>
        <w:rPr>
          <w:rFonts w:ascii="Arial" w:cs="Arial" w:eastAsia="Arial" w:hAnsi="Arial"/>
          <w:sz w:val="22"/>
          <w:szCs w:val="22"/>
        </w:rPr>
        <w:t xml:space="preserve">13mm galvanised hardware cloth — cut to frame outer dimensions  </w:t>
      </w:r>
      <w:r>
        <w:rPr>
          <w:rFonts w:ascii="Arial" w:cs="Arial" w:eastAsia="Arial" w:hAnsi="Arial"/>
          <w:b/>
          <w:bCs/>
          <w:sz w:val="22"/>
          <w:szCs w:val="22"/>
        </w:rPr>
        <w:t xml:space="preserve">1 piece</w:t>
      </w:r>
    </w:p>
    <w:p>
      <w:pPr>
        <w:pStyle w:val="ListParagraph"/>
        <w:numPr>
          <w:ilvl w:val="0"/>
          <w:numId w:val="2"/>
        </w:numPr>
      </w:pPr>
      <w:r>
        <w:rPr>
          <w:rFonts w:ascii="Arial" w:cs="Arial" w:eastAsia="Arial" w:hAnsi="Arial"/>
          <w:sz w:val="22"/>
          <w:szCs w:val="22"/>
        </w:rPr>
        <w:t xml:space="preserve">50mm galvanised screws  </w:t>
      </w:r>
      <w:r>
        <w:rPr>
          <w:rFonts w:ascii="Arial" w:cs="Arial" w:eastAsia="Arial" w:hAnsi="Arial"/>
          <w:b/>
          <w:bCs/>
          <w:sz w:val="22"/>
          <w:szCs w:val="22"/>
        </w:rPr>
        <w:t xml:space="preserve">~30</w:t>
      </w:r>
    </w:p>
    <w:p>
      <w:pPr>
        <w:pStyle w:val="ListParagraph"/>
        <w:numPr>
          <w:ilvl w:val="0"/>
          <w:numId w:val="2"/>
        </w:numPr>
      </w:pPr>
      <w:r>
        <w:rPr>
          <w:rFonts w:ascii="Arial" w:cs="Arial" w:eastAsia="Arial" w:hAnsi="Arial"/>
          <w:sz w:val="22"/>
          <w:szCs w:val="22"/>
        </w:rPr>
        <w:t xml:space="preserve">8mm galvanised staples for staple gun  </w:t>
      </w:r>
      <w:r>
        <w:rPr>
          <w:rFonts w:ascii="Arial" w:cs="Arial" w:eastAsia="Arial" w:hAnsi="Arial"/>
          <w:b/>
          <w:bCs/>
          <w:sz w:val="22"/>
          <w:szCs w:val="22"/>
        </w:rPr>
        <w:t xml:space="preserve">~60</w:t>
      </w:r>
    </w:p>
    <w:p>
      <w:r>
        <w:t xml:space="preserve"/>
      </w:r>
    </w:p>
    <w:p>
      <w:pPr>
        <w:pStyle w:val="ListParagraph"/>
        <w:numPr>
          <w:ilvl w:val="0"/>
          <w:numId w:val="3"/>
        </w:numPr>
        <w:spacing w:after="60" w:before="160"/>
      </w:pPr>
      <w:r>
        <w:rPr>
          <w:rFonts w:ascii="Arial" w:cs="Arial" w:eastAsia="Arial" w:hAnsi="Arial"/>
          <w:b/>
          <w:bCs/>
          <w:sz w:val="24"/>
          <w:szCs w:val="24"/>
        </w:rPr>
        <w:t xml:space="preserve">Cut the four perimeter pieces</w:t>
      </w:r>
    </w:p>
    <w:p>
      <w:pPr>
        <w:spacing w:after="60"/>
        <w:ind w:left="720"/>
      </w:pPr>
      <w:r>
        <w:rPr>
          <w:rFonts w:ascii="Arial" w:cs="Arial" w:eastAsia="Arial" w:hAnsi="Arial"/>
          <w:sz w:val="22"/>
          <w:szCs w:val="22"/>
        </w:rPr>
        <w:t xml:space="preserve">Using your measurements from Part 1 Step 2, subtract 10mm from each dimension. Example: if the IBC is 1000mm wide internally, cut two pieces at 990mm. If it is 1200mm deep, cut two pieces at 1190mm. Label them W (width) and D (depth) with a pencil. The 10mm clearance on each side lets the frame drop in and out cleanly without binding.</w:t>
      </w:r>
    </w:p>
    <w:p>
      <w:r>
        <w:t xml:space="preserve"/>
      </w:r>
    </w:p>
    <w:p>
      <w:pPr>
        <w:pStyle w:val="ListParagraph"/>
        <w:numPr>
          <w:ilvl w:val="0"/>
          <w:numId w:val="3"/>
        </w:numPr>
        <w:spacing w:after="60" w:before="160"/>
      </w:pPr>
      <w:r>
        <w:rPr>
          <w:rFonts w:ascii="Arial" w:cs="Arial" w:eastAsia="Arial" w:hAnsi="Arial"/>
          <w:b/>
          <w:bCs/>
          <w:sz w:val="24"/>
          <w:szCs w:val="24"/>
        </w:rPr>
        <w:t xml:space="preserve">Cut the cross-braces</w:t>
      </w:r>
    </w:p>
    <w:p>
      <w:pPr>
        <w:spacing w:after="60"/>
        <w:ind w:left="720"/>
      </w:pPr>
      <w:r>
        <w:rPr>
          <w:rFonts w:ascii="Arial" w:cs="Arial" w:eastAsia="Arial" w:hAnsi="Arial"/>
          <w:sz w:val="22"/>
          <w:szCs w:val="22"/>
        </w:rPr>
        <w:t xml:space="preserve">Cross-braces span between the two D (depth) pieces. Cross-brace length = your D piece length minus 90mm (which accounts for two 45mm timber widths, one at each end where the W pieces sit). Example: 1190mm D piece gives cross-braces of 1190 - 90 = 1100mm. Cut 3-4 pieces at this length. They will be spaced at approximately 300mm intervals along the frame.</w:t>
      </w:r>
    </w:p>
    <w:p>
      <w:r>
        <w:t xml:space="preserve"/>
      </w:r>
    </w:p>
    <w:p>
      <w:pPr>
        <w:pStyle w:val="ListParagraph"/>
        <w:numPr>
          <w:ilvl w:val="0"/>
          <w:numId w:val="3"/>
        </w:numPr>
        <w:spacing w:after="60" w:before="160"/>
      </w:pPr>
      <w:r>
        <w:rPr>
          <w:rFonts w:ascii="Arial" w:cs="Arial" w:eastAsia="Arial" w:hAnsi="Arial"/>
          <w:b/>
          <w:bCs/>
          <w:sz w:val="24"/>
          <w:szCs w:val="24"/>
        </w:rPr>
        <w:t xml:space="preserve">Assemble the frame flat on the ground</w:t>
      </w:r>
    </w:p>
    <w:p>
      <w:pPr>
        <w:spacing w:after="60"/>
        <w:ind w:left="720"/>
      </w:pPr>
      <w:r>
        <w:rPr>
          <w:rFonts w:ascii="Arial" w:cs="Arial" w:eastAsia="Arial" w:hAnsi="Arial"/>
          <w:sz w:val="22"/>
          <w:szCs w:val="22"/>
        </w:rPr>
        <w:t xml:space="preserve">Lay the two D pieces parallel on a flat surface, flat face up, spaced apart by your W measurement minus 90mm. Place the two W pieces across the ends, sitting on top of the D pieces, to form a rectangle. Clamp all four corners firmly. Check the frame is square: measure diagonally from corner to corner in both directions. Both diagonal measurements must match exactly. Nudge the frame until they do before drilling.</w:t>
      </w:r>
    </w:p>
    <w:p>
      <w:pPr>
        <w:pBdr>
          <w:left w:val="single" w:color="2E7D32" w:sz="12"/>
        </w:pBdr>
        <w:spacing w:after="80" w:before="80"/>
        <w:ind w:left="360"/>
      </w:pPr>
      <w:r>
        <w:rPr>
          <w:rFonts w:ascii="Arial" w:cs="Arial" w:eastAsia="Arial" w:hAnsi="Arial"/>
          <w:color w:val="1B5E20"/>
          <w:sz w:val="22"/>
          <w:szCs w:val="22"/>
        </w:rPr>
        <w:t xml:space="preserve">TIP: An out-of-square frame binds in the IBC and is very frustrating to extract when it is loaded with 25kg of wet substrate. Spend two minutes getting this right now.</w:t>
      </w:r>
    </w:p>
    <w:p>
      <w:r>
        <w:t xml:space="preserve"/>
      </w:r>
    </w:p>
    <w:p>
      <w:pPr>
        <w:pStyle w:val="ListParagraph"/>
        <w:numPr>
          <w:ilvl w:val="0"/>
          <w:numId w:val="3"/>
        </w:numPr>
        <w:spacing w:after="60" w:before="160"/>
      </w:pPr>
      <w:r>
        <w:rPr>
          <w:rFonts w:ascii="Arial" w:cs="Arial" w:eastAsia="Arial" w:hAnsi="Arial"/>
          <w:b/>
          <w:bCs/>
          <w:sz w:val="24"/>
          <w:szCs w:val="24"/>
        </w:rPr>
        <w:t xml:space="preserve">Fix the corners</w:t>
      </w:r>
    </w:p>
    <w:p>
      <w:pPr>
        <w:spacing w:after="60"/>
        <w:ind w:left="720"/>
      </w:pPr>
      <w:r>
        <w:rPr>
          <w:rFonts w:ascii="Arial" w:cs="Arial" w:eastAsia="Arial" w:hAnsi="Arial"/>
          <w:sz w:val="22"/>
          <w:szCs w:val="22"/>
        </w:rPr>
        <w:t xml:space="preserve">At each corner, pre-drill two 4mm holes through the W piece and into the end grain of the D piece - one hole near the top edge, one near the bottom edge. Drive a 50mm screw into each hole. Two screws per corner, eight screws total. Do not use a single central screw per corner - it will rotate under wet substrate load over time.</w:t>
      </w:r>
    </w:p>
    <w:p>
      <w:r>
        <w:t xml:space="preserve"/>
      </w:r>
    </w:p>
    <w:p>
      <w:pPr>
        <w:pStyle w:val="ListParagraph"/>
        <w:numPr>
          <w:ilvl w:val="0"/>
          <w:numId w:val="3"/>
        </w:numPr>
        <w:spacing w:after="60" w:before="160"/>
      </w:pPr>
      <w:r>
        <w:rPr>
          <w:rFonts w:ascii="Arial" w:cs="Arial" w:eastAsia="Arial" w:hAnsi="Arial"/>
          <w:b/>
          <w:bCs/>
          <w:sz w:val="24"/>
          <w:szCs w:val="24"/>
        </w:rPr>
        <w:t xml:space="preserve">Add the cross-braces</w:t>
      </w:r>
    </w:p>
    <w:p>
      <w:pPr>
        <w:spacing w:after="60"/>
        <w:ind w:left="720"/>
      </w:pPr>
      <w:r>
        <w:rPr>
          <w:rFonts w:ascii="Arial" w:cs="Arial" w:eastAsia="Arial" w:hAnsi="Arial"/>
          <w:sz w:val="22"/>
          <w:szCs w:val="22"/>
        </w:rPr>
        <w:t xml:space="preserve">Position the cross-braces evenly along the frame length, approximately one every 300mm. Each brace sits with its flat face flush with the top face of the D pieces - the entire top surface of the completed frame must be flat and level. Pre-drill and fix each brace with two 50mm screws at each end. Check by laying a straight piece of timber across the frame - no brace should be proud of another.</w:t>
      </w:r>
    </w:p>
    <w:p>
      <w:r>
        <w:t xml:space="preserve"/>
      </w:r>
    </w:p>
    <w:p>
      <w:pPr>
        <w:pStyle w:val="ListParagraph"/>
        <w:numPr>
          <w:ilvl w:val="0"/>
          <w:numId w:val="3"/>
        </w:numPr>
        <w:spacing w:after="60" w:before="160"/>
      </w:pPr>
      <w:r>
        <w:rPr>
          <w:rFonts w:ascii="Arial" w:cs="Arial" w:eastAsia="Arial" w:hAnsi="Arial"/>
          <w:b/>
          <w:bCs/>
          <w:sz w:val="24"/>
          <w:szCs w:val="24"/>
        </w:rPr>
        <w:t xml:space="preserve">Cut and staple the hardware cloth</w:t>
      </w:r>
    </w:p>
    <w:p>
      <w:pPr>
        <w:spacing w:after="60"/>
        <w:ind w:left="720"/>
      </w:pPr>
      <w:r>
        <w:rPr>
          <w:rFonts w:ascii="Arial" w:cs="Arial" w:eastAsia="Arial" w:hAnsi="Arial"/>
          <w:sz w:val="22"/>
          <w:szCs w:val="22"/>
        </w:rPr>
        <w:t xml:space="preserve">Lay the completed frame flat on top of your roll of 13mm galvanised hardware cloth. Trace around the outside of the frame with a marker. Cut the hardware cloth to this size using tin snips. Take short bites - the wire is stiff. Wear safety glasses throughout as cut wire ends flick upward at face height. Lay the cut mesh flat on top of the frame. Staple it to every timber piece at 80mm intervals. Start stapling from the centre and work outward to keep the mesh taut and prevent sagging.</w:t>
      </w:r>
    </w:p>
    <w:p>
      <w:pPr>
        <w:pBdr>
          <w:left w:val="single" w:color="E8A000" w:sz="12"/>
        </w:pBdr>
        <w:spacing w:after="80" w:before="80"/>
        <w:ind w:left="360"/>
      </w:pPr>
      <w:r>
        <w:rPr>
          <w:rFonts w:ascii="Arial" w:cs="Arial" w:eastAsia="Arial" w:hAnsi="Arial"/>
          <w:color w:val="7A4500"/>
          <w:sz w:val="22"/>
          <w:szCs w:val="22"/>
        </w:rPr>
        <w:t xml:space="preserve">CAUTION: Use galvanised staples and galvanised hardware cloth throughout. Ungalvanised steel rusts within two weeks in wet substrate conditions. Rust contaminates your frass product and weakens the frame structure.</w:t>
      </w:r>
    </w:p>
    <w:p>
      <w:r>
        <w:t xml:space="preserve"/>
      </w:r>
    </w:p>
    <w:p>
      <w:pPr>
        <w:pStyle w:val="ListParagraph"/>
        <w:numPr>
          <w:ilvl w:val="0"/>
          <w:numId w:val="3"/>
        </w:numPr>
        <w:spacing w:after="60" w:before="160"/>
      </w:pPr>
      <w:r>
        <w:rPr>
          <w:rFonts w:ascii="Arial" w:cs="Arial" w:eastAsia="Arial" w:hAnsi="Arial"/>
          <w:b/>
          <w:bCs/>
          <w:sz w:val="24"/>
          <w:szCs w:val="24"/>
        </w:rPr>
        <w:t xml:space="preserve">Test fit in the IBC</w:t>
      </w:r>
    </w:p>
    <w:p>
      <w:pPr>
        <w:spacing w:after="60"/>
        <w:ind w:left="720"/>
      </w:pPr>
      <w:r>
        <w:rPr>
          <w:rFonts w:ascii="Arial" w:cs="Arial" w:eastAsia="Arial" w:hAnsi="Arial"/>
          <w:sz w:val="22"/>
          <w:szCs w:val="22"/>
        </w:rPr>
        <w:t xml:space="preserve">Lower the completed screen frame into the IBC through the top hatch. It should drop in cleanly and rest on the cage rail at 100-150mm above the IBC base. If it binds on the way in, identify which edge is catching and shave it down with sandpaper or a hand plane in 2mm passes until it drops freely. If no cage rail sits at the correct height, cut four 90x90mm timber blocks to the exact height needed and place them on the IBC base floor at the four corners. The screen frame then rests on these blocks.</w:t>
      </w:r>
    </w:p>
    <w:p>
      <w:r>
        <w:t xml:space="preserve"/>
      </w:r>
    </w:p>
    <w:p>
      <w:pPr>
        <w:pStyle w:val="Heading1"/>
      </w:pPr>
      <w:r>
        <w:t xml:space="preserve">Part 3 — Build the Harvest Ramp</w:t>
      </w:r>
    </w:p>
    <w:p>
      <w:r>
        <w:rPr>
          <w:rFonts w:ascii="Arial" w:cs="Arial" w:eastAsia="Arial" w:hAnsi="Arial"/>
          <w:sz w:val="24"/>
          <w:szCs w:val="24"/>
        </w:rPr>
        <w:t xml:space="preserve">The harvest ramp hooks over the IBC rim with no fasteners. Prepupae instinctively migrate away from the substrate when approaching pupation - they walk up the smooth ramp surface and drop into the collection bucket outside the IBC. No sorting, no sieving, no manual separation required during harvest.</w:t>
      </w:r>
    </w:p>
    <w:p>
      <w:r>
        <w:t xml:space="preserve"/>
      </w:r>
    </w:p>
    <w:p>
      <w:pPr>
        <w:pStyle w:val="Heading3"/>
      </w:pPr>
      <w:r>
        <w:t xml:space="preserve">Materials — one ramp</w:t>
      </w:r>
    </w:p>
    <w:p>
      <w:pPr>
        <w:pStyle w:val="ListParagraph"/>
        <w:numPr>
          <w:ilvl w:val="0"/>
          <w:numId w:val="2"/>
        </w:numPr>
      </w:pPr>
      <w:r>
        <w:rPr>
          <w:rFonts w:ascii="Arial" w:cs="Arial" w:eastAsia="Arial" w:hAnsi="Arial"/>
          <w:sz w:val="22"/>
          <w:szCs w:val="22"/>
        </w:rPr>
        <w:t xml:space="preserve">Corflute sheet 5mm - 200mm wide, length calculated in Step 1  </w:t>
      </w:r>
      <w:r>
        <w:rPr>
          <w:rFonts w:ascii="Arial" w:cs="Arial" w:eastAsia="Arial" w:hAnsi="Arial"/>
          <w:b/>
          <w:bCs/>
          <w:sz w:val="22"/>
          <w:szCs w:val="22"/>
        </w:rPr>
        <w:t xml:space="preserve">1 piece</w:t>
      </w:r>
    </w:p>
    <w:p>
      <w:pPr>
        <w:pStyle w:val="ListParagraph"/>
        <w:numPr>
          <w:ilvl w:val="0"/>
          <w:numId w:val="2"/>
        </w:numPr>
      </w:pPr>
      <w:r>
        <w:rPr>
          <w:rFonts w:ascii="Arial" w:cs="Arial" w:eastAsia="Arial" w:hAnsi="Arial"/>
          <w:sz w:val="22"/>
          <w:szCs w:val="22"/>
        </w:rPr>
        <w:t xml:space="preserve">45x20mm hardwood offcut x 200mm long - rim hook piece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45x20mm hardwood offcut x 200mm long - base stop piece  </w:t>
      </w:r>
      <w:r>
        <w:rPr>
          <w:rFonts w:ascii="Arial" w:cs="Arial" w:eastAsia="Arial" w:hAnsi="Arial"/>
          <w:b/>
          <w:bCs/>
          <w:sz w:val="22"/>
          <w:szCs w:val="22"/>
        </w:rPr>
        <w:t xml:space="preserve">1</w:t>
      </w:r>
    </w:p>
    <w:p>
      <w:pPr>
        <w:pStyle w:val="ListParagraph"/>
        <w:numPr>
          <w:ilvl w:val="0"/>
          <w:numId w:val="2"/>
        </w:numPr>
      </w:pPr>
      <w:r>
        <w:rPr>
          <w:rFonts w:ascii="Arial" w:cs="Arial" w:eastAsia="Arial" w:hAnsi="Arial"/>
          <w:sz w:val="22"/>
          <w:szCs w:val="22"/>
        </w:rPr>
        <w:t xml:space="preserve">50mm galvanised screws  </w:t>
      </w:r>
      <w:r>
        <w:rPr>
          <w:rFonts w:ascii="Arial" w:cs="Arial" w:eastAsia="Arial" w:hAnsi="Arial"/>
          <w:b/>
          <w:bCs/>
          <w:sz w:val="22"/>
          <w:szCs w:val="22"/>
        </w:rPr>
        <w:t xml:space="preserve">4</w:t>
      </w:r>
    </w:p>
    <w:p>
      <w:pPr>
        <w:pStyle w:val="ListParagraph"/>
        <w:numPr>
          <w:ilvl w:val="0"/>
          <w:numId w:val="2"/>
        </w:numPr>
      </w:pPr>
      <w:r>
        <w:rPr>
          <w:rFonts w:ascii="Arial" w:cs="Arial" w:eastAsia="Arial" w:hAnsi="Arial"/>
          <w:sz w:val="22"/>
          <w:szCs w:val="22"/>
        </w:rPr>
        <w:t xml:space="preserve">10-15L bucket with lid, smooth interior  </w:t>
      </w:r>
      <w:r>
        <w:rPr>
          <w:rFonts w:ascii="Arial" w:cs="Arial" w:eastAsia="Arial" w:hAnsi="Arial"/>
          <w:b/>
          <w:bCs/>
          <w:sz w:val="22"/>
          <w:szCs w:val="22"/>
        </w:rPr>
        <w:t xml:space="preserve">1</w:t>
      </w:r>
    </w:p>
    <w:p>
      <w:r>
        <w:t xml:space="preserve"/>
      </w:r>
    </w:p>
    <w:p>
      <w:pPr>
        <w:pStyle w:val="ListParagraph"/>
        <w:numPr>
          <w:ilvl w:val="0"/>
          <w:numId w:val="3"/>
        </w:numPr>
        <w:spacing w:after="60" w:before="160"/>
      </w:pPr>
      <w:r>
        <w:rPr>
          <w:rFonts w:ascii="Arial" w:cs="Arial" w:eastAsia="Arial" w:hAnsi="Arial"/>
          <w:b/>
          <w:bCs/>
          <w:sz w:val="24"/>
          <w:szCs w:val="24"/>
        </w:rPr>
        <w:t xml:space="preserve">Calculate ramp length</w:t>
      </w:r>
    </w:p>
    <w:p>
      <w:pPr>
        <w:spacing w:after="60"/>
        <w:ind w:left="720"/>
      </w:pPr>
      <w:r>
        <w:rPr>
          <w:rFonts w:ascii="Arial" w:cs="Arial" w:eastAsia="Arial" w:hAnsi="Arial"/>
          <w:sz w:val="22"/>
          <w:szCs w:val="22"/>
        </w:rPr>
        <w:t xml:space="preserve">With the screen frame sitting in the IBC at its correct height, measure the vertical distance from the screen frame surface up to the top of the IBC rim. This is your vertical rise. At a 35 degree ramp angle, the ramp length (along the slope) = vertical rise divided by 0.574. Example: 1000mm vertical rise gives 1000 / 0.574 = 1742mm ramp length. Add 100mm for the hook section that goes over the rim. Cut your corflute to this total length at 200mm wide.</w:t>
      </w:r>
    </w:p>
    <w:p>
      <w:pPr>
        <w:pBdr>
          <w:left w:val="single" w:color="1565C0" w:sz="12"/>
        </w:pBdr>
        <w:spacing w:after="80" w:before="80"/>
        <w:ind w:left="360"/>
      </w:pPr>
      <w:r>
        <w:rPr>
          <w:rFonts w:ascii="Arial" w:cs="Arial" w:eastAsia="Arial" w:hAnsi="Arial"/>
          <w:color w:val="0D47A1"/>
          <w:sz w:val="22"/>
          <w:szCs w:val="22"/>
        </w:rPr>
        <w:t xml:space="preserve">NOTE: No corflute available? Substitute 4mm plywood cut to the same dimensions and sanded smooth on one face. Use the smooth face up. Works equally well and is often easier to source.</w:t>
      </w:r>
    </w:p>
    <w:p>
      <w:r>
        <w:t xml:space="preserve"/>
      </w:r>
    </w:p>
    <w:p>
      <w:pPr>
        <w:pStyle w:val="ListParagraph"/>
        <w:numPr>
          <w:ilvl w:val="0"/>
          <w:numId w:val="3"/>
        </w:numPr>
        <w:spacing w:after="60" w:before="160"/>
      </w:pPr>
      <w:r>
        <w:rPr>
          <w:rFonts w:ascii="Arial" w:cs="Arial" w:eastAsia="Arial" w:hAnsi="Arial"/>
          <w:b/>
          <w:bCs/>
          <w:sz w:val="24"/>
          <w:szCs w:val="24"/>
        </w:rPr>
        <w:t xml:space="preserve">Make the rim hook</w:t>
      </w:r>
    </w:p>
    <w:p>
      <w:pPr>
        <w:spacing w:after="60"/>
        <w:ind w:left="720"/>
      </w:pPr>
      <w:r>
        <w:rPr>
          <w:rFonts w:ascii="Arial" w:cs="Arial" w:eastAsia="Arial" w:hAnsi="Arial"/>
          <w:sz w:val="22"/>
          <w:szCs w:val="22"/>
        </w:rPr>
        <w:t xml:space="preserve">Take the first 45x20mm hardwood piece (200mm long). On one face, mark a notch 20mm deep by the wall thickness of the IBC rim - measure the rim and it will typically be 8-10mm for the plastic vessel wall plus any cage rail. Cut this notch with a handsaw using two cuts meeting at a right-angle corner. The notch hooks over the IBC rim and holds the ramp by gravity and the weight of larvae on the ramp surface. Test fit it on the rim before attaching it to the ramp.</w:t>
      </w:r>
    </w:p>
    <w:p>
      <w:r>
        <w:t xml:space="preserve"/>
      </w:r>
    </w:p>
    <w:p>
      <w:pPr>
        <w:pStyle w:val="ListParagraph"/>
        <w:numPr>
          <w:ilvl w:val="0"/>
          <w:numId w:val="3"/>
        </w:numPr>
        <w:spacing w:after="60" w:before="160"/>
      </w:pPr>
      <w:r>
        <w:rPr>
          <w:rFonts w:ascii="Arial" w:cs="Arial" w:eastAsia="Arial" w:hAnsi="Arial"/>
          <w:b/>
          <w:bCs/>
          <w:sz w:val="24"/>
          <w:szCs w:val="24"/>
        </w:rPr>
        <w:t xml:space="preserve">Attach the base stop to the ramp bottom</w:t>
      </w:r>
    </w:p>
    <w:p>
      <w:pPr>
        <w:spacing w:after="60"/>
        <w:ind w:left="720"/>
      </w:pPr>
      <w:r>
        <w:rPr>
          <w:rFonts w:ascii="Arial" w:cs="Arial" w:eastAsia="Arial" w:hAnsi="Arial"/>
          <w:sz w:val="22"/>
          <w:szCs w:val="22"/>
        </w:rPr>
        <w:t xml:space="preserve">Take the second 45x20mm hardwood piece (200mm long). Lay it flat across the underside of the corflute sheet at the bottom end, 10mm from the bottom edge. Pre-drill two 4mm holes through the timber and into the corflute. Drive two 50mm screws to fix it in place. This piece butts against the screen frame timber when the ramp is installed inside the IBC and stops the ramp sliding downward under larval load.</w:t>
      </w:r>
    </w:p>
    <w:p>
      <w:r>
        <w:t xml:space="preserve"/>
      </w:r>
    </w:p>
    <w:p>
      <w:pPr>
        <w:pStyle w:val="ListParagraph"/>
        <w:numPr>
          <w:ilvl w:val="0"/>
          <w:numId w:val="3"/>
        </w:numPr>
        <w:spacing w:after="60" w:before="160"/>
      </w:pPr>
      <w:r>
        <w:rPr>
          <w:rFonts w:ascii="Arial" w:cs="Arial" w:eastAsia="Arial" w:hAnsi="Arial"/>
          <w:b/>
          <w:bCs/>
          <w:sz w:val="24"/>
          <w:szCs w:val="24"/>
        </w:rPr>
        <w:t xml:space="preserve">Attach the rim hook to the ramp top</w:t>
      </w:r>
    </w:p>
    <w:p>
      <w:pPr>
        <w:spacing w:after="60"/>
        <w:ind w:left="720"/>
      </w:pPr>
      <w:r>
        <w:rPr>
          <w:rFonts w:ascii="Arial" w:cs="Arial" w:eastAsia="Arial" w:hAnsi="Arial"/>
          <w:sz w:val="22"/>
          <w:szCs w:val="22"/>
        </w:rPr>
        <w:t xml:space="preserve">At the top end of the corflute sheet, lay the rim hook piece across the top face of the sheet, 20mm from the top edge, with the notch pointing upward away from the ramp surface. Pre-drill two 4mm holes and drive two 50mm screws to fix it firmly. The notch should protrude above the top edge of the corflute - this is what drops over the IBC rim to hold the ramp in place.</w:t>
      </w:r>
    </w:p>
    <w:p>
      <w:r>
        <w:t xml:space="preserve"/>
      </w:r>
    </w:p>
    <w:p>
      <w:pPr>
        <w:pStyle w:val="ListParagraph"/>
        <w:numPr>
          <w:ilvl w:val="0"/>
          <w:numId w:val="3"/>
        </w:numPr>
        <w:spacing w:after="60" w:before="160"/>
      </w:pPr>
      <w:r>
        <w:rPr>
          <w:rFonts w:ascii="Arial" w:cs="Arial" w:eastAsia="Arial" w:hAnsi="Arial"/>
          <w:b/>
          <w:bCs/>
          <w:sz w:val="24"/>
          <w:szCs w:val="24"/>
        </w:rPr>
        <w:t xml:space="preserve">Test fit and adjust angle</w:t>
      </w:r>
    </w:p>
    <w:p>
      <w:pPr>
        <w:spacing w:after="60"/>
        <w:ind w:left="720"/>
      </w:pPr>
      <w:r>
        <w:rPr>
          <w:rFonts w:ascii="Arial" w:cs="Arial" w:eastAsia="Arial" w:hAnsi="Arial"/>
          <w:sz w:val="22"/>
          <w:szCs w:val="22"/>
        </w:rPr>
        <w:t xml:space="preserve">Hook the ramp over the IBC rim with the smooth surface facing up. The ramp should lean against the inside IBC wall at approximately 35 degrees, with the base stop resting on the screen frame surface. If the angle is shallower than 30 degrees, the ramp is too long - trim 50mm from the bottom end and retest. Place the collection bucket outside the IBC directly below the ramp exit point. The top of the bucket should be no more than 100mm below the rim exit. If needed, cut a 40mm notch in the bucket rim so the ramp exits cleanly down into the bucket interior.</w:t>
      </w:r>
    </w:p>
    <w:p>
      <w:pPr>
        <w:pBdr>
          <w:left w:val="single" w:color="2E7D32" w:sz="12"/>
        </w:pBdr>
        <w:spacing w:after="80" w:before="80"/>
        <w:ind w:left="360"/>
      </w:pPr>
      <w:r>
        <w:rPr>
          <w:rFonts w:ascii="Arial" w:cs="Arial" w:eastAsia="Arial" w:hAnsi="Arial"/>
          <w:color w:val="1B5E20"/>
          <w:sz w:val="22"/>
          <w:szCs w:val="22"/>
        </w:rPr>
        <w:t xml:space="preserve">TIP: Quick angle check: pour a small handful of dry rice at the bottom of the ramp and push a few grains upward. They should stay where you push them and not flow back down freely. If they slide freely back, the ramp is too shallow - trim the bottom and retest.</w:t>
      </w:r>
    </w:p>
    <w:p>
      <w:r>
        <w:t xml:space="preserve"/>
      </w:r>
    </w:p>
    <w:p>
      <w:pPr>
        <w:pStyle w:val="Heading1"/>
      </w:pPr>
      <w:r>
        <w:t xml:space="preserve">Part 4 — Heat Mat and Thermostat Installation</w:t>
      </w:r>
    </w:p>
    <w:p>
      <w:r>
        <w:rPr>
          <w:rFonts w:ascii="Arial" w:cs="Arial" w:eastAsia="Arial" w:hAnsi="Arial"/>
          <w:sz w:val="24"/>
          <w:szCs w:val="24"/>
        </w:rPr>
        <w:t xml:space="preserve">The thermal system holds substrate at 27-29 degrees Celsius year-round regardless of outside temperature. Complete the test cycle and confirm it is working correctly before loading any larvae.</w:t>
      </w:r>
    </w:p>
    <w:p>
      <w:r>
        <w:t xml:space="preserve"/>
      </w:r>
    </w:p>
    <w:p>
      <w:pPr>
        <w:pStyle w:val="ListParagraph"/>
        <w:numPr>
          <w:ilvl w:val="0"/>
          <w:numId w:val="3"/>
        </w:numPr>
        <w:spacing w:after="60" w:before="160"/>
      </w:pPr>
      <w:r>
        <w:rPr>
          <w:rFonts w:ascii="Arial" w:cs="Arial" w:eastAsia="Arial" w:hAnsi="Arial"/>
          <w:b/>
          <w:bCs/>
          <w:sz w:val="24"/>
          <w:szCs w:val="24"/>
        </w:rPr>
        <w:t xml:space="preserve">Position the heat mat under the IBC</w:t>
      </w:r>
    </w:p>
    <w:p>
      <w:pPr>
        <w:spacing w:after="60"/>
        <w:ind w:left="720"/>
      </w:pPr>
      <w:r>
        <w:rPr>
          <w:rFonts w:ascii="Arial" w:cs="Arial" w:eastAsia="Arial" w:hAnsi="Arial"/>
          <w:sz w:val="22"/>
          <w:szCs w:val="22"/>
        </w:rPr>
        <w:t xml:space="preserve">Slide the heat mat (60cm x 120cm, 80W) flat underneath the IBC base, centred. The mat should cover most of the base footprint. If the cage frame legs prevent the mat lying flat, cut two lengths of 45x45 timber as rails and rest the cage frame legs on these rails, elevating the IBC base slightly so the mat slides fully underneath and lies flat.</w:t>
      </w:r>
    </w:p>
    <w:p>
      <w:pPr>
        <w:pBdr>
          <w:left w:val="single" w:color="E8A000" w:sz="12"/>
        </w:pBdr>
        <w:spacing w:after="80" w:before="80"/>
        <w:ind w:left="360"/>
      </w:pPr>
      <w:r>
        <w:rPr>
          <w:rFonts w:ascii="Arial" w:cs="Arial" w:eastAsia="Arial" w:hAnsi="Arial"/>
          <w:color w:val="7A4500"/>
          <w:sz w:val="22"/>
          <w:szCs w:val="22"/>
        </w:rPr>
        <w:t xml:space="preserve">CAUTION: Never fold or bunch the heat mat. Folded mats develop hot spots that can melt the mat material and create a fire risk. Always completely flat.</w:t>
      </w:r>
    </w:p>
    <w:p>
      <w:r>
        <w:t xml:space="preserve"/>
      </w:r>
    </w:p>
    <w:p>
      <w:pPr>
        <w:pStyle w:val="ListParagraph"/>
        <w:numPr>
          <w:ilvl w:val="0"/>
          <w:numId w:val="3"/>
        </w:numPr>
        <w:spacing w:after="60" w:before="160"/>
      </w:pPr>
      <w:r>
        <w:rPr>
          <w:rFonts w:ascii="Arial" w:cs="Arial" w:eastAsia="Arial" w:hAnsi="Arial"/>
          <w:b/>
          <w:bCs/>
          <w:sz w:val="24"/>
          <w:szCs w:val="24"/>
        </w:rPr>
        <w:t xml:space="preserve">Route the thermostat probe into the IBC</w:t>
      </w:r>
    </w:p>
    <w:p>
      <w:pPr>
        <w:spacing w:after="60"/>
        <w:ind w:left="720"/>
      </w:pPr>
      <w:r>
        <w:rPr>
          <w:rFonts w:ascii="Arial" w:cs="Arial" w:eastAsia="Arial" w:hAnsi="Arial"/>
          <w:sz w:val="22"/>
          <w:szCs w:val="22"/>
        </w:rPr>
        <w:t xml:space="preserve">The Inkbird ITC-308 comes with a temperature sensor probe on a 1.5m cable. Thread the probe cable through one of the ventilation holes drilled in the lid in Part 1 Step 5 and let it hang down into the IBC interior. When you load substrate in Part 5, you will bury the probe tip 80-100mm deep in the substrate at the centre of the IBC. For now, tape the cable to the inside wall of the IBC above where the substrate will sit, so larval movement cannot shift the probe depth during operation.</w:t>
      </w:r>
    </w:p>
    <w:p>
      <w:r>
        <w:t xml:space="preserve"/>
      </w:r>
    </w:p>
    <w:p>
      <w:pPr>
        <w:pStyle w:val="ListParagraph"/>
        <w:numPr>
          <w:ilvl w:val="0"/>
          <w:numId w:val="3"/>
        </w:numPr>
        <w:spacing w:after="60" w:before="160"/>
      </w:pPr>
      <w:r>
        <w:rPr>
          <w:rFonts w:ascii="Arial" w:cs="Arial" w:eastAsia="Arial" w:hAnsi="Arial"/>
          <w:b/>
          <w:bCs/>
          <w:sz w:val="24"/>
          <w:szCs w:val="24"/>
        </w:rPr>
        <w:t xml:space="preserve">Set up the controller</w:t>
      </w:r>
    </w:p>
    <w:p>
      <w:pPr>
        <w:spacing w:after="60"/>
        <w:ind w:left="720"/>
      </w:pPr>
      <w:r>
        <w:rPr>
          <w:rFonts w:ascii="Arial" w:cs="Arial" w:eastAsia="Arial" w:hAnsi="Arial"/>
          <w:sz w:val="22"/>
          <w:szCs w:val="22"/>
        </w:rPr>
        <w:t xml:space="preserve">Plug the heat mat power cable into the socket labelled Heating on the front of the ITC-308. Leave the Cooling socket empty. Plug the ITC-308 into your power supply. To set temperature: press and hold the SET button for 3 seconds until the display flashes. Use the up and down arrows to set 28.0 degrees C. Press SET again to confirm. Set the differential (hysteresis) to 1.0 degrees C if the menu offers this option - this creates a 27-29 degree operating band where the mat switches on at 27 and off at 29.</w:t>
      </w:r>
    </w:p>
    <w:p>
      <w:r>
        <w:t xml:space="preserve"/>
      </w:r>
    </w:p>
    <w:p>
      <w:pPr>
        <w:pStyle w:val="ListParagraph"/>
        <w:numPr>
          <w:ilvl w:val="0"/>
          <w:numId w:val="3"/>
        </w:numPr>
        <w:spacing w:after="60" w:before="160"/>
      </w:pPr>
      <w:r>
        <w:rPr>
          <w:rFonts w:ascii="Arial" w:cs="Arial" w:eastAsia="Arial" w:hAnsi="Arial"/>
          <w:b/>
          <w:bCs/>
          <w:sz w:val="24"/>
          <w:szCs w:val="24"/>
        </w:rPr>
        <w:t xml:space="preserve">Run the test cycle before loading anything</w:t>
      </w:r>
    </w:p>
    <w:p>
      <w:pPr>
        <w:spacing w:after="60"/>
        <w:ind w:left="720"/>
      </w:pPr>
      <w:r>
        <w:rPr>
          <w:rFonts w:ascii="Arial" w:cs="Arial" w:eastAsia="Arial" w:hAnsi="Arial"/>
          <w:sz w:val="22"/>
          <w:szCs w:val="22"/>
        </w:rPr>
        <w:t xml:space="preserve">With the probe inside the empty IBC and the system powered on, watch the thermostat display for 30 minutes. The ITC-308 shows current temperature on the top line and target on the bottom. The heat mat should switch on (the heating indicator light activates), warm the probe reading, then switch off when it reaches 29 degrees C, and switch back on when the temperature drops to 27 degrees C. Complete at least one full on-off cycle and confirm these switch points before loading substrate.</w:t>
      </w:r>
    </w:p>
    <w:p>
      <w:pPr>
        <w:pBdr>
          <w:left w:val="single" w:color="1565C0" w:sz="12"/>
        </w:pBdr>
        <w:spacing w:after="80" w:before="80"/>
        <w:ind w:left="360"/>
      </w:pPr>
      <w:r>
        <w:rPr>
          <w:rFonts w:ascii="Arial" w:cs="Arial" w:eastAsia="Arial" w:hAnsi="Arial"/>
          <w:color w:val="0D47A1"/>
          <w:sz w:val="22"/>
          <w:szCs w:val="22"/>
        </w:rPr>
        <w:t xml:space="preserve">NOTE: If the temperature climbs past 31 degrees C without switching off, the probe is not reading correctly. Check that the probe plug is fully inserted into the ITC-308 sensor port and that the probe tip is not touching the IBC plastic wall, which conducts differently than air.</w:t>
      </w:r>
    </w:p>
    <w:p>
      <w:r>
        <w:t xml:space="preserve"/>
      </w:r>
    </w:p>
    <w:p>
      <w:pPr>
        <w:pStyle w:val="Heading1"/>
      </w:pPr>
      <w:r>
        <w:t xml:space="preserve">Part 5 — First Substrate Load and Stocking</w:t>
      </w:r>
    </w:p>
    <w:p>
      <w:r>
        <w:rPr>
          <w:rFonts w:ascii="Arial" w:cs="Arial" w:eastAsia="Arial" w:hAnsi="Arial"/>
          <w:sz w:val="24"/>
          <w:szCs w:val="24"/>
        </w:rPr>
        <w:t xml:space="preserve">Only proceed with this part once Parts 1 through 4 are all complete and the thermostat test cycle has passed.</w:t>
      </w:r>
    </w:p>
    <w:p>
      <w:r>
        <w:t xml:space="preserve"/>
      </w:r>
    </w:p>
    <w:p>
      <w:pPr>
        <w:pStyle w:val="ListParagraph"/>
        <w:numPr>
          <w:ilvl w:val="0"/>
          <w:numId w:val="3"/>
        </w:numPr>
        <w:spacing w:after="60" w:before="160"/>
      </w:pPr>
      <w:r>
        <w:rPr>
          <w:rFonts w:ascii="Arial" w:cs="Arial" w:eastAsia="Arial" w:hAnsi="Arial"/>
          <w:b/>
          <w:bCs/>
          <w:sz w:val="24"/>
          <w:szCs w:val="24"/>
        </w:rPr>
        <w:t xml:space="preserve">Mix the substrate</w:t>
      </w:r>
    </w:p>
    <w:p>
      <w:pPr>
        <w:spacing w:after="60"/>
        <w:ind w:left="720"/>
      </w:pPr>
      <w:r>
        <w:rPr>
          <w:rFonts w:ascii="Arial" w:cs="Arial" w:eastAsia="Arial" w:hAnsi="Arial"/>
          <w:sz w:val="22"/>
          <w:szCs w:val="22"/>
        </w:rPr>
        <w:t xml:space="preserve">Combine 85% food waste by weight with 15% wheat bran by weight. Food waste can include vegetable scraps, fruit waste, spent coffee grounds, and bread. Mix thoroughly in a wheelbarrow or large tub. Moisture check: grab a large handful and squeeze as hard as you can. A few drops of water should appear at your fist but not stream out. If it streams freely, it is too wet and will go anaerobic - add dry bran and remix. If it crumbles completely dry, add a small amount of water and recheck.</w:t>
      </w:r>
    </w:p>
    <w:p>
      <w:pPr>
        <w:pBdr>
          <w:left w:val="single" w:color="E8A000" w:sz="12"/>
        </w:pBdr>
        <w:spacing w:after="80" w:before="80"/>
        <w:ind w:left="360"/>
      </w:pPr>
      <w:r>
        <w:rPr>
          <w:rFonts w:ascii="Arial" w:cs="Arial" w:eastAsia="Arial" w:hAnsi="Arial"/>
          <w:color w:val="7A4500"/>
          <w:sz w:val="22"/>
          <w:szCs w:val="22"/>
        </w:rPr>
        <w:t xml:space="preserve">CAUTION: No meat, bones, dairy, or cooking oil. No large quantities of citrus. These attract vermin, create ammonia odour, and are likely not approved by Biosecurity Queensland for larvae destined for poultry feed. Confirm your approved substrate list in writing with Biosecurity QLD before signing any waste supply agreements.</w:t>
      </w:r>
    </w:p>
    <w:p>
      <w:r>
        <w:t xml:space="preserve"/>
      </w:r>
    </w:p>
    <w:p>
      <w:pPr>
        <w:pStyle w:val="ListParagraph"/>
        <w:numPr>
          <w:ilvl w:val="0"/>
          <w:numId w:val="3"/>
        </w:numPr>
        <w:spacing w:after="60" w:before="160"/>
      </w:pPr>
      <w:r>
        <w:rPr>
          <w:rFonts w:ascii="Arial" w:cs="Arial" w:eastAsia="Arial" w:hAnsi="Arial"/>
          <w:b/>
          <w:bCs/>
          <w:sz w:val="24"/>
          <w:szCs w:val="24"/>
        </w:rPr>
        <w:t xml:space="preserve">Load substrate to 150-180mm depth</w:t>
      </w:r>
    </w:p>
    <w:p>
      <w:pPr>
        <w:spacing w:after="60"/>
        <w:ind w:left="720"/>
      </w:pPr>
      <w:r>
        <w:rPr>
          <w:rFonts w:ascii="Arial" w:cs="Arial" w:eastAsia="Arial" w:hAnsi="Arial"/>
          <w:sz w:val="22"/>
          <w:szCs w:val="22"/>
        </w:rPr>
        <w:t xml:space="preserve">Load the mixed substrate through the top hatch onto the screen frame. Spread it evenly across the full width of the frame. Do not exceed 200mm depth. Deeper substrate compacts under its own weight and the lower layers go anaerobic where larvae cannot aerate it. Reposition the thermostat probe so its tip is buried 80-100mm deep in the centre of the substrate and fix the cable to the IBC wall above substrate level.</w:t>
      </w:r>
    </w:p>
    <w:p>
      <w:r>
        <w:t xml:space="preserve"/>
      </w:r>
    </w:p>
    <w:p>
      <w:pPr>
        <w:pStyle w:val="ListParagraph"/>
        <w:numPr>
          <w:ilvl w:val="0"/>
          <w:numId w:val="3"/>
        </w:numPr>
        <w:spacing w:after="60" w:before="160"/>
      </w:pPr>
      <w:r>
        <w:rPr>
          <w:rFonts w:ascii="Arial" w:cs="Arial" w:eastAsia="Arial" w:hAnsi="Arial"/>
          <w:b/>
          <w:bCs/>
          <w:sz w:val="24"/>
          <w:szCs w:val="24"/>
        </w:rPr>
        <w:t xml:space="preserve">Install the ramp and collection bucket</w:t>
      </w:r>
    </w:p>
    <w:p>
      <w:pPr>
        <w:spacing w:after="60"/>
        <w:ind w:left="720"/>
      </w:pPr>
      <w:r>
        <w:rPr>
          <w:rFonts w:ascii="Arial" w:cs="Arial" w:eastAsia="Arial" w:hAnsi="Arial"/>
          <w:sz w:val="22"/>
          <w:szCs w:val="22"/>
        </w:rPr>
        <w:t xml:space="preserve">Hook the ramp over the IBC rim with the smooth surface facing up. The base stop should rest on the substrate surface lightly - not pushed into the substrate, and not elevated above it. The ramp base touching the substrate surface is exactly right. Position the collection bucket outside the IBC directly below the ramp exit.</w:t>
      </w:r>
    </w:p>
    <w:p>
      <w:r>
        <w:t xml:space="preserve"/>
      </w:r>
    </w:p>
    <w:p>
      <w:pPr>
        <w:pStyle w:val="ListParagraph"/>
        <w:numPr>
          <w:ilvl w:val="0"/>
          <w:numId w:val="3"/>
        </w:numPr>
        <w:spacing w:after="60" w:before="160"/>
      </w:pPr>
      <w:r>
        <w:rPr>
          <w:rFonts w:ascii="Arial" w:cs="Arial" w:eastAsia="Arial" w:hAnsi="Arial"/>
          <w:b/>
          <w:bCs/>
          <w:sz w:val="24"/>
          <w:szCs w:val="24"/>
        </w:rPr>
        <w:t xml:space="preserve">Stock the larvae</w:t>
      </w:r>
    </w:p>
    <w:p>
      <w:pPr>
        <w:spacing w:after="60"/>
        <w:ind w:left="720"/>
      </w:pPr>
      <w:r>
        <w:rPr>
          <w:rFonts w:ascii="Arial" w:cs="Arial" w:eastAsia="Arial" w:hAnsi="Arial"/>
          <w:sz w:val="22"/>
          <w:szCs w:val="22"/>
        </w:rPr>
        <w:t xml:space="preserve">Spread your starter larvae evenly across the substrate surface. Do not dump them in one pile. For first batch: aim for approximately 5,000-8,000 larvae per IBC, which is roughly 5 grams of newly hatched neonates or 500 grams of 5-day-old larvae from your breeding colony. Close the lid. The system is now running.</w:t>
      </w:r>
    </w:p>
    <w:p>
      <w:r>
        <w:t xml:space="preserve"/>
      </w:r>
    </w:p>
    <w:p>
      <w:pPr>
        <w:pStyle w:val="ListParagraph"/>
        <w:numPr>
          <w:ilvl w:val="0"/>
          <w:numId w:val="3"/>
        </w:numPr>
        <w:spacing w:after="60" w:before="160"/>
      </w:pPr>
      <w:r>
        <w:rPr>
          <w:rFonts w:ascii="Arial" w:cs="Arial" w:eastAsia="Arial" w:hAnsi="Arial"/>
          <w:b/>
          <w:bCs/>
          <w:sz w:val="24"/>
          <w:szCs w:val="24"/>
        </w:rPr>
        <w:t xml:space="preserve">Daily checks during the batch</w:t>
      </w:r>
    </w:p>
    <w:p>
      <w:pPr>
        <w:spacing w:after="60"/>
        <w:ind w:left="720"/>
      </w:pPr>
      <w:r>
        <w:rPr>
          <w:rFonts w:ascii="Arial" w:cs="Arial" w:eastAsia="Arial" w:hAnsi="Arial"/>
          <w:sz w:val="22"/>
          <w:szCs w:val="22"/>
        </w:rPr>
        <w:t xml:space="preserve">Open the lid briefly once per day for a visual and smell check. Within 48 hours of stocking, larvae should be visibly active in the top layer of substrate. Smell check: faintly sweet and fermented is correct. Ammonia smell or sulphur smell means the substrate is failing. Check the thermostat display - temperature should be 27-29 degrees C. Check the leachate level through the base outlet - drain if it is within 30mm of the screen underside. From day 10 onward, check the collection bucket morning and evening for migrating prepupae.</w:t>
      </w:r>
    </w:p>
    <w:p>
      <w:pPr>
        <w:pBdr>
          <w:left w:val="single" w:color="2E7D32" w:sz="12"/>
        </w:pBdr>
        <w:spacing w:after="80" w:before="80"/>
        <w:ind w:left="360"/>
      </w:pPr>
      <w:r>
        <w:rPr>
          <w:rFonts w:ascii="Arial" w:cs="Arial" w:eastAsia="Arial" w:hAnsi="Arial"/>
          <w:color w:val="1B5E20"/>
          <w:sz w:val="22"/>
          <w:szCs w:val="22"/>
        </w:rPr>
        <w:t xml:space="preserve">TIP: Larvae climbing the IBC walls or lid before day 10, and ignoring the ramp, means the substrate has failed. The most common causes are: substrate too wet (add dry bran, mix gently), too much citrus making it acidic (dilute with fresh substrate next batch), or overheating above 35 degrees (check thermostat and ventilation).</w:t>
      </w:r>
    </w:p>
    <w:p>
      <w:r>
        <w:t xml:space="preserve"/>
      </w:r>
    </w:p>
    <w:p>
      <w:pPr>
        <w:pStyle w:val="Heading1"/>
      </w:pPr>
      <w:r>
        <w:t xml:space="preserve">Pre-Stocking Checklist</w:t>
      </w:r>
    </w:p>
    <w:p>
      <w:r>
        <w:rPr>
          <w:rFonts w:ascii="Arial" w:cs="Arial" w:eastAsia="Arial" w:hAnsi="Arial"/>
          <w:sz w:val="24"/>
          <w:szCs w:val="24"/>
        </w:rPr>
        <w:t xml:space="preserve">Do not stock any larvae until every item below is confirmed.</w:t>
      </w:r>
    </w:p>
    <w:p>
      <w:r>
        <w:t xml:space="preserve"/>
      </w:r>
    </w:p>
    <w:p>
      <w:pPr>
        <w:pStyle w:val="ListParagraph"/>
        <w:numPr>
          <w:ilvl w:val="0"/>
          <w:numId w:val="4"/>
        </w:numPr>
      </w:pPr>
      <w:r>
        <w:rPr>
          <w:rFonts w:ascii="Arial" w:cs="Arial" w:eastAsia="Arial" w:hAnsi="Arial"/>
          <w:sz w:val="22"/>
          <w:szCs w:val="22"/>
        </w:rPr>
        <w:t xml:space="preserve">IBC confirmed food-grade and provenance known</w:t>
      </w:r>
    </w:p>
    <w:p>
      <w:pPr>
        <w:pStyle w:val="ListParagraph"/>
        <w:numPr>
          <w:ilvl w:val="0"/>
          <w:numId w:val="4"/>
        </w:numPr>
      </w:pPr>
      <w:r>
        <w:rPr>
          <w:rFonts w:ascii="Arial" w:cs="Arial" w:eastAsia="Arial" w:hAnsi="Arial"/>
          <w:sz w:val="22"/>
          <w:szCs w:val="22"/>
        </w:rPr>
        <w:t xml:space="preserve">IBC fully cleaned with vinegar rinse and air-dried for 24 hours</w:t>
      </w:r>
    </w:p>
    <w:p>
      <w:pPr>
        <w:pStyle w:val="ListParagraph"/>
        <w:numPr>
          <w:ilvl w:val="0"/>
          <w:numId w:val="4"/>
        </w:numPr>
      </w:pPr>
      <w:r>
        <w:rPr>
          <w:rFonts w:ascii="Arial" w:cs="Arial" w:eastAsia="Arial" w:hAnsi="Arial"/>
          <w:sz w:val="22"/>
          <w:szCs w:val="22"/>
        </w:rPr>
        <w:t xml:space="preserve">Lid ventilation holes drilled - 24 holes in a 4x6 grid</w:t>
      </w:r>
    </w:p>
    <w:p>
      <w:pPr>
        <w:pStyle w:val="ListParagraph"/>
        <w:numPr>
          <w:ilvl w:val="0"/>
          <w:numId w:val="4"/>
        </w:numPr>
      </w:pPr>
      <w:r>
        <w:rPr>
          <w:rFonts w:ascii="Arial" w:cs="Arial" w:eastAsia="Arial" w:hAnsi="Arial"/>
          <w:sz w:val="22"/>
          <w:szCs w:val="22"/>
        </w:rPr>
        <w:t xml:space="preserve">Flyscreen mesh stapled to underside of lid covering all holes</w:t>
      </w:r>
    </w:p>
    <w:p>
      <w:pPr>
        <w:pStyle w:val="ListParagraph"/>
        <w:numPr>
          <w:ilvl w:val="0"/>
          <w:numId w:val="4"/>
        </w:numPr>
      </w:pPr>
      <w:r>
        <w:rPr>
          <w:rFonts w:ascii="Arial" w:cs="Arial" w:eastAsia="Arial" w:hAnsi="Arial"/>
          <w:sz w:val="22"/>
          <w:szCs w:val="22"/>
        </w:rPr>
        <w:t xml:space="preserve">Screen frame drops in and out of IBC freely</w:t>
      </w:r>
    </w:p>
    <w:p>
      <w:pPr>
        <w:pStyle w:val="ListParagraph"/>
        <w:numPr>
          <w:ilvl w:val="0"/>
          <w:numId w:val="4"/>
        </w:numPr>
      </w:pPr>
      <w:r>
        <w:rPr>
          <w:rFonts w:ascii="Arial" w:cs="Arial" w:eastAsia="Arial" w:hAnsi="Arial"/>
          <w:sz w:val="22"/>
          <w:szCs w:val="22"/>
        </w:rPr>
        <w:t xml:space="preserve">Screen frame rests at 100-150mm above IBC base floor</w:t>
      </w:r>
    </w:p>
    <w:p>
      <w:pPr>
        <w:pStyle w:val="ListParagraph"/>
        <w:numPr>
          <w:ilvl w:val="0"/>
          <w:numId w:val="4"/>
        </w:numPr>
      </w:pPr>
      <w:r>
        <w:rPr>
          <w:rFonts w:ascii="Arial" w:cs="Arial" w:eastAsia="Arial" w:hAnsi="Arial"/>
          <w:sz w:val="22"/>
          <w:szCs w:val="22"/>
        </w:rPr>
        <w:t xml:space="preserve">Hardware cloth fully stapled to frame - no loose edges</w:t>
      </w:r>
    </w:p>
    <w:p>
      <w:pPr>
        <w:pStyle w:val="ListParagraph"/>
        <w:numPr>
          <w:ilvl w:val="0"/>
          <w:numId w:val="4"/>
        </w:numPr>
      </w:pPr>
      <w:r>
        <w:rPr>
          <w:rFonts w:ascii="Arial" w:cs="Arial" w:eastAsia="Arial" w:hAnsi="Arial"/>
          <w:sz w:val="22"/>
          <w:szCs w:val="22"/>
        </w:rPr>
        <w:t xml:space="preserve">Harvest ramp hooks over rim securely with no wobble</w:t>
      </w:r>
    </w:p>
    <w:p>
      <w:pPr>
        <w:pStyle w:val="ListParagraph"/>
        <w:numPr>
          <w:ilvl w:val="0"/>
          <w:numId w:val="4"/>
        </w:numPr>
      </w:pPr>
      <w:r>
        <w:rPr>
          <w:rFonts w:ascii="Arial" w:cs="Arial" w:eastAsia="Arial" w:hAnsi="Arial"/>
          <w:sz w:val="22"/>
          <w:szCs w:val="22"/>
        </w:rPr>
        <w:t xml:space="preserve">Ramp base stop contacts substrate surface level</w:t>
      </w:r>
    </w:p>
    <w:p>
      <w:pPr>
        <w:pStyle w:val="ListParagraph"/>
        <w:numPr>
          <w:ilvl w:val="0"/>
          <w:numId w:val="4"/>
        </w:numPr>
      </w:pPr>
      <w:r>
        <w:rPr>
          <w:rFonts w:ascii="Arial" w:cs="Arial" w:eastAsia="Arial" w:hAnsi="Arial"/>
          <w:sz w:val="22"/>
          <w:szCs w:val="22"/>
        </w:rPr>
        <w:t xml:space="preserve">Ramp angle confirmed at 30-40 degrees with rice grain test</w:t>
      </w:r>
    </w:p>
    <w:p>
      <w:pPr>
        <w:pStyle w:val="ListParagraph"/>
        <w:numPr>
          <w:ilvl w:val="0"/>
          <w:numId w:val="4"/>
        </w:numPr>
      </w:pPr>
      <w:r>
        <w:rPr>
          <w:rFonts w:ascii="Arial" w:cs="Arial" w:eastAsia="Arial" w:hAnsi="Arial"/>
          <w:sz w:val="22"/>
          <w:szCs w:val="22"/>
        </w:rPr>
        <w:t xml:space="preserve">Collection bucket in position below ramp exit, no more than 100mm drop</w:t>
      </w:r>
    </w:p>
    <w:p>
      <w:pPr>
        <w:pStyle w:val="ListParagraph"/>
        <w:numPr>
          <w:ilvl w:val="0"/>
          <w:numId w:val="4"/>
        </w:numPr>
      </w:pPr>
      <w:r>
        <w:rPr>
          <w:rFonts w:ascii="Arial" w:cs="Arial" w:eastAsia="Arial" w:hAnsi="Arial"/>
          <w:sz w:val="22"/>
          <w:szCs w:val="22"/>
        </w:rPr>
        <w:t xml:space="preserve">Heat mat lying completely flat under IBC base - no folds</w:t>
      </w:r>
    </w:p>
    <w:p>
      <w:pPr>
        <w:pStyle w:val="ListParagraph"/>
        <w:numPr>
          <w:ilvl w:val="0"/>
          <w:numId w:val="4"/>
        </w:numPr>
      </w:pPr>
      <w:r>
        <w:rPr>
          <w:rFonts w:ascii="Arial" w:cs="Arial" w:eastAsia="Arial" w:hAnsi="Arial"/>
          <w:sz w:val="22"/>
          <w:szCs w:val="22"/>
        </w:rPr>
        <w:t xml:space="preserve">Thermostat probe threaded through lid ventilation hole</w:t>
      </w:r>
    </w:p>
    <w:p>
      <w:pPr>
        <w:pStyle w:val="ListParagraph"/>
        <w:numPr>
          <w:ilvl w:val="0"/>
          <w:numId w:val="4"/>
        </w:numPr>
      </w:pPr>
      <w:r>
        <w:rPr>
          <w:rFonts w:ascii="Arial" w:cs="Arial" w:eastAsia="Arial" w:hAnsi="Arial"/>
          <w:sz w:val="22"/>
          <w:szCs w:val="22"/>
        </w:rPr>
        <w:t xml:space="preserve">Probe cable fixed to IBC wall above substrate level</w:t>
      </w:r>
    </w:p>
    <w:p>
      <w:pPr>
        <w:pStyle w:val="ListParagraph"/>
        <w:numPr>
          <w:ilvl w:val="0"/>
          <w:numId w:val="4"/>
        </w:numPr>
      </w:pPr>
      <w:r>
        <w:rPr>
          <w:rFonts w:ascii="Arial" w:cs="Arial" w:eastAsia="Arial" w:hAnsi="Arial"/>
          <w:sz w:val="22"/>
          <w:szCs w:val="22"/>
        </w:rPr>
        <w:t xml:space="preserve">Thermostat tested and confirmed: switches on at 27C, off at 29C</w:t>
      </w:r>
    </w:p>
    <w:p>
      <w:pPr>
        <w:pStyle w:val="ListParagraph"/>
        <w:numPr>
          <w:ilvl w:val="0"/>
          <w:numId w:val="4"/>
        </w:numPr>
      </w:pPr>
      <w:r>
        <w:rPr>
          <w:rFonts w:ascii="Arial" w:cs="Arial" w:eastAsia="Arial" w:hAnsi="Arial"/>
          <w:sz w:val="22"/>
          <w:szCs w:val="22"/>
        </w:rPr>
        <w:t xml:space="preserve">At least one complete on-off cycle observed before loading substrate</w:t>
      </w:r>
    </w:p>
    <w:p>
      <w:pPr>
        <w:pStyle w:val="ListParagraph"/>
        <w:numPr>
          <w:ilvl w:val="0"/>
          <w:numId w:val="4"/>
        </w:numPr>
      </w:pPr>
      <w:r>
        <w:rPr>
          <w:rFonts w:ascii="Arial" w:cs="Arial" w:eastAsia="Arial" w:hAnsi="Arial"/>
          <w:sz w:val="22"/>
          <w:szCs w:val="22"/>
        </w:rPr>
        <w:t xml:space="preserve">Substrate mixed at correct moisture - squeeze test passes</w:t>
      </w:r>
    </w:p>
    <w:p>
      <w:pPr>
        <w:pStyle w:val="ListParagraph"/>
        <w:numPr>
          <w:ilvl w:val="0"/>
          <w:numId w:val="4"/>
        </w:numPr>
      </w:pPr>
      <w:r>
        <w:rPr>
          <w:rFonts w:ascii="Arial" w:cs="Arial" w:eastAsia="Arial" w:hAnsi="Arial"/>
          <w:sz w:val="22"/>
          <w:szCs w:val="22"/>
        </w:rPr>
        <w:t xml:space="preserve">Substrate loaded at 150-180mm depth on screen frame</w:t>
      </w:r>
    </w:p>
    <w:p>
      <w:pPr>
        <w:pStyle w:val="ListParagraph"/>
        <w:numPr>
          <w:ilvl w:val="0"/>
          <w:numId w:val="4"/>
        </w:numPr>
      </w:pPr>
      <w:r>
        <w:rPr>
          <w:rFonts w:ascii="Arial" w:cs="Arial" w:eastAsia="Arial" w:hAnsi="Arial"/>
          <w:sz w:val="22"/>
          <w:szCs w:val="22"/>
        </w:rPr>
        <w:t xml:space="preserve">Outlet valve accessible and clear for leachate draining</w:t>
      </w:r>
    </w:p>
    <w:p>
      <w:r>
        <w:t xml:space="preserve"/>
      </w:r>
    </w:p>
    <w:p>
      <w:pPr>
        <w:pStyle w:val="Heading1"/>
      </w:pPr>
      <w:r>
        <w:t xml:space="preserve">Stagger Schedule — 4 IBCs</w:t>
      </w:r>
    </w:p>
    <w:p>
      <w:r>
        <w:rPr>
          <w:rFonts w:ascii="Arial" w:cs="Arial" w:eastAsia="Arial" w:hAnsi="Arial"/>
          <w:sz w:val="24"/>
          <w:szCs w:val="24"/>
        </w:rPr>
        <w:t xml:space="preserve">For continuous output, stagger IBC stocking dates by 3 days. This gives a harvest every 3 days from week 2 onward.</w:t>
      </w:r>
    </w:p>
    <w:p>
      <w:r>
        <w:t xml:space="preserve"/>
      </w:r>
    </w:p>
    <w:p>
      <w:pPr>
        <w:pStyle w:val="ListParagraph"/>
        <w:numPr>
          <w:ilvl w:val="0"/>
          <w:numId w:val="2"/>
        </w:numPr>
      </w:pPr>
      <w:r>
        <w:rPr>
          <w:rFonts w:ascii="Arial" w:cs="Arial" w:eastAsia="Arial" w:hAnsi="Arial"/>
          <w:sz w:val="22"/>
          <w:szCs w:val="22"/>
        </w:rPr>
        <w:t xml:space="preserve">IBC 1: stock on Day 1, harvest Days 11-12  </w:t>
      </w:r>
      <w:r>
        <w:rPr>
          <w:rFonts w:ascii="Arial" w:cs="Arial" w:eastAsia="Arial" w:hAnsi="Arial"/>
          <w:b/>
          <w:bCs/>
          <w:sz w:val="22"/>
          <w:szCs w:val="22"/>
        </w:rPr>
        <w:t xml:space="preserve"/>
      </w:r>
    </w:p>
    <w:p>
      <w:pPr>
        <w:pStyle w:val="ListParagraph"/>
        <w:numPr>
          <w:ilvl w:val="0"/>
          <w:numId w:val="2"/>
        </w:numPr>
      </w:pPr>
      <w:r>
        <w:rPr>
          <w:rFonts w:ascii="Arial" w:cs="Arial" w:eastAsia="Arial" w:hAnsi="Arial"/>
          <w:sz w:val="22"/>
          <w:szCs w:val="22"/>
        </w:rPr>
        <w:t xml:space="preserve">IBC 2: stock on Day 4, harvest Days 14-15  </w:t>
      </w:r>
      <w:r>
        <w:rPr>
          <w:rFonts w:ascii="Arial" w:cs="Arial" w:eastAsia="Arial" w:hAnsi="Arial"/>
          <w:b/>
          <w:bCs/>
          <w:sz w:val="22"/>
          <w:szCs w:val="22"/>
        </w:rPr>
        <w:t xml:space="preserve"/>
      </w:r>
    </w:p>
    <w:p>
      <w:pPr>
        <w:pStyle w:val="ListParagraph"/>
        <w:numPr>
          <w:ilvl w:val="0"/>
          <w:numId w:val="2"/>
        </w:numPr>
      </w:pPr>
      <w:r>
        <w:rPr>
          <w:rFonts w:ascii="Arial" w:cs="Arial" w:eastAsia="Arial" w:hAnsi="Arial"/>
          <w:sz w:val="22"/>
          <w:szCs w:val="22"/>
        </w:rPr>
        <w:t xml:space="preserve">IBC 3: stock on Day 7, harvest Days 17-18  </w:t>
      </w:r>
      <w:r>
        <w:rPr>
          <w:rFonts w:ascii="Arial" w:cs="Arial" w:eastAsia="Arial" w:hAnsi="Arial"/>
          <w:b/>
          <w:bCs/>
          <w:sz w:val="22"/>
          <w:szCs w:val="22"/>
        </w:rPr>
        <w:t xml:space="preserve"/>
      </w:r>
    </w:p>
    <w:p>
      <w:pPr>
        <w:pStyle w:val="ListParagraph"/>
        <w:numPr>
          <w:ilvl w:val="0"/>
          <w:numId w:val="2"/>
        </w:numPr>
      </w:pPr>
      <w:r>
        <w:rPr>
          <w:rFonts w:ascii="Arial" w:cs="Arial" w:eastAsia="Arial" w:hAnsi="Arial"/>
          <w:sz w:val="22"/>
          <w:szCs w:val="22"/>
        </w:rPr>
        <w:t xml:space="preserve">IBC 4: stock on Day 10, harvest Days 20-21  </w:t>
      </w:r>
      <w:r>
        <w:rPr>
          <w:rFonts w:ascii="Arial" w:cs="Arial" w:eastAsia="Arial" w:hAnsi="Arial"/>
          <w:b/>
          <w:bCs/>
          <w:sz w:val="22"/>
          <w:szCs w:val="22"/>
        </w:rPr>
        <w:t xml:space="preserve"/>
      </w:r>
    </w:p>
    <w:p>
      <w:r>
        <w:t xml:space="preserve"/>
      </w:r>
    </w:p>
    <w:p>
      <w:r>
        <w:rPr>
          <w:rFonts w:ascii="Arial" w:cs="Arial" w:eastAsia="Arial" w:hAnsi="Arial"/>
          <w:sz w:val="24"/>
          <w:szCs w:val="24"/>
        </w:rPr>
        <w:t xml:space="preserve">After the first cycle, IBCs roll continuously: as soon as one IBC is harvested and cleaned (1-2 hours), reload it with fresh substrate and stock. From week 2 you are harvesting every 3 days with no gaps in production.</w:t>
      </w:r>
    </w:p>
    <w:p>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Step %1."/>
      <w:lvlJc w:val="left"/>
      <w:pPr>
        <w:ind w:left="720" w:hanging="360"/>
      </w:pPr>
      <w:rPr>
        <w:rFonts w:ascii="Arial" w:cs="Arial" w:eastAsia="Arial" w:hAnsi="Arial"/>
        <w:b/>
        <w:bCs/>
        <w:sz w:val="24"/>
        <w:szCs w:val="24"/>
      </w:rPr>
    </w:lvl>
  </w:abstractNum>
  <w:abstractNum w:abstractNumId="3" w15:restartNumberingAfterBreak="0">
    <w:multiLevelType w:val="hybridMultilevel"/>
    <w:lvl w:ilvl="0" w15:tentative="1">
      <w:start w:val="1"/>
      <w:numFmt w:val="bullet"/>
      <w:lvlText w:val="•"/>
      <w:lvlJc w:val="left"/>
      <w:pPr>
        <w:ind w:left="520" w:hanging="260"/>
      </w:pPr>
    </w:lvl>
  </w:abstractNum>
  <w:abstractNum w:abstractNumId="4"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3A5C" w:sz="6" w:space="1"/>
      </w:pBd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5C8A"/>
      <w:sz w:val="28"/>
      <w:szCs w:val="28"/>
    </w:rPr>
  </w:style>
  <w:style w:type="paragraph" w:styleId="Heading3">
    <w:name w:val="Heading 3"/>
    <w:basedOn w:val="Normal"/>
    <w:next w:val="Normal"/>
    <w:qFormat/>
    <w:pPr>
      <w:spacing w:after="6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2026-04-17T16:48:34.129Z</dcterms:created>
  <dcterms:modified xsi:type="dcterms:W3CDTF">2026-04-17T16:48:34.130Z</dcterms:modified>
</cp:coreProperties>
</file>

<file path=docProps/custom.xml><?xml version="1.0" encoding="utf-8"?>
<Properties xmlns="http://schemas.openxmlformats.org/officeDocument/2006/custom-properties" xmlns:vt="http://schemas.openxmlformats.org/officeDocument/2006/docPropsVTypes"/>
</file>