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3A5C"/>
          <w:sz w:val="52"/>
          <w:szCs w:val="52"/>
        </w:rPr>
        <w:t xml:space="preserve">BSFL Farm — Grant Opportunities and Revenue Expansion</w:t>
      </w:r>
    </w:p>
    <w:p>
      <w:pPr>
        <w:spacing w:after="40"/>
      </w:pPr>
      <w:r>
        <w:rPr>
          <w:rFonts w:ascii="Arial" w:cs="Arial" w:eastAsia="Arial" w:hAnsi="Arial"/>
          <w:color w:val="666666"/>
          <w:sz w:val="22"/>
          <w:szCs w:val="22"/>
        </w:rPr>
        <w:t xml:space="preserve">658 Lefthand Branch Rd, Lockyer Valley QLD  |  April 2026</w:t>
      </w:r>
    </w:p>
    <w:p>
      <w:pPr>
        <w:pBdr>
          <w:bottom w:val="single" w:color="CCCCCC" w:sz="4" w:space="1"/>
        </w:pBdr>
        <w:spacing w:after="280"/>
      </w:pPr>
      <w:r>
        <w:rPr>
          <w:rFonts w:ascii="Arial" w:cs="Arial" w:eastAsia="Arial" w:hAnsi="Arial"/>
          <w:color w:val="888888"/>
          <w:sz w:val="20"/>
          <w:szCs w:val="20"/>
        </w:rPr>
        <w:t xml:space="preserve">Current grant opportunities  |  Unexplored revenue streams  |  Timing and eligibility notes</w:t>
      </w:r>
    </w:p>
    <w:p>
      <w:r>
        <w:t xml:space="preserve"/>
      </w:r>
    </w:p>
    <w:p>
      <w:pPr>
        <w:pStyle w:val="Heading2"/>
      </w:pPr>
      <w:r>
        <w:t xml:space="preserve">How to read this document</w:t>
      </w:r>
    </w:p>
    <w:p>
      <w:pPr>
        <w:spacing w:after="100"/>
      </w:pPr>
      <w:r>
        <w:rPr>
          <w:rFonts w:ascii="Arial" w:cs="Arial" w:eastAsia="Arial" w:hAnsi="Arial"/>
          <w:sz w:val="24"/>
          <w:szCs w:val="24"/>
        </w:rPr>
        <w:t xml:space="preserve">Part 1 covers grant and funding opportunities currently available or opening in 2026. Each entry includes eligibility criteria, realistic fit assessment for this specific operation, and the first concrete action required. Grants are grouped by readiness — those accessible now, those accessible from month 6, and those accessible from year 2.</w:t>
      </w:r>
    </w:p>
    <w:p>
      <w:pPr>
        <w:spacing w:after="100"/>
      </w:pPr>
      <w:r>
        <w:rPr>
          <w:rFonts w:ascii="Arial" w:cs="Arial" w:eastAsia="Arial" w:hAnsi="Arial"/>
          <w:sz w:val="24"/>
          <w:szCs w:val="24"/>
        </w:rPr>
        <w:t xml:space="preserve">Part 2 covers revenue streams not currently in the financial model. Each entry includes realistic pricing, volume potential at Stage 1 scale, how it fits into existing operations, and what would need to change to pursue it. These are not speculative opportunities — each one has a confirmed Australian market.</w:t>
      </w:r>
    </w:p>
    <w:p>
      <w:pPr>
        <w:pBdr>
          <w:left w:val="single" w:color="1565C0" w:sz="12"/>
        </w:pBdr>
        <w:spacing w:after="80" w:before="80"/>
        <w:ind w:left="360"/>
      </w:pPr>
      <w:r>
        <w:rPr>
          <w:rFonts w:ascii="Arial" w:cs="Arial" w:eastAsia="Arial" w:hAnsi="Arial"/>
          <w:color w:val="0D47A1"/>
          <w:sz w:val="22"/>
          <w:szCs w:val="22"/>
        </w:rPr>
        <w:t xml:space="preserve">NOTE: Grant information is current as of April 2026. Eligibility criteria, funding amounts, and application windows change frequently. Always verify current details at the official source before investing time in an application.</w:t>
      </w:r>
    </w:p>
    <w:p>
      <w:r>
        <w:t xml:space="preserve"/>
      </w:r>
    </w:p>
    <w:p>
      <w:r>
        <w:br w:type="page"/>
      </w:r>
    </w:p>
    <w:p>
      <w:pPr>
        <w:pStyle w:val="Heading1"/>
      </w:pPr>
      <w:r>
        <w:t xml:space="preserve">Part 1 — Grant and Funding Opportunities</w:t>
      </w:r>
    </w:p>
    <w:p>
      <w:r>
        <w:t xml:space="preserve"/>
      </w:r>
    </w:p>
    <w:p>
      <w:pPr>
        <w:pStyle w:val="Heading2"/>
      </w:pPr>
      <w:r>
        <w:t xml:space="preserve">Tier 1 — Available now, pursue immediately</w:t>
      </w:r>
    </w:p>
    <w:p>
      <w:pPr>
        <w:spacing w:after="100"/>
      </w:pPr>
      <w:r>
        <w:rPr>
          <w:rFonts w:ascii="Arial" w:cs="Arial" w:eastAsia="Arial" w:hAnsi="Arial"/>
          <w:sz w:val="24"/>
          <w:szCs w:val="24"/>
        </w:rPr>
        <w:t xml:space="preserve">These opportunities are open now or imminently, and your operation qualifies without needing further operating history.</w:t>
      </w:r>
    </w:p>
    <w:p>
      <w:r>
        <w:t xml:space="preserve"/>
      </w:r>
    </w:p>
    <w:p>
      <w:pPr>
        <w:pStyle w:val="Heading3"/>
      </w:pPr>
      <w:r>
        <w:t xml:space="preserve">QRIDA Sustainability Loan — up to $1.3 million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Amount</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Up to $1.3 million at concessional interest rates. Terms up to 20 years. No fees or charges.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Eligibility</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Queensland primary producers spending the majority of their labour on and deriving the majority of their income from a primary production enterprise. Insect farming is an eligible primary production activity. QRIDA has explicitly supported niche industries including oyster farming and berry growing.</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Fit for this operation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is the most important financial opportunity in the document. A Sustainability Loan is not a grant but a concessional-rate loan (below commercial rates) for primary production infrastructure. It can fund the Stage 2 shed, climate control equipment, processing infrastructure, and power supply upgrades — exactly the capital items needed to scale from Site 1 to 50 kg/week. Eligible activities include on-farm energy efficiency improvements, biosecurity measures, and farm operations improvements. A BSFL bioconversion facility processing food waste into approved livestock feed clearly qualifies.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Applications assessed in date order received up to 30 June 2026 or until funds exhausted. The 2025-26 financial year allocation may close before June 30 — apply early. Next financial year allocation opens July 2026.</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action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Call QRIDA Toowoomba office (closest RAM to Lockyer Valley) on 1800 623 946. Explain the operation and ask whether a Sustainability Loan is appropriate before investing time in a full application. They are genuinely helpful and will tell you directly if you are eligible.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Website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qrida.qld.gov.au/program/sustainability-loan</w:t>
            </w:r>
          </w:p>
        </w:tc>
      </w:tr>
    </w:tbl>
    <w:p>
      <w:r>
        <w:t xml:space="preserve"/>
      </w:r>
    </w:p>
    <w:p>
      <w:pPr>
        <w:pStyle w:val="Heading3"/>
      </w:pPr>
      <w:r>
        <w:t xml:space="preserve">AgriFutures Emerging Industries Program — Insects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Amount</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funding amounts vary. Previous grants in the insect sector include a $2 million University of Adelaide research program. Individual operator participation grants are smaller.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Eligibility</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AgriFutures supports researchers, industry partners, universities, government agencies, businesses and organisations. Applications must be submitted through established programs aligned with their current Strategic Plan. They have an active insect industry advisory group and have publicly committed to growing the Australian insect industry to $10 million GVP.</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Fit for this operation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AgriFutures is the most strategically valuable relationship in this document — not just for direct funding but for connection to the research network that validates your protocol. Their insect industry advisory group is exactly the audience that evaluates licensed protocols. A relationship with AgriFutures gives you credibility with potential licensees, access to industry research before it is published, and a potential pathway to co-funding a formal protocol validation study. Your biological sciences background makes you a credible research partner rather than just a grant recipient.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AgriFutures does not accept unsolicited proposals. The pathway is: join the Insect Protein Association of Australia (IPAA), attend industry events, make contact with the AgriFutures Emerging Industries team, and identify a research question your operation can contribute data to. This takes 6-12 months to develop properly.</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action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AgriFutures Emerging Industries team at agrifutures.com.au and introduce yourself as a new commercial BSFL operator in the Lockyer Valley with a documentation-focused protocol. Express interest in contributing to the insect industry RD&amp;E program. Join the IPAA.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Website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agrifutures.com.au/rural-industries/insects</w:t>
            </w:r>
          </w:p>
        </w:tc>
      </w:tr>
    </w:tbl>
    <w:p>
      <w:r>
        <w:t xml:space="preserve"/>
      </w:r>
    </w:p>
    <w:p>
      <w:pPr>
        <w:pStyle w:val="Heading3"/>
      </w:pPr>
      <w:r>
        <w:t xml:space="preserve">Advance Queensland — Ignite Ideas Fund and AgTech programs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Amount</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Ignite Ideas Fund: grants of $50,000 to $200,000 for Queensland businesses commercialising innovative ideas. AgTech accelerator programs vary.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Eligibility</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Queensland businesses commercialising innovative products, services or processes. The operation must demonstrate genuine innovation — the licensed protocol model and the systematic bioconversion documentation approach are both defensible as innovative for the Australian insect farming sector.</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Fit for this operation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 fit at Stage 1. The Ignite Ideas Fund is competitive and tends to favour technology-intensive businesses. However the licensing protocol model — a systematic, documented, scalable insect bioconversion process designed for replication across SEQ — is a genuinely innovative commercial model in the Australian context. This becomes a stronger application from month 6-12 when you have yield data and a first licensee conversation underway.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Ignite Ideas rounds open and close periodically. Check advance.qld.gov.au for current round status. The AgTech for Decarbonisation program through the Regional Enabler network may have workshops or accelerator access available now.</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action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Register at advance.qld.gov.au and subscribe to grant notifications. Attend a Mentoring for Growth session (free) to discuss the licensing model with an experienced business mentor before investing in a full application.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Website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advance.qld.gov.au/grants-and-programs</w:t>
            </w:r>
          </w:p>
        </w:tc>
      </w:tr>
    </w:tbl>
    <w:p>
      <w:r>
        <w:t xml:space="preserve"/>
      </w:r>
    </w:p>
    <w:p>
      <w:r>
        <w:t xml:space="preserve"/>
      </w:r>
    </w:p>
    <w:p>
      <w:r>
        <w:br w:type="page"/>
      </w:r>
    </w:p>
    <w:p>
      <w:pPr>
        <w:pStyle w:val="Heading2"/>
      </w:pPr>
      <w:r>
        <w:t xml:space="preserve">Tier 2 — Available from month 6, requires operating history</w:t>
      </w:r>
    </w:p>
    <w:p>
      <w:pPr>
        <w:spacing w:after="100"/>
      </w:pPr>
      <w:r>
        <w:rPr>
          <w:rFonts w:ascii="Arial" w:cs="Arial" w:eastAsia="Arial" w:hAnsi="Arial"/>
          <w:sz w:val="24"/>
          <w:szCs w:val="24"/>
        </w:rPr>
        <w:t xml:space="preserve">These opportunities require demonstrated operating capability before an application is competitive. Month 6 is the earliest realistic timing for most of these.</w:t>
      </w:r>
    </w:p>
    <w:p>
      <w:r>
        <w:t xml:space="preserve"/>
      </w:r>
    </w:p>
    <w:p>
      <w:pPr>
        <w:pStyle w:val="Heading3"/>
      </w:pPr>
      <w:r>
        <w:t xml:space="preserve">SEQ City Deal — $54 million organics infrastructure allocation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Amount</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 grants of varying amounts for organics processing projects across SEQ. Individual project sizes not publicly specified.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Eligibility</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Demonstrated operating processors with council relationships and documented waste diversion capability. This is explicitly not a startup grant — it funds proven operations scaling up.</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Fit for this operation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fit from month 6 onward. The SEQ City Deal organics infrastructure allocation exists specifically to fund BSFL-type bioconversion operations at scale. A Site 1 operation with 6 months of yield data, a council waste processing relationship, and a documented protocol is exactly the applicant profile this funding is designed for. The business plan's long-term scaling model (5-site SEQ network) is precisely what this program is designed to enable.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Applications are not currently open in a standard round format. The pathway is through council relationships — LVRC and Brisbane City Council are the relevant bodies. Approach LVRC Economic Development after month 3 with your yield data and a Site 2 proposal.</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action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LVRC Environmental Health Officer consultation in the first 2 weeks of operation. Build the council relationship from day one — it is the prerequisite for SEQ City Deal access.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Website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citydeals.infrastructure.gov.au</w:t>
            </w:r>
          </w:p>
        </w:tc>
      </w:tr>
    </w:tbl>
    <w:p>
      <w:r>
        <w:t xml:space="preserve"/>
      </w:r>
    </w:p>
    <w:p>
      <w:pPr>
        <w:pStyle w:val="Heading3"/>
      </w:pPr>
      <w:r>
        <w:t xml:space="preserve">ARENA — Future Made in Australia Innovation Fund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Amount</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Up to $1.5 billion total program. Individual grants not publicly capped — ARENA has funded projects from $200,000 to $50 million.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Eligibility</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Pre-commercial innovation, demonstration and deployment of renewable energy and low emission technologies. Applicants must contact ARENA before applying to discuss fit and seek endorsement. The biodiesel and SAF pathway from larval lipid extraction is the relevant technology pathway for this operation.</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Fit for this operation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fit at Stage 1 but high fit at Stage 3-4 (Sites 3-5 with lipid extraction). ARENA funded the biodiesel and SAF layer explicitly called out in the business plan. The pathway is: demonstrate the bioconversion model works at commercial scale (Sites 1-2), document the lipid fraction yield data, then approach ARENA with a proposal for a central lipid extraction and biodiesel production facility at Site 3 or beyond. ARENA explicitly requires applicants to contact them before submitting.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ARENA is an ongoing program remaining open until funding is exhausted. No urgency to apply at Stage 1. Begin building the documentation that will support a future ARENA application.</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action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Begin logging larval lipid content data in batch records now — even simple observations about the oil yield from the drying process. This data will support a future ARENA proposal.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Website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arena.gov.au/funding</w:t>
            </w:r>
          </w:p>
        </w:tc>
      </w:tr>
    </w:tbl>
    <w:p>
      <w:r>
        <w:t xml:space="preserve"/>
      </w:r>
    </w:p>
    <w:p>
      <w:pPr>
        <w:pStyle w:val="Heading3"/>
      </w:pPr>
      <w:r>
        <w:t xml:space="preserve">Recycling Modernisation Fund — Australian Government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Amount</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rounds, grants vary. Previous rounds funded 25 projects diverting 1.1 million tonnes from landfill.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Eligibility</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Resource recovery infrastructure projects with demonstrated waste diversion capability. Applications assessed on operating capability — a proven processor is a stronger applicant than an unlaunched startup.</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Fit for this operation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fit from month 6-12. A BSFL bioconversion facility that has documented 6-12 months of food waste diversion data is exactly the evidence base this program requires. The framing is waste management infrastructure, not insect farming — lead with the tonnes diverted, not the larvae produced.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current round status at dcceew.gov.au. Previous rounds closed quickly after opening. Monitor from month 3 and prepare the application documentation in advance.</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action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Prepare a one-page waste diversion summary from batch records monthly. By month 6 you will have documented evidence of X tonnes of food waste diverted from landfill — this is your core application evidence.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Website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dcceew.gov.au/environment/protection/waste/product-stewardship/recycling-modernisation-fund</w:t>
            </w:r>
          </w:p>
        </w:tc>
      </w:tr>
    </w:tbl>
    <w:p>
      <w:r>
        <w:t xml:space="preserve"/>
      </w:r>
    </w:p>
    <w:p>
      <w:pPr>
        <w:pStyle w:val="Heading3"/>
      </w:pPr>
      <w:r>
        <w:t xml:space="preserve">QRIDA Rural Agricultural Development Grants — up to $200,000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Amount</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Up to $200,000 for economic development in rural areas.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Eligibility</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Rural Queensland businesses contributing to regional economic development. Insect farming as a food waste processing and local protein production industry has strong regional economic development framing.</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Fit for this operation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 fit. Worth investigating eligibility in detail after month 3 when you have operating data and a clear proposal for how the grant would expand economic activity in the Lockyer Valley.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urgent deadline. Apply when you have 3-6 months of operating data and a clear use for the capital.</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action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QRIDA Toowoomba RAM and ask specifically about Rural Agricultural Development Grant eligibility for an insect bioconversion operation.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Website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qrida.qld.gov.au/program/rural-agricultural-development-grants</w:t>
            </w:r>
          </w:p>
        </w:tc>
      </w:tr>
    </w:tbl>
    <w:p>
      <w:r>
        <w:t xml:space="preserve"/>
      </w:r>
    </w:p>
    <w:p>
      <w:r>
        <w:t xml:space="preserve"/>
      </w:r>
    </w:p>
    <w:p>
      <w:r>
        <w:br w:type="page"/>
      </w:r>
    </w:p>
    <w:p>
      <w:pPr>
        <w:pStyle w:val="Heading2"/>
      </w:pPr>
      <w:r>
        <w:t xml:space="preserve">Tier 3 — Year 2 and beyond</w:t>
      </w:r>
    </w:p>
    <w:p>
      <w:pPr>
        <w:spacing w:after="100"/>
      </w:pPr>
      <w:r>
        <w:rPr>
          <w:rFonts w:ascii="Arial" w:cs="Arial" w:eastAsia="Arial" w:hAnsi="Arial"/>
          <w:sz w:val="24"/>
          <w:szCs w:val="24"/>
        </w:rPr>
        <w:t xml:space="preserve">These require scale and documented history that realistically takes 12-18 months to build.</w:t>
      </w:r>
    </w:p>
    <w:p>
      <w:r>
        <w:t xml:space="preserve"/>
      </w:r>
    </w:p>
    <w:p>
      <w:pPr>
        <w:pStyle w:val="Heading3"/>
      </w:pPr>
      <w:r>
        <w:t xml:space="preserve">Business Growth Fund QLD — $50,000 to $75,000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Amount</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 to $75,000 with 50% co-contribution required from applicant.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Eligibility</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High-growth Queensland small businesses with fewer than 20 employees seeking to purchase specialised equipment. Must demonstrate high-growth trajectory.</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Fit for this operation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fit at year 2 if revenue trajectory is tracking to projection. The co-contribution requirement means you need $25,000-37,500 in available capital, which aligns with the financial model's year 2 buffer. Use this to fund commercial-grade drying and processing equipment for the transition to 50+ kg/week output.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Applications were recently closed (ROI closed January 2026). Next round timing unknown. Monitor business.qld.gov.au from late 2026.</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action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Register at business.qld.gov.au and subscribe to notifications for the next Business Growth Fund round.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Website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business.gov.au/grants-and-programs/business-growth-fund-qld</w:t>
            </w:r>
          </w:p>
        </w:tc>
      </w:tr>
    </w:tbl>
    <w:p>
      <w:r>
        <w:t xml:space="preserve"/>
      </w:r>
    </w:p>
    <w:p>
      <w:pPr>
        <w:pStyle w:val="Heading3"/>
      </w:pPr>
      <w:r>
        <w:t xml:space="preserve">Export Market Development Grants (EMDG) — Austrade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Amount</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Reimbursement of 50% of eligible export promotion expenses. Up to $770,000 over 8 years.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Eligibility</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Australian businesses with annual turnover below $50 million actively promoting export of eligible goods or services. Chitosan and high-grade BSFL protein meal are eligible export products.</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Fit for this operation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fit at Stage 1 but relevant from year 2-3 when the chitosan pathway is established and export conversations begin. BSF-derived chitosan at premium grade ($100-150/kg) is an internationally traded commodity with export potential to nutraceutical and cosmetics manufacturers in Asia and North America.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2-3. No action required now.</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action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 for future reference. Begin collecting export enquiry data from year 2 onward as evidence of export promotion activity.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Website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austrade.gov.au/en/trade/export-grants</w:t>
            </w:r>
          </w:p>
        </w:tc>
      </w:tr>
    </w:tbl>
    <w:p>
      <w:r>
        <w:t xml:space="preserve"/>
      </w:r>
    </w:p>
    <w:p>
      <w:r>
        <w:t xml:space="preserve"/>
      </w:r>
    </w:p>
    <w:p>
      <w:r>
        <w:br w:type="page"/>
      </w:r>
    </w:p>
    <w:p>
      <w:pPr>
        <w:pStyle w:val="Heading1"/>
      </w:pPr>
      <w:r>
        <w:t xml:space="preserve">Part 2 — Revenue Streams Not in the Current Financial Model</w:t>
      </w:r>
    </w:p>
    <w:p>
      <w:pPr>
        <w:spacing w:after="100"/>
      </w:pPr>
      <w:r>
        <w:rPr>
          <w:rFonts w:ascii="Arial" w:cs="Arial" w:eastAsia="Arial" w:hAnsi="Arial"/>
          <w:sz w:val="24"/>
          <w:szCs w:val="24"/>
        </w:rPr>
        <w:t xml:space="preserve">The financial model covers live larvae, dried larvae, frass, market stalls, tipping fees, and chitin. The following revenue streams are confirmed Australian markets that the current model does not capture. Each is assessed for fit with the existing operation and the effort required to pursue it.</w:t>
      </w:r>
    </w:p>
    <w:p>
      <w:r>
        <w:t xml:space="preserve"/>
      </w:r>
    </w:p>
    <w:p>
      <w:pPr>
        <w:pStyle w:val="Heading2"/>
      </w:pPr>
      <w:r>
        <w:t xml:space="preserve">Institutional and specialist animal feeding</w:t>
      </w:r>
    </w:p>
    <w:p>
      <w:r>
        <w:t xml:space="preserve"/>
      </w:r>
    </w:p>
    <w:p>
      <w:pPr>
        <w:pStyle w:val="Heading3"/>
      </w:pPr>
      <w:r>
        <w:t xml:space="preserve">Zoos and wildlife parks — live and dried BSFL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Zoos, wildlife parks, and wildlife rehabilitation centres feed large volumes of live insects to reptiles, birds, fish, and mammals. SEQ has multiple facilities within 2 hours of the Lockyer Valley: Australia Zoo (Beerwah), Lone Pine Koala Sanctuary (Brisbane), SEA LIFE Brisbane, Currumbin Wildlife Sanctuary, and David Fleay Wildlife Park.</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Institutional wholesale pricing typically $12-18/kg live, $50-70/kg dried. Volume contracts mean lower per-kg price but reliable weekly orders of 5-20 kg. A single zoo account at 10 kg/week live is worth $6,240-9,360/year at $12-18/kg.</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Realistic volume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Realistic from month 4-6 at Stage 1 scale. A single medium zoo account represents 10-15% of peak weekly live output — manageable without overcommitting supply.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Fit and timing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 fit. Zoos already use feeder insects and understand the product. They value substrate traceability because their animal welfare obligations require documented feed inputs. Your batch tracking system and substrate documentation is a genuine competitive advantage over anonymous online suppliers. Local supply also eliminates the live-delivery mortality risk that interstate suppliers face. The main barrier is procurement — zoos typically have formal supplier approval processes that take 4-8 weeks to navigate.</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action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the animal care or nutrition department (not the commercial team) at Australia Zoo and Lone Pine directly. Offer a free sample pack of 500g live and 200g dried with a one-page product sheet and your batch documentation. Follow up within one week. The animal keeper who feeds the reptiles is your champion — they make the recommendation to procurement.</w:t>
            </w:r>
          </w:p>
        </w:tc>
      </w:tr>
    </w:tbl>
    <w:p>
      <w:r>
        <w:t xml:space="preserve"/>
      </w:r>
    </w:p>
    <w:p>
      <w:pPr>
        <w:pStyle w:val="Heading3"/>
      </w:pPr>
      <w:r>
        <w:t xml:space="preserve">Aquaculture and fish farms — dried BSFL protein meal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Australian aquaculture operators are actively seeking domestic alternatives to imported fish meal. BSFL dried larvae are a validated partial replacement for fish meal in barramundi, trout, and ornamental fish feed. The Lockyer Valley has proximity to SEQ aquaculture operations.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Bulk dried BSFL protein meal to aquaculture: $8-15/kg at volume (5-20 tonne/year contracts). This is lower than retail dried price ($80/kg) but the volumes are substantially larger. A single small aquaculture operation taking 100 kg/month at $12/kg = $14,400/year.</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Realistic volume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viable at Stage 1 volumes — a 100 kg/month aquaculture contract represents more than your total monthly dried output at peak. Relevant from year 2 when output exceeds 30 kg dried/week.</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Fit and timing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fit now, high fit at year 2. Note for future development. Begin conversations with SEQ aquaculture operators from month 6 to understand their feed specifications and volumes — this takes 12-18 months to convert to a contract anyway.</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action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AgriFutures aquaculture sector contacts or the Queensland Aquaculture Industry Association. Introduce yourself as a BSFL producer interested in fish meal substitution trials. Offer to provide a 5 kg dried sample for feed trial testing.</w:t>
            </w:r>
          </w:p>
        </w:tc>
      </w:tr>
    </w:tbl>
    <w:p>
      <w:r>
        <w:t xml:space="preserve"/>
      </w:r>
    </w:p>
    <w:p>
      <w:pPr>
        <w:pStyle w:val="Heading3"/>
      </w:pPr>
      <w:r>
        <w:t xml:space="preserve">Wildlife rehabilitation centres — live BSFL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Wildlife rehabilitators across SEQ care for injured reptiles, birds, and mammals and require regular live feeder insect supply. There are hundreds of licensed wildlife carers in SEQ, most of whom currently source insects from interstate online suppliers with variable quality and live delivery mortality.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 to wildlife carers: $20-30/kg live, similar to direct retail. Volume per customer is small (500g-2kg per order) but there are many customers and they are highly loyal once a reliable local supply is established. Ten wildlife carer standing orders at 1 kg/fortnight = 26 kg/year = $520-780/year per ten customers.</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Realistic volume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Small volume per customer but zero marketing cost after initial contact — wildlife carer networks are close-knit and word of mouth within the community is fast.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Fit and timing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fit from month 2. Wildlife carers are easy to reach through WIRES Queensland and Wildlife Queensland Facebook groups. They respond well to local, fresh, documented product.</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action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in the WIRES Queensland and Wildlife Queensland Facebook groups with a simple offer: local Lockyer Valley BSFL farm, available for standing orders, free sample for first order. This costs nothing and can generate 5-10 standing orders within a week.</w:t>
            </w:r>
          </w:p>
        </w:tc>
      </w:tr>
    </w:tbl>
    <w:p>
      <w:r>
        <w:t xml:space="preserve"/>
      </w:r>
    </w:p>
    <w:p>
      <w:r>
        <w:t xml:space="preserve"/>
      </w:r>
    </w:p>
    <w:p>
      <w:r>
        <w:br w:type="page"/>
      </w:r>
    </w:p>
    <w:p>
      <w:pPr>
        <w:pStyle w:val="Heading2"/>
      </w:pPr>
      <w:r>
        <w:t xml:space="preserve">Food service and human consumption</w:t>
      </w:r>
    </w:p>
    <w:p>
      <w:r>
        <w:t xml:space="preserve"/>
      </w:r>
    </w:p>
    <w:p>
      <w:pPr>
        <w:pStyle w:val="Heading3"/>
      </w:pPr>
      <w:r>
        <w:t xml:space="preserve">Restaurants — insects as ingredients or novelty menu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 small but growing number of Australian restaurants incorporate edible insects into their menus, primarily as novelty items or as a sustainability statement. Brisbane has several restaurants that have experimented with insect ingredients. Dried BSFL can be ground into flour, used as a protein topping, or incorporated into sauces.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Restaurant ingredient pricing for dried insects: $80-120/kg dried larvae or $150-250/kg processed flour. Small volumes (500g-2kg per restaurant per month) but very high per-kg pricing and significant marketing value.</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Realistic volume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small volume but disproportionate marketing value. A single Brisbane restaurant featuring your larvae on their menu with your farm named as the source is worth substantially more in brand awareness than the $50-100 per month revenue. It positions the operation as food-safe, premium, and local — which supports frass retail pricing and future licensing credibility.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Fit and timing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Niche fit. Not worth pursuing as a primary revenue stream but worth a few hours of outreach. Regulatory note: BSFL sold for direct human consumption requires FSANZ Novel Foods approval, which is a separate and more complex regulatory process than the DAF poultry feed approval. Do not sell for human consumption without confirming regulatory status first.</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action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FSANZ Novel Foods framework before approaching any restaurant. If the regulatory pathway is too complex at Stage 1, defer this opportunity to year 2. In the meantime, focus restaurant outreach on frass as a premium organic fertiliser rather than larvae as an ingredient.</w:t>
            </w:r>
          </w:p>
        </w:tc>
      </w:tr>
    </w:tbl>
    <w:p>
      <w:r>
        <w:t xml:space="preserve"/>
      </w:r>
    </w:p>
    <w:p>
      <w:r>
        <w:t xml:space="preserve"/>
      </w:r>
    </w:p>
    <w:p>
      <w:r>
        <w:br w:type="page"/>
      </w:r>
    </w:p>
    <w:p>
      <w:pPr>
        <w:pStyle w:val="Heading2"/>
      </w:pPr>
      <w:r>
        <w:t xml:space="preserve">High-value animals raised on BSFL</w:t>
      </w:r>
    </w:p>
    <w:p>
      <w:r>
        <w:t xml:space="preserve"/>
      </w:r>
    </w:p>
    <w:p>
      <w:pPr>
        <w:pStyle w:val="Heading3"/>
      </w:pPr>
      <w:r>
        <w:t xml:space="preserve">Free-range eggs and poultry — BSFL-fed premium label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Backyard and small commercial chicken keepers throughout SEQ already buy live BSFL. The next step is a formal co-marketing arrangement with a local free-range egg producer where your larvae are their supplementary feed and their eggs carry a BSFL-fed label. Premium free-range eggs with verified supplementary insect protein are emerging as a product category in Australian specialty food retail.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 supply larvae at wholesale ($18-22/kg). The egg producer commands a retail premium of $1-3 per dozen for the BSFL-fed label. Revenue to you is from larvae sales at wholesale, not from eggs. The value is in the verified supply chain story and the additional volume of a formal supply agreement.</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Realistic volume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 small egg producer taking 5 kg/week live = 260 kg/year = $4,680-5,720/year at $18-22/kg wholesale. This is a meaningful wholesale account.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Fit and timing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fit from month 3. The Lockyer Valley agricultural community has many small poultry operations. The pitch is simple: a documented local protein supplement for their flock, verified substrate sourcing, batch tracking records they can show customers.</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action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Identify 2-3 local free-range egg producers through the Lockyer Valley Growers Association or local Facebook farming groups. Approach with a sample pack and a simple co-marketing proposal: you supply documented BSFL, they label their eggs as BSFL-supplemented, you both get to tell a local food story.</w:t>
            </w:r>
          </w:p>
        </w:tc>
      </w:tr>
    </w:tbl>
    <w:p>
      <w:r>
        <w:t xml:space="preserve"/>
      </w:r>
    </w:p>
    <w:p>
      <w:pPr>
        <w:pStyle w:val="Heading3"/>
      </w:pPr>
      <w:r>
        <w:t xml:space="preserve">Barramundi and native fish raised on BSFL — aquaponics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Aquaponics systems combining fish production with plant growing are common in SEQ hobby and small commercial operations. BSFL-fed barramundi or jade perch command a premium price in specialty retail and direct-to-consumer markets. Some operators are willing to pay a premium for locally documented BSFL feed that supports their own sustainability narrative.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Supply larvae to local aquaponics operations at $18-22/kg wholesale. The aquaponics operator's barramundi can retail at $40-60/kg whole fish versus $25-35/kg for conventionally fed fish. Revenue to you is from the larvae supply contract.</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Realistic volume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Small number of potential customers in SEQ but each is a reliable weekly contract. 3 aquaponics operators taking 3 kg/week each = 9 kg/week = 468 kg/year = $8,424-10,296/year at wholesale.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Fit and timing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fit from month 4. Aquaponics operators are reachable through the Queensland Aquaponics Association and Facebook groups. They are technically sophisticated buyers who understand bioconversion and value substrate documentation.</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action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Join the Queensland Aquaponics Facebook group and introduce your operation. Offer a free trial supply of 2 kg to any operator willing to document their fish growth on BSFL-supplemented feed — the data is valuable to both parties.</w:t>
            </w:r>
          </w:p>
        </w:tc>
      </w:tr>
    </w:tbl>
    <w:p>
      <w:r>
        <w:t xml:space="preserve"/>
      </w:r>
    </w:p>
    <w:p>
      <w:pPr>
        <w:pStyle w:val="Heading3"/>
      </w:pPr>
      <w:r>
        <w:t xml:space="preserve">Soldier fly pupae for reptile breeding — specialist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Advanced reptile breeders and zoological institutions specifically seek BSF pupae (not larvae) for feeding to small reptiles, frogs, and invertebrates. Pupae are more nutritious than larvae at certain life stages and the hatching behaviour triggers hunting instincts in animals that do not respond to still food. This is a distinct product from live larvae.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BSF pupae retail at $30-50 per 100g online from interstate suppliers. Local supply at $20-30/100g would undercut all existing Australian suppliers. A modest supply of 200g pupae per week from colony surplus generates $40-60/week ($2,080-3,120/year) with zero additional production cost.</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Realistic volume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Small volume but zero additional production cost. Pupae are a byproduct of the colony — any surplus adults that complete their cycle produce pupae that are currently discarded. Converting 10-20% of colony output to pupae for sale costs nothing.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Fit and timing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Easy fit from month 2. The only requirement is collecting pupae before they eclose into adults and holding them in a cool container for sale. No additional equipment needed.</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action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pupae for sale on Facebook Marketplace and in reptile keeper groups from month 2 onward. Price at $25/100g to undercut interstate suppliers. Offer local pickup or express post. This is a no-effort revenue addition.</w:t>
            </w:r>
          </w:p>
        </w:tc>
      </w:tr>
    </w:tbl>
    <w:p>
      <w:r>
        <w:t xml:space="preserve"/>
      </w:r>
    </w:p>
    <w:p>
      <w:r>
        <w:t xml:space="preserve"/>
      </w:r>
    </w:p>
    <w:p>
      <w:r>
        <w:br w:type="page"/>
      </w:r>
    </w:p>
    <w:p>
      <w:pPr>
        <w:pStyle w:val="Heading2"/>
      </w:pPr>
      <w:r>
        <w:t xml:space="preserve">Carbon and environmental credits</w:t>
      </w:r>
    </w:p>
    <w:p>
      <w:r>
        <w:t xml:space="preserve"/>
      </w:r>
    </w:p>
    <w:p>
      <w:pPr>
        <w:pStyle w:val="Heading3"/>
      </w:pPr>
      <w:r>
        <w:t xml:space="preserve">Australian Carbon Credit Units (ACCUs) — food waste diversion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Australian Government ACCU Scheme pays registered projects for verified greenhouse gas abatement. Food waste diverted from landfill reduces methane emissions. BSFL bioconversion is an eligible activity under the Organic Waste methodology if the project meets the eligibility and measurement requirements.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ACCUs trade at approximately $30-40/tonne CO2-equivalent abated. At 8 tonnes of food waste processed per year (Stage 1), the abatement value is modest. At Site 1 full scale (500 tonnes/year) the annual credit value is $15,000-20,000 at current prices.</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Realistic volume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financially viable to pursue at Stage 1 volume — the registration and auditing cost exceeds the credit value at 8 tonnes/year. Becomes meaningful at 100+ tonnes/year (Stage 1 full scale, mid-year 2).</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Fit and timing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Begin meticulous documentation of waste input weights from day one. Every kilogram of food waste received and processed is a potential credit unit in future. The batch tracking system already captures this data — it just needs to be formatted for ACCU methodology reporting when volume justifies registration.</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action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the Clean Energy Regulator Organic Waste Diversion methodology eligibility criteria now and flag it for review at the 6-month review when waste volumes are documented.</w:t>
            </w:r>
          </w:p>
        </w:tc>
      </w:tr>
    </w:tbl>
    <w:p>
      <w:r>
        <w:t xml:space="preserve"/>
      </w:r>
    </w:p>
    <w:p>
      <w:pPr>
        <w:pStyle w:val="Heading3"/>
      </w:pPr>
      <w:r>
        <w:t xml:space="preserve">Queensland Land Restoration Fund — carbon sequestration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QLD Land Restoration Fund pays landholders for carbon stored in soil and vegetation. BSFL frass applied to agricultural land increases soil organic carbon. At scale this creates a measurable carbon sequestration pathway from the frass product.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Carbon stored in soil via frass application is difficult to measure and attribute directly to the frass supplier rather than the landowner. This is not a straightforward revenue opportunity for a frass producer.</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Realistic volume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Theoretical fit only. This opportunity requires a formal carbon measurement methodology that does not currently exist for frass-derived soil carbon in Australia. Flag for monitoring as the regulatory framework develops.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Fit and timing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 for year 3+ review. Not actionable now.</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action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 Land Restoration Fund methodology updates at lrfaustralia.com.au. If a frass-soil-carbon methodology is gazetted, this becomes a significant value-add for frass buyers and a pricing argument.</w:t>
            </w:r>
          </w:p>
        </w:tc>
      </w:tr>
    </w:tbl>
    <w:p>
      <w:r>
        <w:t xml:space="preserve"/>
      </w:r>
    </w:p>
    <w:p>
      <w:r>
        <w:t xml:space="preserve"/>
      </w:r>
    </w:p>
    <w:p>
      <w:r>
        <w:br w:type="page"/>
      </w:r>
    </w:p>
    <w:p>
      <w:pPr>
        <w:pStyle w:val="Heading2"/>
      </w:pPr>
      <w:r>
        <w:t xml:space="preserve">Research and data partnerships</w:t>
      </w:r>
    </w:p>
    <w:p>
      <w:r>
        <w:t xml:space="preserve"/>
      </w:r>
    </w:p>
    <w:p>
      <w:pPr>
        <w:pStyle w:val="Heading3"/>
      </w:pPr>
      <w:r>
        <w:t xml:space="preserve">University research partnerships — protocol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Australian universities with agricultural science, food science, and environmental science faculties are actively seeking industry partners for insect farming research. The University of Queensland (Gatton campus is 20 minutes from your property), Queensland University of Technology, and University of Adelaide all have active insect research programs.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partnerships typically provide: in-kind support (student labour, equipment access, laboratory testing), co-authorship on publications, and sometimes direct funding through university-administered grants. The financial value is indirect but significant — a peer-reviewed publication validating your protocol is worth more than any advertisement for the licensing model.</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Realistic volume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Gatton campus proximity is your strongest asset here. A UQ Gatton research partnership where a PhD student uses your farm as a field site costs you minimal time and delivers laboratory data (NPK testing, larval nutritional analysis, substrate conversion research) that you would otherwise pay $200-500 per test for.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Fit and timing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Excellent fit from month 3. Your double degree in management and biological sciences means you can engage as a peer rather than as a subject. You can read their methods, challenge their assumptions, and co-design research that generates data useful to your licensing protocol as well as their publication.</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action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the UQ Gatton School of Agriculture and Food Sciences. Introduce yourself as a commercial BSFL operator with documented batch data and interest in collaborative research. Ask whether any current or upcoming research projects would benefit from a commercial field site in the Lockyer Valley.</w:t>
            </w:r>
          </w:p>
        </w:tc>
      </w:tr>
    </w:tbl>
    <w:p>
      <w:r>
        <w:t xml:space="preserve"/>
      </w:r>
    </w:p>
    <w:p>
      <w:pPr>
        <w:pStyle w:val="Heading3"/>
      </w:pPr>
      <w:r>
        <w:t xml:space="preserve">Council waste processing contracts — tipping fee formalisation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business plan models informal tipping fees from individual businesses from month 6. The next step is a formal waste processing contract with LVRC or a Brisbane City Council-adjacent body as a registered organic waste processor. This changes the income from ad-hoc tipping fees to a contracted per-tonne rate with volume guarantees.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Council organic waste processing contracts: $50-80/tonne received. A 10-tonne/week contract at $50/tonne = $26,000/year in tipping fees alone, independent of any product revenue.</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Realistic volume</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realistic at Stage 1 volume. Council contracts require demonstrated capacity to process the volumes they generate — typically 10+ tonnes/week minimum. Relevant from year 2 at Site 1 full scale.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Fit and timing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LVRC relationship built during the Environmental Health Officer consultation is the foundation for a future waste processing contract. Every interaction with council should be framed as building toward this — you are not a hobby operation, you are a food waste processor contributing to the council's landfill diversion targets.</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action</w:t>
            </w:r>
          </w:p>
        </w:tc>
        <w:tc>
          <w:tcPr>
            <w:tcW w:type="dxa" w:w="7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 a meeting with the LVRC waste management team (separate from Environmental Health) in month 3. Frame the conversation as: how can we help you meet your landfill diversion targets? What volumes would you need us to process to consider a formal arrangement? This plants the seed 12-18 months before the contract is viable.</w:t>
            </w:r>
          </w:p>
        </w:tc>
      </w:tr>
    </w:tbl>
    <w:p>
      <w:r>
        <w:t xml:space="preserve"/>
      </w:r>
    </w:p>
    <w:p>
      <w:r>
        <w:t xml:space="preserve"/>
      </w:r>
    </w:p>
    <w:p>
      <w:r>
        <w:br w:type="page"/>
      </w:r>
    </w:p>
    <w:p>
      <w:pPr>
        <w:pStyle w:val="Heading1"/>
      </w:pPr>
      <w:r>
        <w:t xml:space="preserve">Opportunity Priority Summary</w:t>
      </w:r>
    </w:p>
    <w:p>
      <w:pPr>
        <w:spacing w:after="100"/>
      </w:pPr>
      <w:r>
        <w:rPr>
          <w:rFonts w:ascii="Arial" w:cs="Arial" w:eastAsia="Arial" w:hAnsi="Arial"/>
          <w:sz w:val="24"/>
          <w:szCs w:val="24"/>
        </w:rPr>
        <w:t xml:space="preserve">Ranked by effort required versus revenue potential at Stage 1 scale.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3226"/>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Opportunity</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 annual value</w:t>
            </w:r>
          </w:p>
        </w:tc>
        <w:tc>
          <w:tcPr>
            <w:tcW w:type="dxa" w:w="3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rPr>
          <w:tblHeader w:val="false"/>
        </w:trP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QRIDA Sustainability Loan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Now</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Capital access up to $1.3M</w:t>
            </w:r>
          </w:p>
        </w:tc>
        <w:tc>
          <w:tcPr>
            <w:tcW w:type="dxa" w:w="3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w:t>
            </w:r>
          </w:p>
        </w:tc>
      </w:tr>
      <w:tr>
        <w:trPr>
          <w:tblHeader w:val="false"/>
        </w:trP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BSF pupae for reptile breeders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low</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2</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$2,000-3,000/yr</w:t>
            </w:r>
          </w:p>
        </w:tc>
        <w:tc>
          <w:tcPr>
            <w:tcW w:type="dxa" w:w="3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w:t>
            </w:r>
          </w:p>
        </w:tc>
      </w:tr>
      <w:tr>
        <w:trPr>
          <w:tblHeader w:val="false"/>
        </w:trP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Wildlife rehabilitation centres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2</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$1,000-2,000/yr</w:t>
            </w:r>
          </w:p>
        </w:tc>
        <w:tc>
          <w:tcPr>
            <w:tcW w:type="dxa" w:w="3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QUICK WIN</w:t>
            </w:r>
          </w:p>
        </w:tc>
      </w:tr>
      <w:tr>
        <w:trPr>
          <w:tblHeader w:val="false"/>
        </w:trPr>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Zoo and wildlife park supply</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4</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$6,000-9,000/yr</w:t>
            </w:r>
          </w:p>
        </w:tc>
        <w:tc>
          <w:tcPr>
            <w:tcW w:type="dxa" w:w="32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4</w:t>
            </w:r>
          </w:p>
        </w:tc>
      </w:tr>
      <w:tr>
        <w:trPr>
          <w:tblHeader w:val="false"/>
        </w:trPr>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Free-range egg producer co-marketing</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Low-medium</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3</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$4,500-5,500/yr</w:t>
            </w:r>
          </w:p>
        </w:tc>
        <w:tc>
          <w:tcPr>
            <w:tcW w:type="dxa" w:w="32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3</w:t>
            </w:r>
          </w:p>
        </w:tc>
      </w:tr>
      <w:tr>
        <w:trPr>
          <w:tblHeader w:val="false"/>
        </w:trPr>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UQ Gatton research partnership</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3</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In-kind lab testing + protocol validation</w:t>
            </w:r>
          </w:p>
        </w:tc>
        <w:tc>
          <w:tcPr>
            <w:tcW w:type="dxa" w:w="32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3</w:t>
            </w:r>
          </w:p>
        </w:tc>
      </w:tr>
      <w:tr>
        <w:trPr>
          <w:tblHeader w:val="false"/>
        </w:trPr>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AgriFutures relationship building</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(ongoing)</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1</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Industry credibility + future funding access</w:t>
            </w:r>
          </w:p>
        </w:tc>
        <w:tc>
          <w:tcPr>
            <w:tcW w:type="dxa" w:w="32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1</w:t>
            </w:r>
          </w:p>
        </w:tc>
      </w:tr>
      <w:tr>
        <w:trPr>
          <w:tblHeader w:val="false"/>
        </w:trPr>
        <w:tc>
          <w:tcPr>
            <w:tcW w:type="dxa" w:w="2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 Queensland Ignite Ideas</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6-12</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$50,000-200,000</w:t>
            </w:r>
          </w:p>
        </w:tc>
        <w:tc>
          <w:tcPr>
            <w:tcW w:type="dxa" w:w="3226"/>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6</w:t>
            </w:r>
          </w:p>
        </w:tc>
      </w:tr>
      <w:tr>
        <w:trPr>
          <w:tblHeader w:val="false"/>
        </w:trPr>
        <w:tc>
          <w:tcPr>
            <w:tcW w:type="dxa" w:w="2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SEQ City Deal organics funding</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6-12</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 grant — variable</w:t>
            </w:r>
          </w:p>
        </w:tc>
        <w:tc>
          <w:tcPr>
            <w:tcW w:type="dxa" w:w="3226"/>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6</w:t>
            </w:r>
          </w:p>
        </w:tc>
      </w:tr>
      <w:tr>
        <w:trPr>
          <w:tblHeader w:val="false"/>
        </w:trPr>
        <w:tc>
          <w:tcPr>
            <w:tcW w:type="dxa" w:w="2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LVRC waste processing contract</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(long lead)</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2</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$25,000+/yr tipping fees</w:t>
            </w:r>
          </w:p>
        </w:tc>
        <w:tc>
          <w:tcPr>
            <w:tcW w:type="dxa" w:w="3226"/>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2</w:t>
            </w:r>
          </w:p>
        </w:tc>
      </w:tr>
      <w:tr>
        <w:trPr>
          <w:tblHeader w:val="false"/>
        </w:trPr>
        <w:tc>
          <w:tcPr>
            <w:tcW w:type="dxa" w:w="2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Aquaponics fish farm supply</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2</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$8,000-10,000/yr</w:t>
            </w:r>
          </w:p>
        </w:tc>
        <w:tc>
          <w:tcPr>
            <w:tcW w:type="dxa" w:w="3226"/>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2</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ARENA biodiesel pathway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high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3-4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Grant $500k+</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3+</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ACCU carbon credits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$15,000-20,000/yr at scale</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2+</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Restaurant / human consumption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 regulatory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Small volume, high value</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2+</w:t>
            </w:r>
          </w:p>
        </w:tc>
      </w:tr>
    </w:tbl>
    <w:p>
      <w:r>
        <w:t xml:space="preserve"/>
      </w:r>
    </w:p>
    <w:p>
      <w:pPr>
        <w:pBdr>
          <w:left w:val="single" w:color="1565C0" w:sz="12"/>
        </w:pBdr>
        <w:spacing w:after="80" w:before="80"/>
        <w:ind w:left="360"/>
      </w:pPr>
      <w:r>
        <w:rPr>
          <w:rFonts w:ascii="Arial" w:cs="Arial" w:eastAsia="Arial" w:hAnsi="Arial"/>
          <w:color w:val="0D47A1"/>
          <w:sz w:val="22"/>
          <w:szCs w:val="22"/>
        </w:rPr>
        <w:t xml:space="preserve">NOTE: The two most important immediate actions from this document are: (1) Call QRIDA Toowoomba on 1800 623 946 this week and ask about Sustainability Loan eligibility — this is a phone call that could unlock $1.3 million in concessional capital for Stage 2 infrastructure. (2) Begin selling BSF pupae from month 2 — this is a zero-cost revenue addition from existing colony output that requires nothing except a Facebook Marketplace listing.</w:t>
      </w:r>
    </w:p>
    <w:p>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6" w:space="1"/>
      </w:pBd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2026-04-22T05:00:13.025Z</dcterms:created>
  <dcterms:modified xsi:type="dcterms:W3CDTF">2026-04-22T05:00:13.026Z</dcterms:modified>
</cp:coreProperties>
</file>

<file path=docProps/custom.xml><?xml version="1.0" encoding="utf-8"?>
<Properties xmlns="http://schemas.openxmlformats.org/officeDocument/2006/custom-properties" xmlns:vt="http://schemas.openxmlformats.org/officeDocument/2006/docPropsVTypes"/>
</file>