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52"/>
          <w:szCs w:val="52"/>
        </w:rPr>
        <w:t xml:space="preserve">BSFL Expert Pain Points and Exchange Analysis</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Publicly stated pain points vs assumptions  |  What you can give  |  How to approach each person</w:t>
      </w:r>
    </w:p>
    <w:p>
      <w:r>
        <w:t xml:space="preserve"/>
      </w:r>
    </w:p>
    <w:p>
      <w:pPr>
        <w:pStyle w:val="Heading2"/>
      </w:pPr>
      <w:r>
        <w:t xml:space="preserve">How to read this document</w:t>
      </w:r>
    </w:p>
    <w:p>
      <w:pPr>
        <w:spacing w:after="100"/>
      </w:pPr>
      <w:r>
        <w:rPr>
          <w:rFonts w:ascii="Arial" w:cs="Arial" w:eastAsia="Arial" w:hAnsi="Arial"/>
          <w:sz w:val="24"/>
          <w:szCs w:val="24"/>
        </w:rPr>
        <w:t xml:space="preserve">Each entry covers one person or organisation from the expert directory. Pain points are separated into two categories: publicly stated (based on documented quotes, published papers, or verified public statements) and assumed (inferred from their research focus, career stage, institutional constraints, or structural features of their situation). The distinction matters because you can reference publicly stated pain points directly in an approach — they already know you know. Assumed pain points need to be surfaced through questions rather than stated as facts.</w:t>
      </w:r>
    </w:p>
    <w:p>
      <w:pPr>
        <w:spacing w:after="100"/>
      </w:pPr>
      <w:r>
        <w:rPr>
          <w:rFonts w:ascii="Arial" w:cs="Arial" w:eastAsia="Arial" w:hAnsi="Arial"/>
          <w:sz w:val="24"/>
          <w:szCs w:val="24"/>
        </w:rPr>
        <w:t xml:space="preserve">The most important section of each entry is what you can give. The relationship between you and these people is not one-directional. You have something genuinely valuable to offer most of them. Understanding what that is before making contact transforms the interaction from asking for help to proposing an exchange — which is how productive research partnerships actually form.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Label colour</w:t>
            </w:r>
          </w:p>
        </w:tc>
        <w:tc>
          <w:tcPr>
            <w:tcW w:type="dxa" w:w="7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rPr>
          <w:tblHeader w:val="false"/>
        </w:trP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 Publicly stated</w:t>
            </w:r>
          </w:p>
        </w:tc>
        <w:tc>
          <w:tcPr>
            <w:tcW w:type="dxa" w:w="72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Based on direct quotes, published statements, or verified public communications. Safe to reference directly.</w:t>
            </w:r>
          </w:p>
        </w:tc>
      </w:tr>
      <w:tr>
        <w:trPr>
          <w:tblHeader w:val="false"/>
        </w:trP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ORANGE — Assumed</w:t>
            </w:r>
          </w:p>
        </w:tc>
        <w:tc>
          <w:tcPr>
            <w:tcW w:type="dxa" w:w="72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Inferred from structural factors, career stage, research focus, or institutional context. Surface through questions, not assertions.</w:t>
            </w:r>
          </w:p>
        </w:tc>
      </w:tr>
      <w:tr>
        <w:trPr>
          <w:tblHeader w:val="false"/>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GREEN — What you can give</w:t>
            </w:r>
          </w:p>
        </w:tc>
        <w:tc>
          <w:tcPr>
            <w:tcW w:type="dxa" w:w="7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concrete things you can offer that address their pain points.</w:t>
            </w:r>
          </w:p>
        </w:tc>
      </w:tr>
      <w:tr>
        <w:trPr>
          <w:tblHeader w:val="false"/>
        </w:trP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 — Approach</w:t>
            </w:r>
          </w:p>
        </w:tc>
        <w:tc>
          <w:tcPr>
            <w:tcW w:type="dxa" w:w="7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to frame the first contact given what you know about their pain points.</w:t>
            </w:r>
          </w:p>
        </w:tc>
      </w:tr>
    </w:tbl>
    <w:p>
      <w:r>
        <w:t xml:space="preserve"/>
      </w:r>
    </w:p>
    <w:p>
      <w:r>
        <w:br w:type="page"/>
      </w:r>
    </w:p>
    <w:p>
      <w:pPr>
        <w:pStyle w:val="Heading1"/>
      </w:pPr>
      <w:r>
        <w:t xml:space="preserve">Scientific Researchers</w:t>
      </w:r>
    </w:p>
    <w:p>
      <w:r>
        <w:t xml:space="preserve"/>
      </w:r>
    </w:p>
    <w:p>
      <w:pPr>
        <w:pStyle w:val="Heading2"/>
      </w:pPr>
      <w:r>
        <w:t xml:space="preserve">Professor Louwrens (Louw) Hoffman — UQ QAAFI</w:t>
      </w:r>
    </w:p>
    <w:p>
      <w:pPr>
        <w:spacing w:after="100"/>
      </w:pPr>
      <w:r>
        <w:rPr>
          <w:rFonts w:ascii="Arial" w:cs="Arial" w:eastAsia="Arial" w:hAnsi="Arial"/>
          <w:sz w:val="24"/>
          <w:szCs w:val="24"/>
        </w:rPr>
        <w:t xml:space="preserve">Meat Science Professor, Centre for Nutrition and Food Sciences, UQ Gatton. 20 minutes from your property.</w:t>
      </w:r>
    </w:p>
    <w:p>
      <w:r>
        <w:t xml:space="preserve"/>
      </w:r>
    </w:p>
    <w:p>
      <w:pPr>
        <w:pBdr>
          <w:left w:val="single" w:color="C0392B" w:sz="12"/>
        </w:pBdr>
        <w:spacing w:after="80" w:before="80"/>
        <w:ind w:left="360"/>
      </w:pPr>
      <w:r>
        <w:rPr>
          <w:rFonts w:ascii="Arial" w:cs="Arial" w:eastAsia="Arial" w:hAnsi="Arial"/>
          <w:color w:val="922B21"/>
          <w:sz w:val="22"/>
          <w:szCs w:val="22"/>
        </w:rPr>
        <w:t xml:space="preserve">PUBLICLY STATED: Lack of commercial field sites for BSFL research — his lab uses Goterra (Canberra) as their primary commercial partner for larval samples, which requires samples to be shipped interstate. A Lockyer Valley commercial site would eliminate shipping time, reduce sample degradation, and allow fresher material for nutritional analysis.</w:t>
      </w:r>
    </w:p>
    <w:p>
      <w:pPr>
        <w:pBdr>
          <w:left w:val="single" w:color="C0392B" w:sz="12"/>
        </w:pBdr>
        <w:spacing w:after="80" w:before="80"/>
        <w:ind w:left="360"/>
      </w:pPr>
      <w:r>
        <w:rPr>
          <w:rFonts w:ascii="Arial" w:cs="Arial" w:eastAsia="Arial" w:hAnsi="Arial"/>
          <w:color w:val="922B21"/>
          <w:sz w:val="22"/>
          <w:szCs w:val="22"/>
        </w:rPr>
        <w:t xml:space="preserve">PUBLICLY STATED: Regulatory barriers limiting commercial BSFL development in Australia — Hoffman has publicly stated that conventional livestock will not meet worldwide protein demand and alternatives are needed. His research is explicitly framed around building the evidence base to support regulatory approval for BSFL in Australian food and feed chains. This means he needs more real-world production data, not just controlled laboratory results.</w:t>
      </w:r>
    </w:p>
    <w:p>
      <w:pPr>
        <w:pBdr>
          <w:left w:val="single" w:color="C0392B" w:sz="12"/>
        </w:pBdr>
        <w:spacing w:after="80" w:before="80"/>
        <w:ind w:left="360"/>
      </w:pPr>
      <w:r>
        <w:rPr>
          <w:rFonts w:ascii="Arial" w:cs="Arial" w:eastAsia="Arial" w:hAnsi="Arial"/>
          <w:color w:val="922B21"/>
          <w:sz w:val="22"/>
          <w:szCs w:val="22"/>
        </w:rPr>
        <w:t xml:space="preserve">PUBLICLY STATED: Limited published data on BSFL as a direct human food ingredient in Australian commercial contexts — his LinkedIn shows active interest in BSFL burger patty research and he has noted publicly that there are still limited studies demonstrating BSFL application in food. He is building this evidence base but needs commercial substrate data to make it credible.</w:t>
      </w:r>
    </w:p>
    <w:p>
      <w:pPr>
        <w:pBdr>
          <w:left w:val="single" w:color="E8A000" w:sz="12"/>
        </w:pBdr>
        <w:spacing w:after="80" w:before="80"/>
        <w:ind w:left="360"/>
      </w:pPr>
      <w:r>
        <w:rPr>
          <w:rFonts w:ascii="Arial" w:cs="Arial" w:eastAsia="Arial" w:hAnsi="Arial"/>
          <w:color w:val="7A4500"/>
          <w:sz w:val="22"/>
          <w:szCs w:val="22"/>
        </w:rPr>
        <w:t xml:space="preserve">ASSUMED: Grant pressure — research groups at this level face continuous pressure to generate publications and attract new ARC grants. A commercial field site in the Lockyer Valley with documented batch data from diverse local waste streams generates new publishable data. The JCU collaboration (Prof. Zenger) used an ARC Linkage Grant requiring an industry partner — Hoffman may be in a similar position seeking industry co-funding for his next grant cycle.</w:t>
      </w:r>
    </w:p>
    <w:p>
      <w:pPr>
        <w:pBdr>
          <w:left w:val="single" w:color="E8A000" w:sz="12"/>
        </w:pBdr>
        <w:spacing w:after="80" w:before="80"/>
        <w:ind w:left="360"/>
      </w:pPr>
      <w:r>
        <w:rPr>
          <w:rFonts w:ascii="Arial" w:cs="Arial" w:eastAsia="Arial" w:hAnsi="Arial"/>
          <w:color w:val="7A4500"/>
          <w:sz w:val="22"/>
          <w:szCs w:val="22"/>
        </w:rPr>
        <w:t xml:space="preserve">ASSUMED: The Goterra relationship has geographic limitations — Goterra operates modular units in urban centres and uses highly processed mixed waste. Your operation uses fresh, characterised vegetable and grain waste in a regional agricultural setting. This is a different and complementary data point that his research group does not currently have.</w:t>
      </w:r>
    </w:p>
    <w:p>
      <w:pPr>
        <w:pBdr>
          <w:left w:val="single" w:color="2E7D32" w:sz="12"/>
        </w:pBdr>
        <w:spacing w:after="80" w:before="80"/>
        <w:ind w:left="360"/>
      </w:pPr>
      <w:r>
        <w:rPr>
          <w:rFonts w:ascii="Arial" w:cs="Arial" w:eastAsia="Arial" w:hAnsi="Arial"/>
          <w:color w:val="1B5E20"/>
          <w:sz w:val="22"/>
          <w:szCs w:val="22"/>
        </w:rPr>
        <w:t xml:space="preserve">WHAT YOU CAN GIVE: A proximate commercial field site 20 minutes from UQ Gatton, eliminating the interstate shipping of larval and frass samples that introduces degradation and compositional change before analysis. Fresh samples from a characterised substrate base are significantly more scientifically valuable than shipped samples from a remote facility.</w:t>
      </w:r>
    </w:p>
    <w:p>
      <w:pPr>
        <w:pBdr>
          <w:left w:val="single" w:color="2E7D32" w:sz="12"/>
        </w:pBdr>
        <w:spacing w:after="80" w:before="80"/>
        <w:ind w:left="360"/>
      </w:pPr>
      <w:r>
        <w:rPr>
          <w:rFonts w:ascii="Arial" w:cs="Arial" w:eastAsia="Arial" w:hAnsi="Arial"/>
          <w:color w:val="1B5E20"/>
          <w:sz w:val="22"/>
          <w:szCs w:val="22"/>
        </w:rPr>
        <w:t xml:space="preserve">WHAT YOU CAN GIVE: Batch tracking data documenting substrate type, stocking density, temperature, and yield across multiple batches on Lockyer Valley agricultural waste streams — exactly the regional food waste data that is missing from the current Australian BSFL literature which focuses on urban waste streams.</w:t>
      </w:r>
    </w:p>
    <w:p>
      <w:pPr>
        <w:pBdr>
          <w:left w:val="single" w:color="2E7D32" w:sz="12"/>
        </w:pBdr>
        <w:spacing w:after="80" w:before="80"/>
        <w:ind w:left="360"/>
      </w:pPr>
      <w:r>
        <w:rPr>
          <w:rFonts w:ascii="Arial" w:cs="Arial" w:eastAsia="Arial" w:hAnsi="Arial"/>
          <w:color w:val="1B5E20"/>
          <w:sz w:val="22"/>
          <w:szCs w:val="22"/>
        </w:rPr>
        <w:t xml:space="preserve">WHAT YOU CAN GIVE: A differentiated substrate story — your operation uses vegetable market waste and spent grain from Lockyer Valley agricultural operations rather than supermarket mixed waste or childcare centre waste. This is a genuinely different waste stream that fills a gap in his published data set.</w:t>
      </w:r>
    </w:p>
    <w:p>
      <w:pPr>
        <w:pBdr>
          <w:left w:val="single" w:color="2E7D32" w:sz="12"/>
        </w:pBdr>
        <w:spacing w:after="80" w:before="80"/>
        <w:ind w:left="360"/>
      </w:pPr>
      <w:r>
        <w:rPr>
          <w:rFonts w:ascii="Arial" w:cs="Arial" w:eastAsia="Arial" w:hAnsi="Arial"/>
          <w:color w:val="1B5E20"/>
          <w:sz w:val="22"/>
          <w:szCs w:val="22"/>
        </w:rPr>
        <w:t xml:space="preserve">WHAT YOU CAN GIVE: Co-authorship opportunity — if your batch data contributes to a publishable finding, standard academic practice is co-authorship. Your biological sciences background means you understand what constitutes a publishable finding and can contribute to the methodology design rather than just providing samples.</w:t>
      </w:r>
    </w:p>
    <w:p>
      <w:pPr>
        <w:pBdr>
          <w:left w:val="single" w:color="1565C0" w:sz="12"/>
        </w:pBdr>
        <w:spacing w:after="80" w:before="80"/>
        <w:ind w:left="360"/>
      </w:pPr>
      <w:r>
        <w:rPr>
          <w:rFonts w:ascii="Arial" w:cs="Arial" w:eastAsia="Arial" w:hAnsi="Arial"/>
          <w:color w:val="0D47A1"/>
          <w:sz w:val="22"/>
          <w:szCs w:val="22"/>
        </w:rPr>
        <w:t xml:space="preserve">APPROACH: Email directly referencing his 2024 metabolizable energy paper (Alafif et al.) and the Alagappan et al. NIRS frass paper. Note that you are a commercial BSFL operator in the Lockyer Valley with documented batch data from Lockyer Valley agricultural waste streams — a substrate base not yet represented in his published work. Offer your operation as a field site for sample collection. Ask whether this would be useful for any current or upcoming research. Do not ask for anything in return in the first contact.</w:t>
      </w:r>
    </w:p>
    <w:p>
      <w:r>
        <w:t xml:space="preserve"/>
      </w:r>
    </w:p>
    <w:p>
      <w:r>
        <w:br w:type="page"/>
      </w:r>
    </w:p>
    <w:p>
      <w:pPr>
        <w:pStyle w:val="Heading2"/>
      </w:pPr>
      <w:r>
        <w:t xml:space="preserve">Shanmugam (Shan) Alagappan — UQ QAAFI</w:t>
      </w:r>
    </w:p>
    <w:p>
      <w:pPr>
        <w:spacing w:after="100"/>
      </w:pPr>
      <w:r>
        <w:rPr>
          <w:rFonts w:ascii="Arial" w:cs="Arial" w:eastAsia="Arial" w:hAnsi="Arial"/>
          <w:sz w:val="24"/>
          <w:szCs w:val="24"/>
        </w:rPr>
        <w:t xml:space="preserve">PhD researcher (thesis recently submitted), Centre for Nutrition and Food Sciences, UQ QAAFI.</w:t>
      </w:r>
    </w:p>
    <w:p>
      <w:r>
        <w:t xml:space="preserve"/>
      </w:r>
    </w:p>
    <w:p>
      <w:pPr>
        <w:pBdr>
          <w:left w:val="single" w:color="C0392B" w:sz="12"/>
        </w:pBdr>
        <w:spacing w:after="80" w:before="80"/>
        <w:ind w:left="360"/>
      </w:pPr>
      <w:r>
        <w:rPr>
          <w:rFonts w:ascii="Arial" w:cs="Arial" w:eastAsia="Arial" w:hAnsi="Arial"/>
          <w:color w:val="922B21"/>
          <w:sz w:val="22"/>
          <w:szCs w:val="22"/>
        </w:rPr>
        <w:t xml:space="preserve">PUBLICLY STATED: Need for diverse commercial waste stream data — his published papers explicitly note that the commercial BSFL safety research has been conducted primarily on Goterra facility waste streams (supermarket waste, childcare centre waste, mixed urban waste). His thesis conclusion states that further research is required across a broader range of waste stream types to generalise safety findings for the industry.</w:t>
      </w:r>
    </w:p>
    <w:p>
      <w:pPr>
        <w:pBdr>
          <w:left w:val="single" w:color="C0392B" w:sz="12"/>
        </w:pBdr>
        <w:spacing w:after="80" w:before="80"/>
        <w:ind w:left="360"/>
      </w:pPr>
      <w:r>
        <w:rPr>
          <w:rFonts w:ascii="Arial" w:cs="Arial" w:eastAsia="Arial" w:hAnsi="Arial"/>
          <w:color w:val="922B21"/>
          <w:sz w:val="22"/>
          <w:szCs w:val="22"/>
        </w:rPr>
        <w:t xml:space="preserve">PUBLICLY STATED: Lack of small-scale regional operator data — the entire Australian BSFL research literature is dominated by large commercial operators or controlled laboratory settings. Small-scale regional operations like yours represent a significant portion of the actual industry but are almost entirely absent from the published literature.</w:t>
      </w:r>
    </w:p>
    <w:p>
      <w:pPr>
        <w:pBdr>
          <w:left w:val="single" w:color="E8A000" w:sz="12"/>
        </w:pBdr>
        <w:spacing w:after="80" w:before="80"/>
        <w:ind w:left="360"/>
      </w:pPr>
      <w:r>
        <w:rPr>
          <w:rFonts w:ascii="Arial" w:cs="Arial" w:eastAsia="Arial" w:hAnsi="Arial"/>
          <w:color w:val="7A4500"/>
          <w:sz w:val="22"/>
          <w:szCs w:val="22"/>
        </w:rPr>
        <w:t xml:space="preserve">ASSUMED: Career transition pressure — having recently submitted his thesis, Shan is in a high-stakes career moment. Postdoctoral positions require demonstrated ability to generate independent research questions and industry partnerships. A commercial field site that he helped establish as a PhD student, now becoming a full research partnership as he transitions to postdoc, is a career asset.</w:t>
      </w:r>
    </w:p>
    <w:p>
      <w:pPr>
        <w:pBdr>
          <w:left w:val="single" w:color="E8A000" w:sz="12"/>
        </w:pBdr>
        <w:spacing w:after="80" w:before="80"/>
        <w:ind w:left="360"/>
      </w:pPr>
      <w:r>
        <w:rPr>
          <w:rFonts w:ascii="Arial" w:cs="Arial" w:eastAsia="Arial" w:hAnsi="Arial"/>
          <w:color w:val="7A4500"/>
          <w:sz w:val="22"/>
          <w:szCs w:val="22"/>
        </w:rPr>
        <w:t xml:space="preserve">ASSUMED: Publication momentum — a PhD student who has just submitted their thesis typically has several papers in review or preparation. Each new data set from a different waste stream type is potentially another publication. Your regional agricultural waste stream data is a low-effort new data point for someone who already has the analytical infrastructure built.</w:t>
      </w:r>
    </w:p>
    <w:p>
      <w:pPr>
        <w:pBdr>
          <w:left w:val="single" w:color="E8A000" w:sz="12"/>
        </w:pBdr>
        <w:spacing w:after="80" w:before="80"/>
        <w:ind w:left="360"/>
      </w:pPr>
      <w:r>
        <w:rPr>
          <w:rFonts w:ascii="Arial" w:cs="Arial" w:eastAsia="Arial" w:hAnsi="Arial"/>
          <w:color w:val="7A4500"/>
          <w:sz w:val="22"/>
          <w:szCs w:val="22"/>
        </w:rPr>
        <w:t xml:space="preserve">ASSUMED: His email is publicly listed at QAAFI. He is likely to be more accessible and more motivated to respond than senior professors, and he is the day-to-day person who would actually run any research partnership that Hoffman agrees to.</w:t>
      </w:r>
    </w:p>
    <w:p>
      <w:pPr>
        <w:pBdr>
          <w:left w:val="single" w:color="2E7D32" w:sz="12"/>
        </w:pBdr>
        <w:spacing w:after="80" w:before="80"/>
        <w:ind w:left="360"/>
      </w:pPr>
      <w:r>
        <w:rPr>
          <w:rFonts w:ascii="Arial" w:cs="Arial" w:eastAsia="Arial" w:hAnsi="Arial"/>
          <w:color w:val="1B5E20"/>
          <w:sz w:val="22"/>
          <w:szCs w:val="22"/>
        </w:rPr>
        <w:t xml:space="preserve">WHAT YOU CAN GIVE: A Lockyer Valley waste stream data set — vegetable market scraps, spent grain, and bakery waste from the Lockyer Valley agricultural corridor. This is not represented in any of his published papers, which focused on urban supermarket, childcare, and mixed food service waste.</w:t>
      </w:r>
    </w:p>
    <w:p>
      <w:pPr>
        <w:pBdr>
          <w:left w:val="single" w:color="2E7D32" w:sz="12"/>
        </w:pBdr>
        <w:spacing w:after="80" w:before="80"/>
        <w:ind w:left="360"/>
      </w:pPr>
      <w:r>
        <w:rPr>
          <w:rFonts w:ascii="Arial" w:cs="Arial" w:eastAsia="Arial" w:hAnsi="Arial"/>
          <w:color w:val="1B5E20"/>
          <w:sz w:val="22"/>
          <w:szCs w:val="22"/>
        </w:rPr>
        <w:t xml:space="preserve">WHAT YOU CAN GIVE: Frass samples from a characterised substrate — his 2024 NIRS frass monitoring paper used Goterra frass from urban mixed waste. Your frass from Lockyer Valley vegetable waste will have a different nutritional and safety profile, potentially publishable as a companion paper extending his method to agricultural waste stream contexts.</w:t>
      </w:r>
    </w:p>
    <w:p>
      <w:pPr>
        <w:pBdr>
          <w:left w:val="single" w:color="2E7D32" w:sz="12"/>
        </w:pBdr>
        <w:spacing w:after="80" w:before="80"/>
        <w:ind w:left="360"/>
      </w:pPr>
      <w:r>
        <w:rPr>
          <w:rFonts w:ascii="Arial" w:cs="Arial" w:eastAsia="Arial" w:hAnsi="Arial"/>
          <w:color w:val="1B5E20"/>
          <w:sz w:val="22"/>
          <w:szCs w:val="22"/>
        </w:rPr>
        <w:t xml:space="preserve">WHAT YOU CAN GIVE: An ongoing longitudinal data source — most of his experiments used snapshot data from specific batches. A commercial operation producing continuous batches across seasons gives him access to seasonal variation data that is otherwise extremely difficult to obtain in controlled settings.</w:t>
      </w:r>
    </w:p>
    <w:p>
      <w:pPr>
        <w:pBdr>
          <w:left w:val="single" w:color="1565C0" w:sz="12"/>
        </w:pBdr>
        <w:spacing w:after="80" w:before="80"/>
        <w:ind w:left="360"/>
      </w:pPr>
      <w:r>
        <w:rPr>
          <w:rFonts w:ascii="Arial" w:cs="Arial" w:eastAsia="Arial" w:hAnsi="Arial"/>
          <w:color w:val="0D47A1"/>
          <w:sz w:val="22"/>
          <w:szCs w:val="22"/>
        </w:rPr>
        <w:t xml:space="preserve">APPROACH: Contact after initial contact with Hoffman. Reference that you have reached out to Professor Hoffman about a potential field site partnership and that his research group's work on waste stream safety and NIRS monitoring is directly relevant to your operation. Ask Shan specifically about whether his post-thesis research directions include regional agricultural waste streams, and whether a field site in the Lockyer Valley would be useful for his next phase of work. The framing is peer-to-peer — your biological sciences background makes this appropriate.</w:t>
      </w:r>
    </w:p>
    <w:p>
      <w:r>
        <w:t xml:space="preserve"/>
      </w:r>
    </w:p>
    <w:p>
      <w:r>
        <w:br w:type="page"/>
      </w:r>
    </w:p>
    <w:p>
      <w:pPr>
        <w:pStyle w:val="Heading2"/>
      </w:pPr>
      <w:r>
        <w:t xml:space="preserve">Professor Nigel Andrew — Southern Cross University</w:t>
      </w:r>
    </w:p>
    <w:p>
      <w:pPr>
        <w:spacing w:after="100"/>
      </w:pPr>
      <w:r>
        <w:rPr>
          <w:rFonts w:ascii="Arial" w:cs="Arial" w:eastAsia="Arial" w:hAnsi="Arial"/>
          <w:sz w:val="24"/>
          <w:szCs w:val="24"/>
        </w:rPr>
        <w:t xml:space="preserve">Professor of Entomology, Chair of Science, SCU Lismore. 2.5 hours from your property.</w:t>
      </w:r>
    </w:p>
    <w:p>
      <w:r>
        <w:t xml:space="preserve"/>
      </w:r>
    </w:p>
    <w:p>
      <w:pPr>
        <w:pBdr>
          <w:left w:val="single" w:color="C0392B" w:sz="12"/>
        </w:pBdr>
        <w:spacing w:after="80" w:before="80"/>
        <w:ind w:left="360"/>
      </w:pPr>
      <w:r>
        <w:rPr>
          <w:rFonts w:ascii="Arial" w:cs="Arial" w:eastAsia="Arial" w:hAnsi="Arial"/>
          <w:color w:val="922B21"/>
          <w:sz w:val="22"/>
          <w:szCs w:val="22"/>
        </w:rPr>
        <w:t xml:space="preserve">PUBLICLY STATED: Need for commercial partners to translate bench research to field application — the 2025 SCU awards material for the Mobius Farms partnership explicitly states that SCU values industry engagement that goes beyond ticking a box. Andrew has described seeking industry partners where results from the lab can be rapidly applied in the field.</w:t>
      </w:r>
    </w:p>
    <w:p>
      <w:pPr>
        <w:pBdr>
          <w:left w:val="single" w:color="C0392B" w:sz="12"/>
        </w:pBdr>
        <w:spacing w:after="80" w:before="80"/>
        <w:ind w:left="360"/>
      </w:pPr>
      <w:r>
        <w:rPr>
          <w:rFonts w:ascii="Arial" w:cs="Arial" w:eastAsia="Arial" w:hAnsi="Arial"/>
          <w:color w:val="922B21"/>
          <w:sz w:val="22"/>
          <w:szCs w:val="22"/>
        </w:rPr>
        <w:t xml:space="preserve">PUBLICLY STATED: BSF frass as a soil amendment needs real agricultural field data — the SCU team ran a trial of BSF frass as a landscaping fertiliser on an $880 million DTMR infrastructure project with Fulton Hogan in 2024-2025. This is proof-of-concept in a constructed landscape, not in a productive agricultural setting. A Lockyer Valley olive grove application trial on food-bearing trees in an agricultural zone is a genuinely different and more commercially significant context.</w:t>
      </w:r>
    </w:p>
    <w:p>
      <w:pPr>
        <w:pBdr>
          <w:left w:val="single" w:color="C0392B" w:sz="12"/>
        </w:pBdr>
        <w:spacing w:after="80" w:before="80"/>
        <w:ind w:left="360"/>
      </w:pPr>
      <w:r>
        <w:rPr>
          <w:rFonts w:ascii="Arial" w:cs="Arial" w:eastAsia="Arial" w:hAnsi="Arial"/>
          <w:color w:val="922B21"/>
          <w:sz w:val="22"/>
          <w:szCs w:val="22"/>
        </w:rPr>
        <w:t xml:space="preserve">PUBLICLY STATED: Chitin and chitosan research needs diverse insect substrate sources — Andrew's lab is developing BSF-derived bioplastics and chitosan. The literature shows that substrate type significantly affects chitin quality and deacetylation potential. Different waste streams may produce chitin with different properties for different applications.</w:t>
      </w:r>
    </w:p>
    <w:p>
      <w:pPr>
        <w:pBdr>
          <w:left w:val="single" w:color="E8A000" w:sz="12"/>
        </w:pBdr>
        <w:spacing w:after="80" w:before="80"/>
        <w:ind w:left="360"/>
      </w:pPr>
      <w:r>
        <w:rPr>
          <w:rFonts w:ascii="Arial" w:cs="Arial" w:eastAsia="Arial" w:hAnsi="Arial"/>
          <w:color w:val="7A4500"/>
          <w:sz w:val="22"/>
          <w:szCs w:val="22"/>
        </w:rPr>
        <w:t xml:space="preserve">ASSUMED: The Mobius Farms partnership is geographically distant from SCU's Lismore base — Mobius Farms appears to be in NSW but the exact location is unclear. A Lockyer Valley operation in Queensland is a different geography with a different climate and seasonal BSF population profile, giving Andrew a second distinct field site.</w:t>
      </w:r>
    </w:p>
    <w:p>
      <w:pPr>
        <w:pBdr>
          <w:left w:val="single" w:color="E8A000" w:sz="12"/>
        </w:pBdr>
        <w:spacing w:after="80" w:before="80"/>
        <w:ind w:left="360"/>
      </w:pPr>
      <w:r>
        <w:rPr>
          <w:rFonts w:ascii="Arial" w:cs="Arial" w:eastAsia="Arial" w:hAnsi="Arial"/>
          <w:color w:val="7A4500"/>
          <w:sz w:val="22"/>
          <w:szCs w:val="22"/>
        </w:rPr>
        <w:t xml:space="preserve">ASSUMED: Funding pressure for the chitosan bioplastics research — this is an emerging area without established commercial partners in Australia. A small operator willing to supply characterised frass for chitosan extraction experiments reduces his materials cost and gives him substrate traceability that is currently absent from most chitosan research.</w:t>
      </w:r>
    </w:p>
    <w:p>
      <w:pPr>
        <w:pBdr>
          <w:left w:val="single" w:color="2E7D32" w:sz="12"/>
        </w:pBdr>
        <w:spacing w:after="80" w:before="80"/>
        <w:ind w:left="360"/>
      </w:pPr>
      <w:r>
        <w:rPr>
          <w:rFonts w:ascii="Arial" w:cs="Arial" w:eastAsia="Arial" w:hAnsi="Arial"/>
          <w:color w:val="1B5E20"/>
          <w:sz w:val="22"/>
          <w:szCs w:val="22"/>
        </w:rPr>
        <w:t xml:space="preserve">WHAT YOU CAN GIVE: An olive grove as an agricultural test site for frass soil amendment — not a constructed landscape or a laboratory pot trial, but a productive food-bearing tree crop in the Lockyer Valley. The agronomic significance of frass effects on olive production is directly commercialisable as a product claim.</w:t>
      </w:r>
    </w:p>
    <w:p>
      <w:pPr>
        <w:pBdr>
          <w:left w:val="single" w:color="2E7D32" w:sz="12"/>
        </w:pBdr>
        <w:spacing w:after="80" w:before="80"/>
        <w:ind w:left="360"/>
      </w:pPr>
      <w:r>
        <w:rPr>
          <w:rFonts w:ascii="Arial" w:cs="Arial" w:eastAsia="Arial" w:hAnsi="Arial"/>
          <w:color w:val="1B5E20"/>
          <w:sz w:val="22"/>
          <w:szCs w:val="22"/>
        </w:rPr>
        <w:t xml:space="preserve">WHAT YOU CAN GIVE: Baseline soil carbon data from the olive grove — if you conduct the baseline soil carbon test recommended in the Speculative Opportunities document this month, you will have pre-treatment data that makes any subsequent frass-application soil study far more valuable than one without a baseline.</w:t>
      </w:r>
    </w:p>
    <w:p>
      <w:pPr>
        <w:pBdr>
          <w:left w:val="single" w:color="2E7D32" w:sz="12"/>
        </w:pBdr>
        <w:spacing w:after="80" w:before="80"/>
        <w:ind w:left="360"/>
      </w:pPr>
      <w:r>
        <w:rPr>
          <w:rFonts w:ascii="Arial" w:cs="Arial" w:eastAsia="Arial" w:hAnsi="Arial"/>
          <w:color w:val="1B5E20"/>
          <w:sz w:val="22"/>
          <w:szCs w:val="22"/>
        </w:rPr>
        <w:t xml:space="preserve">WHAT YOU CAN GIVE: A characterised, documented substrate source for chitosan research — your batch tracking system gives him substrate traceability that is genuinely rare in the chitosan literature. His lab can publish not just the chitosan properties but the substrate-to-chitosan relationship.</w:t>
      </w:r>
    </w:p>
    <w:p>
      <w:pPr>
        <w:pBdr>
          <w:left w:val="single" w:color="1565C0" w:sz="12"/>
        </w:pBdr>
        <w:spacing w:after="80" w:before="80"/>
        <w:ind w:left="360"/>
      </w:pPr>
      <w:r>
        <w:rPr>
          <w:rFonts w:ascii="Arial" w:cs="Arial" w:eastAsia="Arial" w:hAnsi="Arial"/>
          <w:color w:val="0D47A1"/>
          <w:sz w:val="22"/>
          <w:szCs w:val="22"/>
        </w:rPr>
        <w:t xml:space="preserve">APPROACH: Reference the 2025 SCU article on BSF frass as landscaping fertiliser and the Mobius Farms partnership. Frame yourself as a commercial operator in the Lockyer Valley who has read his work on chitosan and frass soil amendment and is interested in whether a productive agricultural tree crop (olive grove) would be a useful test site for his frass research. Mention the olive grove specifically — it is the differentiating factor from the Mobius Farms relationship.</w:t>
      </w:r>
    </w:p>
    <w:p>
      <w:r>
        <w:t xml:space="preserve"/>
      </w:r>
    </w:p>
    <w:p>
      <w:r>
        <w:br w:type="page"/>
      </w:r>
    </w:p>
    <w:p>
      <w:pPr>
        <w:pStyle w:val="Heading2"/>
      </w:pPr>
      <w:r>
        <w:t xml:space="preserve">Dr Lachlan Yee — Southern Cross University</w:t>
      </w:r>
    </w:p>
    <w:p>
      <w:pPr>
        <w:spacing w:after="100"/>
      </w:pPr>
      <w:r>
        <w:rPr>
          <w:rFonts w:ascii="Arial" w:cs="Arial" w:eastAsia="Arial" w:hAnsi="Arial"/>
          <w:sz w:val="24"/>
          <w:szCs w:val="24"/>
        </w:rPr>
        <w:t xml:space="preserve">Senior Lecturer in polymer science, Faculty of Science and Engineering, SCU Lismore.</w:t>
      </w:r>
    </w:p>
    <w:p>
      <w:r>
        <w:t xml:space="preserve"/>
      </w:r>
    </w:p>
    <w:p>
      <w:pPr>
        <w:pBdr>
          <w:left w:val="single" w:color="C0392B" w:sz="12"/>
        </w:pBdr>
        <w:spacing w:after="80" w:before="80"/>
        <w:ind w:left="360"/>
      </w:pPr>
      <w:r>
        <w:rPr>
          <w:rFonts w:ascii="Arial" w:cs="Arial" w:eastAsia="Arial" w:hAnsi="Arial"/>
          <w:color w:val="922B21"/>
          <w:sz w:val="22"/>
          <w:szCs w:val="22"/>
        </w:rPr>
        <w:t xml:space="preserve">PUBLICLY STATED: Chitosan for wound care requires high purity and consistent substrate documentation — Yee's published work on BSF-derived chitosan for wound dressings explicitly requires documented substrate consistency for the pharmaceutical application. Most available BSF chitosan comes from operators who do not track substrate systematically, which limits publishability and regulatory credibility of the research.</w:t>
      </w:r>
    </w:p>
    <w:p>
      <w:pPr>
        <w:pBdr>
          <w:left w:val="single" w:color="C0392B" w:sz="12"/>
        </w:pBdr>
        <w:spacing w:after="80" w:before="80"/>
        <w:ind w:left="360"/>
      </w:pPr>
      <w:r>
        <w:rPr>
          <w:rFonts w:ascii="Arial" w:cs="Arial" w:eastAsia="Arial" w:hAnsi="Arial"/>
          <w:color w:val="922B21"/>
          <w:sz w:val="22"/>
          <w:szCs w:val="22"/>
        </w:rPr>
        <w:t xml:space="preserve">PUBLICLY STATED: BSF-derived bioplastics research needs scale — his team is developing BSF-derived chitin as a sustainable alternative to conventional packaging. Moving from lab-scale to commercially relevant quantities requires a continuous, reliable supply of characterised frass material.</w:t>
      </w:r>
    </w:p>
    <w:p>
      <w:pPr>
        <w:pBdr>
          <w:left w:val="single" w:color="E8A000" w:sz="12"/>
        </w:pBdr>
        <w:spacing w:after="80" w:before="80"/>
        <w:ind w:left="360"/>
      </w:pPr>
      <w:r>
        <w:rPr>
          <w:rFonts w:ascii="Arial" w:cs="Arial" w:eastAsia="Arial" w:hAnsi="Arial"/>
          <w:color w:val="7A4500"/>
          <w:sz w:val="22"/>
          <w:szCs w:val="22"/>
        </w:rPr>
        <w:t xml:space="preserve">ASSUMED: He is a relatively early-career researcher (Senior Lecturer level) who would benefit from industry partnerships that generate IP and commercialisation opportunities. A commercial supply agreement for characterised frass for chitosan extraction is a pathway to a spinout or licensing arrangement that accelerates his career.</w:t>
      </w:r>
    </w:p>
    <w:p>
      <w:pPr>
        <w:pBdr>
          <w:left w:val="single" w:color="E8A000" w:sz="12"/>
        </w:pBdr>
        <w:spacing w:after="80" w:before="80"/>
        <w:ind w:left="360"/>
      </w:pPr>
      <w:r>
        <w:rPr>
          <w:rFonts w:ascii="Arial" w:cs="Arial" w:eastAsia="Arial" w:hAnsi="Arial"/>
          <w:color w:val="7A4500"/>
          <w:sz w:val="22"/>
          <w:szCs w:val="22"/>
        </w:rPr>
        <w:t xml:space="preserve">ASSUMED: The pharmaceutical chitosan application requires TGA regulatory engagement that his lab likely has not yet navigated. Your operational experience with DAF biosecurity compliance and your biological sciences background means you can contribute to the regulatory strategy, not just supply material.</w:t>
      </w:r>
    </w:p>
    <w:p>
      <w:pPr>
        <w:pBdr>
          <w:left w:val="single" w:color="2E7D32" w:sz="12"/>
        </w:pBdr>
        <w:spacing w:after="80" w:before="80"/>
        <w:ind w:left="360"/>
      </w:pPr>
      <w:r>
        <w:rPr>
          <w:rFonts w:ascii="Arial" w:cs="Arial" w:eastAsia="Arial" w:hAnsi="Arial"/>
          <w:color w:val="1B5E20"/>
          <w:sz w:val="22"/>
          <w:szCs w:val="22"/>
        </w:rPr>
        <w:t xml:space="preserve">WHAT YOU CAN GIVE: Characterised, substrate-traced frass from a documented Lockyer Valley waste stream — the substrate documentation in your batch tracking system is precisely what his wound care chitosan research needs and most commercial operators do not provide.</w:t>
      </w:r>
    </w:p>
    <w:p>
      <w:pPr>
        <w:pBdr>
          <w:left w:val="single" w:color="2E7D32" w:sz="12"/>
        </w:pBdr>
        <w:spacing w:after="80" w:before="80"/>
        <w:ind w:left="360"/>
      </w:pPr>
      <w:r>
        <w:rPr>
          <w:rFonts w:ascii="Arial" w:cs="Arial" w:eastAsia="Arial" w:hAnsi="Arial"/>
          <w:color w:val="1B5E20"/>
          <w:sz w:val="22"/>
          <w:szCs w:val="22"/>
        </w:rPr>
        <w:t xml:space="preserve">WHAT YOU CAN GIVE: Deacetylation degree testing collaboration — if you run the DD testing protocol from the Speculative Opportunities document ($80 per test, six tests over 12 months), you generate the documentation he needs to characterise the pharmaceutical potential of your specific substrate-frass combination. This is a mutually beneficial data generation exercise.</w:t>
      </w:r>
    </w:p>
    <w:p>
      <w:pPr>
        <w:pBdr>
          <w:left w:val="single" w:color="2E7D32" w:sz="12"/>
        </w:pBdr>
        <w:spacing w:after="80" w:before="80"/>
        <w:ind w:left="360"/>
      </w:pPr>
      <w:r>
        <w:rPr>
          <w:rFonts w:ascii="Arial" w:cs="Arial" w:eastAsia="Arial" w:hAnsi="Arial"/>
          <w:color w:val="1B5E20"/>
          <w:sz w:val="22"/>
          <w:szCs w:val="22"/>
        </w:rPr>
        <w:t xml:space="preserve">WHAT YOU CAN GIVE: A commercial production rate that scales with his research needs — at peak output you produce approximately 1.5-2 kg of crude chitin per week from frass. This is meaningful for a laboratory research program and more than most small-scale suppliers can provide consistently.</w:t>
      </w:r>
    </w:p>
    <w:p>
      <w:pPr>
        <w:pBdr>
          <w:left w:val="single" w:color="1565C0" w:sz="12"/>
        </w:pBdr>
        <w:spacing w:after="80" w:before="80"/>
        <w:ind w:left="360"/>
      </w:pPr>
      <w:r>
        <w:rPr>
          <w:rFonts w:ascii="Arial" w:cs="Arial" w:eastAsia="Arial" w:hAnsi="Arial"/>
          <w:color w:val="0D47A1"/>
          <w:sz w:val="22"/>
          <w:szCs w:val="22"/>
        </w:rPr>
        <w:t xml:space="preserve">APPROACH: Contact through Andrew's introduction after establishing the Andrew relationship. Frame your interest specifically around the pharmaceutical chitosan pathway and the deacetylation degree question. Offer to run the DD testing protocol and share results. Ask whether a characterised supply of Lockyer Valley vegetable waste-derived frass would be useful for his wound care research.</w:t>
      </w:r>
    </w:p>
    <w:p>
      <w:r>
        <w:t xml:space="preserve"/>
      </w:r>
    </w:p>
    <w:p>
      <w:r>
        <w:br w:type="page"/>
      </w:r>
    </w:p>
    <w:p>
      <w:pPr>
        <w:pStyle w:val="Heading2"/>
      </w:pPr>
      <w:r>
        <w:t xml:space="preserve">Associate Professor Kyall Zenger — James Cook University</w:t>
      </w:r>
    </w:p>
    <w:p>
      <w:pPr>
        <w:spacing w:after="100"/>
      </w:pPr>
      <w:r>
        <w:rPr>
          <w:rFonts w:ascii="Arial" w:cs="Arial" w:eastAsia="Arial" w:hAnsi="Arial"/>
          <w:sz w:val="24"/>
          <w:szCs w:val="24"/>
        </w:rPr>
        <w:t xml:space="preserve">BSF genetics and genomic selection researcher, Centre for Sustainable Tropical Fisheries and Aquaculture, JCU Townsville.</w:t>
      </w:r>
    </w:p>
    <w:p>
      <w:r>
        <w:t xml:space="preserve"/>
      </w:r>
    </w:p>
    <w:p>
      <w:pPr>
        <w:pBdr>
          <w:left w:val="single" w:color="C0392B" w:sz="12"/>
        </w:pBdr>
        <w:spacing w:after="80" w:before="80"/>
        <w:ind w:left="360"/>
      </w:pPr>
      <w:r>
        <w:rPr>
          <w:rFonts w:ascii="Arial" w:cs="Arial" w:eastAsia="Arial" w:hAnsi="Arial"/>
          <w:color w:val="922B21"/>
          <w:sz w:val="22"/>
          <w:szCs w:val="22"/>
        </w:rPr>
        <w:t xml:space="preserve">PUBLICLY STATED: BSF genetic improvement requires industry partner data — his ARC Linkage Grant with FlyFarm Queensland requires ongoing commercial production data to validate the genomic selection models. The grant specifically aims to understand BSF genetics so farms can manage genetic resources and predict genetic merit.</w:t>
      </w:r>
    </w:p>
    <w:p>
      <w:pPr>
        <w:pBdr>
          <w:left w:val="single" w:color="C0392B" w:sz="12"/>
        </w:pBdr>
        <w:spacing w:after="80" w:before="80"/>
        <w:ind w:left="360"/>
      </w:pPr>
      <w:r>
        <w:rPr>
          <w:rFonts w:ascii="Arial" w:cs="Arial" w:eastAsia="Arial" w:hAnsi="Arial"/>
          <w:color w:val="922B21"/>
          <w:sz w:val="22"/>
          <w:szCs w:val="22"/>
        </w:rPr>
        <w:t xml:space="preserve">PUBLICLY STATED: Colony genetic diversity is an under-researched problem for small commercial operators — his January 2025 paper states that cultivation of insects for food and feed requires high-performance genetic lines adapted to specific rearing conditions, and that investing in genetics and breeding programs to domesticate and develop insect strains is needed for commercial sustainability.</w:t>
      </w:r>
    </w:p>
    <w:p>
      <w:pPr>
        <w:pBdr>
          <w:left w:val="single" w:color="E8A000" w:sz="12"/>
        </w:pBdr>
        <w:spacing w:after="80" w:before="80"/>
        <w:ind w:left="360"/>
      </w:pPr>
      <w:r>
        <w:rPr>
          <w:rFonts w:ascii="Arial" w:cs="Arial" w:eastAsia="Arial" w:hAnsi="Arial"/>
          <w:color w:val="7A4500"/>
          <w:sz w:val="22"/>
          <w:szCs w:val="22"/>
        </w:rPr>
        <w:t xml:space="preserve">ASSUMED: FlyFarm Queensland is an automated, large-scale operation with a very different genetic management approach from a small manual operation that uses wild integration. Zenger may not have data from small-scale wild-integration breeding programs, which represent a significant proportion of the actual Australian BSFL industry.</w:t>
      </w:r>
    </w:p>
    <w:p>
      <w:pPr>
        <w:pBdr>
          <w:left w:val="single" w:color="E8A000" w:sz="12"/>
        </w:pBdr>
        <w:spacing w:after="80" w:before="80"/>
        <w:ind w:left="360"/>
      </w:pPr>
      <w:r>
        <w:rPr>
          <w:rFonts w:ascii="Arial" w:cs="Arial" w:eastAsia="Arial" w:hAnsi="Arial"/>
          <w:color w:val="7A4500"/>
          <w:sz w:val="22"/>
          <w:szCs w:val="22"/>
        </w:rPr>
        <w:t xml:space="preserve">ASSUMED: Larval samples from the Lockyer Valley wild population would give him Queensland subtropical genetics data that may differ from the FlyFarm operation's genetics. The Lockyer Valley is a distinct microclimate and BSF population.</w:t>
      </w:r>
    </w:p>
    <w:p>
      <w:pPr>
        <w:pBdr>
          <w:left w:val="single" w:color="2E7D32" w:sz="12"/>
        </w:pBdr>
        <w:spacing w:after="80" w:before="80"/>
        <w:ind w:left="360"/>
      </w:pPr>
      <w:r>
        <w:rPr>
          <w:rFonts w:ascii="Arial" w:cs="Arial" w:eastAsia="Arial" w:hAnsi="Arial"/>
          <w:color w:val="1B5E20"/>
          <w:sz w:val="22"/>
          <w:szCs w:val="22"/>
        </w:rPr>
        <w:t xml:space="preserve">WHAT YOU CAN GIVE: Regular larval samples from a small commercial operation using wild BSF integration — this is a data point his FlyFarm partnership cannot provide. Wild-caught genetics from the Lockyer Valley subtropical agricultural zone is a different population from an established commercial colony.</w:t>
      </w:r>
    </w:p>
    <w:p>
      <w:pPr>
        <w:pBdr>
          <w:left w:val="single" w:color="2E7D32" w:sz="12"/>
        </w:pBdr>
        <w:spacing w:after="80" w:before="80"/>
        <w:ind w:left="360"/>
      </w:pPr>
      <w:r>
        <w:rPr>
          <w:rFonts w:ascii="Arial" w:cs="Arial" w:eastAsia="Arial" w:hAnsi="Arial"/>
          <w:color w:val="1B5E20"/>
          <w:sz w:val="22"/>
          <w:szCs w:val="22"/>
        </w:rPr>
        <w:t xml:space="preserve">WHAT YOU CAN GIVE: A documented wild integration protocol — your practice of trapping wild females and integrating them into the breeding colony is, to your knowledge, not systematically documented in the Australian literature. This could be publishable as a methodology paper with his genetics analysis as the validating data.</w:t>
      </w:r>
    </w:p>
    <w:p>
      <w:pPr>
        <w:pBdr>
          <w:left w:val="single" w:color="2E7D32" w:sz="12"/>
        </w:pBdr>
        <w:spacing w:after="80" w:before="80"/>
        <w:ind w:left="360"/>
      </w:pPr>
      <w:r>
        <w:rPr>
          <w:rFonts w:ascii="Arial" w:cs="Arial" w:eastAsia="Arial" w:hAnsi="Arial"/>
          <w:color w:val="1B5E20"/>
          <w:sz w:val="22"/>
          <w:szCs w:val="22"/>
        </w:rPr>
        <w:t xml:space="preserve">WHAT YOU CAN GIVE: Long-term population genetics data — a small operation running for years with regular wild integration produces a longitudinal genetics dataset that is almost impossible to obtain from large commercial operators who have closed, genetically fixed colonies.</w:t>
      </w:r>
    </w:p>
    <w:p>
      <w:pPr>
        <w:pBdr>
          <w:left w:val="single" w:color="1565C0" w:sz="12"/>
        </w:pBdr>
        <w:spacing w:after="80" w:before="80"/>
        <w:ind w:left="360"/>
      </w:pPr>
      <w:r>
        <w:rPr>
          <w:rFonts w:ascii="Arial" w:cs="Arial" w:eastAsia="Arial" w:hAnsi="Arial"/>
          <w:color w:val="0D47A1"/>
          <w:sz w:val="22"/>
          <w:szCs w:val="22"/>
        </w:rPr>
        <w:t xml:space="preserve">APPROACH: Email with a specific and unusual offer: you run a small commercial BSFL operation in the Lockyer Valley using regular wild BSF integration from Tenthill Creek, and you are interested in whether Lockyer Valley wild population genetics would be useful for his breeding program research. Offer to provide regular larval samples (5-10g per month) from both your captive colony and your wild-caught population. Ask whether this would contribute useful data to his ARC project. This is a genuinely novel offer that FlyFarm cannot make.</w:t>
      </w:r>
    </w:p>
    <w:p>
      <w:r>
        <w:t xml:space="preserve"/>
      </w:r>
    </w:p>
    <w:p>
      <w:r>
        <w:br w:type="page"/>
      </w:r>
    </w:p>
    <w:p>
      <w:pPr>
        <w:pStyle w:val="Heading1"/>
      </w:pPr>
      <w:r>
        <w:t xml:space="preserve">Commercial Operators</w:t>
      </w:r>
    </w:p>
    <w:p>
      <w:r>
        <w:t xml:space="preserve"/>
      </w:r>
    </w:p>
    <w:p>
      <w:pPr>
        <w:pStyle w:val="Heading2"/>
      </w:pPr>
      <w:r>
        <w:t xml:space="preserve">Olympia Yarger — Goterra</w:t>
      </w:r>
    </w:p>
    <w:p>
      <w:pPr>
        <w:spacing w:after="100"/>
      </w:pPr>
      <w:r>
        <w:rPr>
          <w:rFonts w:ascii="Arial" w:cs="Arial" w:eastAsia="Arial" w:hAnsi="Arial"/>
          <w:sz w:val="24"/>
          <w:szCs w:val="24"/>
        </w:rPr>
        <w:t xml:space="preserve">CEO and Founder, Goterra Pty Ltd, Canberra. ACT Australian of the Year 2023.</w:t>
      </w:r>
    </w:p>
    <w:p>
      <w:r>
        <w:t xml:space="preserve"/>
      </w:r>
    </w:p>
    <w:p>
      <w:pPr>
        <w:pBdr>
          <w:left w:val="single" w:color="C0392B" w:sz="12"/>
        </w:pBdr>
        <w:spacing w:after="80" w:before="80"/>
        <w:ind w:left="360"/>
      </w:pPr>
      <w:r>
        <w:rPr>
          <w:rFonts w:ascii="Arial" w:cs="Arial" w:eastAsia="Arial" w:hAnsi="Arial"/>
          <w:color w:val="922B21"/>
          <w:sz w:val="22"/>
          <w:szCs w:val="22"/>
        </w:rPr>
        <w:t xml:space="preserve">PUBLICLY STATED: Scaling the modular model requires diverse waste stream validation data — Yarger has stated publicly that Goterra's model processes food waste at the site of creation. The scientific validation of their model (the Alagappan/Hoffman/Cozzolino research) has used Goterra waste streams from urban sites. She has publicly promoted this research on LinkedIn as critical to industry credibility.</w:t>
      </w:r>
    </w:p>
    <w:p>
      <w:pPr>
        <w:pBdr>
          <w:left w:val="single" w:color="C0392B" w:sz="12"/>
        </w:pBdr>
        <w:spacing w:after="80" w:before="80"/>
        <w:ind w:left="360"/>
      </w:pPr>
      <w:r>
        <w:rPr>
          <w:rFonts w:ascii="Arial" w:cs="Arial" w:eastAsia="Arial" w:hAnsi="Arial"/>
          <w:color w:val="922B21"/>
          <w:sz w:val="22"/>
          <w:szCs w:val="22"/>
        </w:rPr>
        <w:t xml:space="preserve">PUBLICLY STATED: The need to reimagine what scale looks like given localisation and customisation requirements — in a podcast interview Yarger stated that scaling food waste technology requires reimagining scale in the face of priorities around localisation and customisation of hardware. This suggests she recognises that the centralised urban model has limits and distributed regional models may be part of the solution.</w:t>
      </w:r>
    </w:p>
    <w:p>
      <w:pPr>
        <w:pBdr>
          <w:left w:val="single" w:color="C0392B" w:sz="12"/>
        </w:pBdr>
        <w:spacing w:after="80" w:before="80"/>
        <w:ind w:left="360"/>
      </w:pPr>
      <w:r>
        <w:rPr>
          <w:rFonts w:ascii="Arial" w:cs="Arial" w:eastAsia="Arial" w:hAnsi="Arial"/>
          <w:color w:val="922B21"/>
          <w:sz w:val="22"/>
          <w:szCs w:val="22"/>
        </w:rPr>
        <w:t xml:space="preserve">PUBLICLY STATED: Removing customer pain points and barriers to adoption — she has stated publicly that reducing costs requires removing customer barriers to adoption and prioritising deep relationships to unlock unexpected economics in collaboration with customers.</w:t>
      </w:r>
    </w:p>
    <w:p>
      <w:pPr>
        <w:pBdr>
          <w:left w:val="single" w:color="E8A000" w:sz="12"/>
        </w:pBdr>
        <w:spacing w:after="80" w:before="80"/>
        <w:ind w:left="360"/>
      </w:pPr>
      <w:r>
        <w:rPr>
          <w:rFonts w:ascii="Arial" w:cs="Arial" w:eastAsia="Arial" w:hAnsi="Arial"/>
          <w:color w:val="7A4500"/>
          <w:sz w:val="22"/>
          <w:szCs w:val="22"/>
        </w:rPr>
        <w:t xml:space="preserve">ASSUMED: The Skretting fish feed offtake deal (announced 2024) creates volume pressure — a commercial agreement with the world's largest fish feed company requires consistent, large-volume larval supply. Goterra may be interested in network operators who can contribute to total supply without competing directly in their urban deployment model.</w:t>
      </w:r>
    </w:p>
    <w:p>
      <w:pPr>
        <w:pBdr>
          <w:left w:val="single" w:color="E8A000" w:sz="12"/>
        </w:pBdr>
        <w:spacing w:after="80" w:before="80"/>
        <w:ind w:left="360"/>
      </w:pPr>
      <w:r>
        <w:rPr>
          <w:rFonts w:ascii="Arial" w:cs="Arial" w:eastAsia="Arial" w:hAnsi="Arial"/>
          <w:color w:val="7A4500"/>
          <w:sz w:val="22"/>
          <w:szCs w:val="22"/>
        </w:rPr>
        <w:t xml:space="preserve">ASSUMED: Regional agricultural waste streams are not part of Goterra's current operational footprint — their deployments are at urban locations including a landfill in Albury, Barangaroo Sydney, Melbourne Airport, Howard Smith Wharves Brisbane, and Woolworths stores. The Lockyer Valley agricultural waste stream is a different and potentially complementary input type.</w:t>
      </w:r>
    </w:p>
    <w:p>
      <w:pPr>
        <w:pBdr>
          <w:left w:val="single" w:color="2E7D32" w:sz="12"/>
        </w:pBdr>
        <w:spacing w:after="80" w:before="80"/>
        <w:ind w:left="360"/>
      </w:pPr>
      <w:r>
        <w:rPr>
          <w:rFonts w:ascii="Arial" w:cs="Arial" w:eastAsia="Arial" w:hAnsi="Arial"/>
          <w:color w:val="1B5E20"/>
          <w:sz w:val="22"/>
          <w:szCs w:val="22"/>
        </w:rPr>
        <w:t xml:space="preserve">WHAT YOU CAN GIVE: A regional agricultural waste stream node that is geographically and operationally complementary to Goterra's urban model — not a competitor but a different part of the waste processing landscape. A Lockyer Valley operation processing vegetable market waste and spent grain from Lockyer Valley farms is supplying a waste stream that Goterra's urban modular units do not reach.</w:t>
      </w:r>
    </w:p>
    <w:p>
      <w:pPr>
        <w:pBdr>
          <w:left w:val="single" w:color="2E7D32" w:sz="12"/>
        </w:pBdr>
        <w:spacing w:after="80" w:before="80"/>
        <w:ind w:left="360"/>
      </w:pPr>
      <w:r>
        <w:rPr>
          <w:rFonts w:ascii="Arial" w:cs="Arial" w:eastAsia="Arial" w:hAnsi="Arial"/>
          <w:color w:val="1B5E20"/>
          <w:sz w:val="22"/>
          <w:szCs w:val="22"/>
        </w:rPr>
        <w:t xml:space="preserve">WHAT YOU CAN GIVE: Documented regional protocol data that validates the distributed model she has publicly said she believes in — your operation with documented batch data from an agricultural region is evidence that the distributed small-scale model works, which strengthens the industry narrative that supports her larger institutional relationships.</w:t>
      </w:r>
    </w:p>
    <w:p>
      <w:pPr>
        <w:pBdr>
          <w:left w:val="single" w:color="2E7D32" w:sz="12"/>
        </w:pBdr>
        <w:spacing w:after="80" w:before="80"/>
        <w:ind w:left="360"/>
      </w:pPr>
      <w:r>
        <w:rPr>
          <w:rFonts w:ascii="Arial" w:cs="Arial" w:eastAsia="Arial" w:hAnsi="Arial"/>
          <w:color w:val="1B5E20"/>
          <w:sz w:val="22"/>
          <w:szCs w:val="22"/>
        </w:rPr>
        <w:t xml:space="preserve">WHAT YOU CAN GIVE: A potential supply network node if the Skretting offtake deal creates volume pressure — a small regional operator contributing to total dried larvae supply is a different value proposition from being a competitor.</w:t>
      </w:r>
    </w:p>
    <w:p>
      <w:pPr>
        <w:pBdr>
          <w:left w:val="single" w:color="1565C0" w:sz="12"/>
        </w:pBdr>
        <w:spacing w:after="80" w:before="80"/>
        <w:ind w:left="360"/>
      </w:pPr>
      <w:r>
        <w:rPr>
          <w:rFonts w:ascii="Arial" w:cs="Arial" w:eastAsia="Arial" w:hAnsi="Arial"/>
          <w:color w:val="0D47A1"/>
          <w:sz w:val="22"/>
          <w:szCs w:val="22"/>
        </w:rPr>
        <w:t xml:space="preserve">APPROACH: Through IPAA channels, not cold contact. After joining the IPAA, engage with Yarger in that context as a fellow operator. The framing is peer-to-peer rather than seeking mentorship. You are a commercial BSFL operator in the Lockyer Valley, you have read her work on distributed models and the regional waste stream opportunity, and you are interested in whether your operation's regional agricultural waste stream data would be useful for the industry credibility work she is clearly invested in.</w:t>
      </w:r>
    </w:p>
    <w:p>
      <w:r>
        <w:t xml:space="preserve"/>
      </w:r>
    </w:p>
    <w:p>
      <w:r>
        <w:br w:type="page"/>
      </w:r>
    </w:p>
    <w:p>
      <w:pPr>
        <w:pStyle w:val="Heading2"/>
      </w:pPr>
      <w:r>
        <w:t xml:space="preserve">Constant Tedder — FlyFarm Queensland</w:t>
      </w:r>
    </w:p>
    <w:p>
      <w:pPr>
        <w:spacing w:after="100"/>
      </w:pPr>
      <w:r>
        <w:rPr>
          <w:rFonts w:ascii="Arial" w:cs="Arial" w:eastAsia="Arial" w:hAnsi="Arial"/>
          <w:sz w:val="24"/>
          <w:szCs w:val="24"/>
        </w:rPr>
        <w:t xml:space="preserve">Co-Founder and CEO, FlyFarm Worldwide Ltd / FlyFarm Queensland, Brisbane.</w:t>
      </w:r>
    </w:p>
    <w:p>
      <w:r>
        <w:t xml:space="preserve"/>
      </w:r>
    </w:p>
    <w:p>
      <w:pPr>
        <w:pBdr>
          <w:left w:val="single" w:color="C0392B" w:sz="12"/>
        </w:pBdr>
        <w:spacing w:after="80" w:before="80"/>
        <w:ind w:left="360"/>
      </w:pPr>
      <w:r>
        <w:rPr>
          <w:rFonts w:ascii="Arial" w:cs="Arial" w:eastAsia="Arial" w:hAnsi="Arial"/>
          <w:color w:val="922B21"/>
          <w:sz w:val="22"/>
          <w:szCs w:val="22"/>
        </w:rPr>
        <w:t xml:space="preserve">PUBLICLY STATED: Scaling BSFL farming requires automation and data — Tedder has stated publicly that the future potential value of insect-derived inputs exceeds $875 million per annum in Australian feedstock alone, and that realising this requires understanding BSF genetics and managing genetic resources at farm level. His ARC partnership with Zenger is specifically about building the data infrastructure for genetic improvement.</w:t>
      </w:r>
    </w:p>
    <w:p>
      <w:pPr>
        <w:pBdr>
          <w:left w:val="single" w:color="C0392B" w:sz="12"/>
        </w:pBdr>
        <w:spacing w:after="80" w:before="80"/>
        <w:ind w:left="360"/>
      </w:pPr>
      <w:r>
        <w:rPr>
          <w:rFonts w:ascii="Arial" w:cs="Arial" w:eastAsia="Arial" w:hAnsi="Arial"/>
          <w:color w:val="922B21"/>
          <w:sz w:val="22"/>
          <w:szCs w:val="22"/>
        </w:rPr>
        <w:t xml:space="preserve">PUBLICLY STATED: Need for diverse field validation of FlyFarm technology — FlyFarm sells automation systems for BSFL farming and their business model requires demonstrating that these systems work across diverse operators and environments. Published validation data from diverse operators strengthens the commercial case for their technology.</w:t>
      </w:r>
    </w:p>
    <w:p>
      <w:pPr>
        <w:pBdr>
          <w:left w:val="single" w:color="E8A000" w:sz="12"/>
        </w:pBdr>
        <w:spacing w:after="80" w:before="80"/>
        <w:ind w:left="360"/>
      </w:pPr>
      <w:r>
        <w:rPr>
          <w:rFonts w:ascii="Arial" w:cs="Arial" w:eastAsia="Arial" w:hAnsi="Arial"/>
          <w:color w:val="7A4500"/>
          <w:sz w:val="22"/>
          <w:szCs w:val="22"/>
        </w:rPr>
        <w:t xml:space="preserve">ASSUMED: FlyFarm's Brisbane demonstration plant is their primary Australian evidence base — it is a demonstration facility, not a long-running commercial operation. Data from a genuine commercial operation running on agricultural waste streams in the Lockyer Valley is a different and more compelling validation story.</w:t>
      </w:r>
    </w:p>
    <w:p>
      <w:pPr>
        <w:pBdr>
          <w:left w:val="single" w:color="E8A000" w:sz="12"/>
        </w:pBdr>
        <w:spacing w:after="80" w:before="80"/>
        <w:ind w:left="360"/>
      </w:pPr>
      <w:r>
        <w:rPr>
          <w:rFonts w:ascii="Arial" w:cs="Arial" w:eastAsia="Arial" w:hAnsi="Arial"/>
          <w:color w:val="7A4500"/>
          <w:sz w:val="22"/>
          <w:szCs w:val="22"/>
        </w:rPr>
        <w:t xml:space="preserve">ASSUMED: Small operators are a potential future customer base for FlyFarm's pilot system — FlyFarm sells pilot systems at approximately $200,000 USD which is not relevant to your Stage 1 operation. However a documented, profitable small-scale operation that eventually needs to automate is exactly the customer profile they are building relationships with.</w:t>
      </w:r>
    </w:p>
    <w:p>
      <w:pPr>
        <w:pBdr>
          <w:left w:val="single" w:color="2E7D32" w:sz="12"/>
        </w:pBdr>
        <w:spacing w:after="80" w:before="80"/>
        <w:ind w:left="360"/>
      </w:pPr>
      <w:r>
        <w:rPr>
          <w:rFonts w:ascii="Arial" w:cs="Arial" w:eastAsia="Arial" w:hAnsi="Arial"/>
          <w:color w:val="1B5E20"/>
          <w:sz w:val="22"/>
          <w:szCs w:val="22"/>
        </w:rPr>
        <w:t xml:space="preserve">WHAT YOU CAN GIVE: Operational data from a small-scale commercial operation on agricultural waste streams — a dataset that their Brisbane demonstration plant, which uses controlled inputs, cannot generate. Real-world conversion rate variation across seasonal waste streams is genuinely useful validation data for their technology claims.</w:t>
      </w:r>
    </w:p>
    <w:p>
      <w:pPr>
        <w:pBdr>
          <w:left w:val="single" w:color="2E7D32" w:sz="12"/>
        </w:pBdr>
        <w:spacing w:after="80" w:before="80"/>
        <w:ind w:left="360"/>
      </w:pPr>
      <w:r>
        <w:rPr>
          <w:rFonts w:ascii="Arial" w:cs="Arial" w:eastAsia="Arial" w:hAnsi="Arial"/>
          <w:color w:val="1B5E20"/>
          <w:sz w:val="22"/>
          <w:szCs w:val="22"/>
        </w:rPr>
        <w:t xml:space="preserve">WHAT YOU CAN GIVE: A potential future case study for their pilot system — if your operation scales to the point where automation is relevant (year 3-5), your well-documented operational history makes you a more compelling case study customer than an operator with no records.</w:t>
      </w:r>
    </w:p>
    <w:p>
      <w:pPr>
        <w:pBdr>
          <w:left w:val="single" w:color="1565C0" w:sz="12"/>
        </w:pBdr>
        <w:spacing w:after="80" w:before="80"/>
        <w:ind w:left="360"/>
      </w:pPr>
      <w:r>
        <w:rPr>
          <w:rFonts w:ascii="Arial" w:cs="Arial" w:eastAsia="Arial" w:hAnsi="Arial"/>
          <w:color w:val="0D47A1"/>
          <w:sz w:val="22"/>
          <w:szCs w:val="22"/>
        </w:rPr>
        <w:t xml:space="preserve">APPROACH: Visit the Brisbane demonstration plant first as described in the expert directory. The observation visit is not to assess their technology for purchase — it is to understand what data they are currently working with and what gaps exist. After visiting, approach Tedder with a specific question: does operational data from a small-scale regional agricultural waste stream operation have value for their research partnership with JCU? This connects your offer to his existing research investment.</w:t>
      </w:r>
    </w:p>
    <w:p>
      <w:r>
        <w:t xml:space="preserve"/>
      </w:r>
    </w:p>
    <w:p>
      <w:r>
        <w:br w:type="page"/>
      </w:r>
    </w:p>
    <w:p>
      <w:pPr>
        <w:pStyle w:val="Heading1"/>
      </w:pPr>
      <w:r>
        <w:t xml:space="preserve">Industry Bodies</w:t>
      </w:r>
    </w:p>
    <w:p>
      <w:r>
        <w:t xml:space="preserve"/>
      </w:r>
    </w:p>
    <w:p>
      <w:pPr>
        <w:pStyle w:val="Heading2"/>
      </w:pPr>
      <w:r>
        <w:t xml:space="preserve">Insect Protein Association of Australia (IPAA)</w:t>
      </w:r>
    </w:p>
    <w:p>
      <w:pPr>
        <w:spacing w:after="100"/>
      </w:pPr>
      <w:r>
        <w:rPr>
          <w:rFonts w:ascii="Arial" w:cs="Arial" w:eastAsia="Arial" w:hAnsi="Arial"/>
          <w:sz w:val="24"/>
          <w:szCs w:val="24"/>
        </w:rPr>
        <w:t xml:space="preserve">Industry body, member-based, national. Chair: Duncan Rowland.</w:t>
      </w:r>
    </w:p>
    <w:p>
      <w:r>
        <w:t xml:space="preserve"/>
      </w:r>
    </w:p>
    <w:p>
      <w:pPr>
        <w:pBdr>
          <w:left w:val="single" w:color="C0392B" w:sz="12"/>
        </w:pBdr>
        <w:spacing w:after="80" w:before="80"/>
        <w:ind w:left="360"/>
      </w:pPr>
      <w:r>
        <w:rPr>
          <w:rFonts w:ascii="Arial" w:cs="Arial" w:eastAsia="Arial" w:hAnsi="Arial"/>
          <w:color w:val="922B21"/>
          <w:sz w:val="22"/>
          <w:szCs w:val="22"/>
        </w:rPr>
        <w:t xml:space="preserve">PUBLICLY STATED: Australia is 10 years behind the EU and North American insect industries — IPAA Chair Duncan Rowland stated this publicly in 2023 in the context of the new industry roadmap. He identified five focus themes to address key barriers to scale and competitive advantage.</w:t>
      </w:r>
    </w:p>
    <w:p>
      <w:pPr>
        <w:pBdr>
          <w:left w:val="single" w:color="C0392B" w:sz="12"/>
        </w:pBdr>
        <w:spacing w:after="80" w:before="80"/>
        <w:ind w:left="360"/>
      </w:pPr>
      <w:r>
        <w:rPr>
          <w:rFonts w:ascii="Arial" w:cs="Arial" w:eastAsia="Arial" w:hAnsi="Arial"/>
          <w:color w:val="922B21"/>
          <w:sz w:val="22"/>
          <w:szCs w:val="22"/>
        </w:rPr>
        <w:t xml:space="preserve">PUBLICLY STATED: Lack of best practice guidelines and standards — Rowland publicly stated that a key priority of the new roadmap was to establish best practice guidelines and standards to shore up the credibility and quality of the industry. This is a direct and specific gap that your documented protocol addresses.</w:t>
      </w:r>
    </w:p>
    <w:p>
      <w:pPr>
        <w:pBdr>
          <w:left w:val="single" w:color="C0392B" w:sz="12"/>
        </w:pBdr>
        <w:spacing w:after="80" w:before="80"/>
        <w:ind w:left="360"/>
      </w:pPr>
      <w:r>
        <w:rPr>
          <w:rFonts w:ascii="Arial" w:cs="Arial" w:eastAsia="Arial" w:hAnsi="Arial"/>
          <w:color w:val="922B21"/>
          <w:sz w:val="22"/>
          <w:szCs w:val="22"/>
        </w:rPr>
        <w:t xml:space="preserve">PUBLICLY STATED: Regulatory clarity is a driver of growth but still incomplete — the IPAA roadmap notes that improved regulatory clarity has been a key driver of industry growth. However the regulatory framework for insects as animal feed remains unclear for several livestock categories in Australia.</w:t>
      </w:r>
    </w:p>
    <w:p>
      <w:pPr>
        <w:pBdr>
          <w:left w:val="single" w:color="C0392B" w:sz="12"/>
        </w:pBdr>
        <w:spacing w:after="80" w:before="80"/>
        <w:ind w:left="360"/>
      </w:pPr>
      <w:r>
        <w:rPr>
          <w:rFonts w:ascii="Arial" w:cs="Arial" w:eastAsia="Arial" w:hAnsi="Arial"/>
          <w:color w:val="922B21"/>
          <w:sz w:val="22"/>
          <w:szCs w:val="22"/>
        </w:rPr>
        <w:t xml:space="preserve">PUBLICLY STATED: Industry credibility requires demonstrated commercial scale — the IPAA roadmap notes that the fact several domestic producers have reached commercial scale and can now service larger offtake contracts has been key in building downstream industry confidence. More commercial operators with documented production histories strengthen this narrative.</w:t>
      </w:r>
    </w:p>
    <w:p>
      <w:pPr>
        <w:pBdr>
          <w:left w:val="single" w:color="E8A000" w:sz="12"/>
        </w:pBdr>
        <w:spacing w:after="80" w:before="80"/>
        <w:ind w:left="360"/>
      </w:pPr>
      <w:r>
        <w:rPr>
          <w:rFonts w:ascii="Arial" w:cs="Arial" w:eastAsia="Arial" w:hAnsi="Arial"/>
          <w:color w:val="7A4500"/>
          <w:sz w:val="22"/>
          <w:szCs w:val="22"/>
        </w:rPr>
        <w:t xml:space="preserve">ASSUMED: The IPAA needs member operators who are willing to contribute to best practice documentation — the guidelines and standards work requires industry participants who have documented protocols to share. Most small operators have not documented their protocols systematically.</w:t>
      </w:r>
    </w:p>
    <w:p>
      <w:pPr>
        <w:pBdr>
          <w:left w:val="single" w:color="E8A000" w:sz="12"/>
        </w:pBdr>
        <w:spacing w:after="80" w:before="80"/>
        <w:ind w:left="360"/>
      </w:pPr>
      <w:r>
        <w:rPr>
          <w:rFonts w:ascii="Arial" w:cs="Arial" w:eastAsia="Arial" w:hAnsi="Arial"/>
          <w:color w:val="7A4500"/>
          <w:sz w:val="22"/>
          <w:szCs w:val="22"/>
        </w:rPr>
        <w:t xml:space="preserve">ASSUMED: Regional agricultural operators are underrepresented in IPAA membership — most IPAA commercial members appear to be urban or peri-urban operations. A documented Lockyer Valley agricultural waste stream operation is a different and valuable industry profile.</w:t>
      </w:r>
    </w:p>
    <w:p>
      <w:pPr>
        <w:pBdr>
          <w:left w:val="single" w:color="2E7D32" w:sz="12"/>
        </w:pBdr>
        <w:spacing w:after="80" w:before="80"/>
        <w:ind w:left="360"/>
      </w:pPr>
      <w:r>
        <w:rPr>
          <w:rFonts w:ascii="Arial" w:cs="Arial" w:eastAsia="Arial" w:hAnsi="Arial"/>
          <w:color w:val="1B5E20"/>
          <w:sz w:val="22"/>
          <w:szCs w:val="22"/>
        </w:rPr>
        <w:t xml:space="preserve">WHAT YOU CAN GIVE: A documented protocol that is exactly what Rowland has publicly said the industry needs — your batch tracking system, substrate documentation, and operational manual are the kind of best practice material that the IPAA roadmap identifies as a priority. Sharing redacted versions of your protocol documentation with the IPAA contributes to the industry standards work.</w:t>
      </w:r>
    </w:p>
    <w:p>
      <w:pPr>
        <w:pBdr>
          <w:left w:val="single" w:color="2E7D32" w:sz="12"/>
        </w:pBdr>
        <w:spacing w:after="80" w:before="80"/>
        <w:ind w:left="360"/>
      </w:pPr>
      <w:r>
        <w:rPr>
          <w:rFonts w:ascii="Arial" w:cs="Arial" w:eastAsia="Arial" w:hAnsi="Arial"/>
          <w:color w:val="1B5E20"/>
          <w:sz w:val="22"/>
          <w:szCs w:val="22"/>
        </w:rPr>
        <w:t xml:space="preserve">WHAT YOU CAN GIVE: Regional agricultural waste stream data for the industry evidence base — the IPAA's industry surveys and market development work currently lacks data from operations like yours. Contributing to AgriFutures producer surveys and IPAA data collection strengthens the industry's case to government.</w:t>
      </w:r>
    </w:p>
    <w:p>
      <w:pPr>
        <w:pBdr>
          <w:left w:val="single" w:color="2E7D32" w:sz="12"/>
        </w:pBdr>
        <w:spacing w:after="80" w:before="80"/>
        <w:ind w:left="360"/>
      </w:pPr>
      <w:r>
        <w:rPr>
          <w:rFonts w:ascii="Arial" w:cs="Arial" w:eastAsia="Arial" w:hAnsi="Arial"/>
          <w:color w:val="1B5E20"/>
          <w:sz w:val="22"/>
          <w:szCs w:val="22"/>
        </w:rPr>
        <w:t xml:space="preserve">WHAT YOU CAN GIVE: A member who can engage substantively in regulatory consultation — your biological sciences background means you can read and respond to DAF and FSANZ consultation documents with technical credibility. Most IPAA members are commercial operators without this background.</w:t>
      </w:r>
    </w:p>
    <w:p>
      <w:pPr>
        <w:pBdr>
          <w:left w:val="single" w:color="1565C0" w:sz="12"/>
        </w:pBdr>
        <w:spacing w:after="80" w:before="80"/>
        <w:ind w:left="360"/>
      </w:pPr>
      <w:r>
        <w:rPr>
          <w:rFonts w:ascii="Arial" w:cs="Arial" w:eastAsia="Arial" w:hAnsi="Arial"/>
          <w:color w:val="0D47A1"/>
          <w:sz w:val="22"/>
          <w:szCs w:val="22"/>
        </w:rPr>
        <w:t xml:space="preserve">APPROACH: Join as a full member once commercial production begins. Attend one IPAA online event or webinar in your first six months. Engage in the IPAA feed subcommittee discussions if they align with your approved substrate work. Offer to share anonymised batch conversion data for the IPAA industry survey. The contribution is data and technical engagement, not time or money.</w:t>
      </w:r>
    </w:p>
    <w:p>
      <w:r>
        <w:t xml:space="preserve"/>
      </w:r>
    </w:p>
    <w:p>
      <w:r>
        <w:br w:type="page"/>
      </w:r>
    </w:p>
    <w:p>
      <w:pPr>
        <w:pStyle w:val="Heading2"/>
      </w:pPr>
      <w:r>
        <w:t xml:space="preserve">AgriFutures Australia — Emerging Insect Technology Hub</w:t>
      </w:r>
    </w:p>
    <w:p>
      <w:pPr>
        <w:spacing w:after="100"/>
      </w:pPr>
      <w:r>
        <w:rPr>
          <w:rFonts w:ascii="Arial" w:cs="Arial" w:eastAsia="Arial" w:hAnsi="Arial"/>
          <w:sz w:val="24"/>
          <w:szCs w:val="24"/>
        </w:rPr>
        <w:t xml:space="preserve">Rural Research and Development Corporation. Manages the five-year insect industry research program.</w:t>
      </w:r>
    </w:p>
    <w:p>
      <w:r>
        <w:t xml:space="preserve"/>
      </w:r>
    </w:p>
    <w:p>
      <w:pPr>
        <w:pBdr>
          <w:left w:val="single" w:color="C0392B" w:sz="12"/>
        </w:pBdr>
        <w:spacing w:after="80" w:before="80"/>
        <w:ind w:left="360"/>
      </w:pPr>
      <w:r>
        <w:rPr>
          <w:rFonts w:ascii="Arial" w:cs="Arial" w:eastAsia="Arial" w:hAnsi="Arial"/>
          <w:color w:val="922B21"/>
          <w:sz w:val="22"/>
          <w:szCs w:val="22"/>
        </w:rPr>
        <w:t xml:space="preserve">PUBLICLY STATED: The Australian insect industry needs commercial operators to co-invest in research — AgriFutures has publicly sought expressions of interest from insect farmers and suppliers to be involved in a five-year program through the Emerging Insect Technology Hub. The program requires close collaboration with industry participants, not just researchers.</w:t>
      </w:r>
    </w:p>
    <w:p>
      <w:pPr>
        <w:pBdr>
          <w:left w:val="single" w:color="C0392B" w:sz="12"/>
        </w:pBdr>
        <w:spacing w:after="80" w:before="80"/>
        <w:ind w:left="360"/>
      </w:pPr>
      <w:r>
        <w:rPr>
          <w:rFonts w:ascii="Arial" w:cs="Arial" w:eastAsia="Arial" w:hAnsi="Arial"/>
          <w:color w:val="922B21"/>
          <w:sz w:val="22"/>
          <w:szCs w:val="22"/>
        </w:rPr>
        <w:t xml:space="preserve">PUBLICLY STATED: Industry data is scarce and most operators are too small or too guarded to contribute — AgriFutures' own research (the Nolet 2020 report) identified that most Australian insect businesses have 1-3 employees and are in startup stages. Their producer surveys are hampered by low participation and reluctance to share production data.</w:t>
      </w:r>
    </w:p>
    <w:p>
      <w:pPr>
        <w:pBdr>
          <w:left w:val="single" w:color="C0392B" w:sz="12"/>
        </w:pBdr>
        <w:spacing w:after="80" w:before="80"/>
        <w:ind w:left="360"/>
      </w:pPr>
      <w:r>
        <w:rPr>
          <w:rFonts w:ascii="Arial" w:cs="Arial" w:eastAsia="Arial" w:hAnsi="Arial"/>
          <w:color w:val="922B21"/>
          <w:sz w:val="22"/>
          <w:szCs w:val="22"/>
        </w:rPr>
        <w:t xml:space="preserve">PUBLICLY STATED: The industry needs documentation of what works at small commercial scale — the AgriFutures research agenda explicitly includes foundational research initiatives and industry guideline development. Real-world small-scale operator data is foundational to this work.</w:t>
      </w:r>
    </w:p>
    <w:p>
      <w:pPr>
        <w:pBdr>
          <w:left w:val="single" w:color="E8A000" w:sz="12"/>
        </w:pBdr>
        <w:spacing w:after="80" w:before="80"/>
        <w:ind w:left="360"/>
      </w:pPr>
      <w:r>
        <w:rPr>
          <w:rFonts w:ascii="Arial" w:cs="Arial" w:eastAsia="Arial" w:hAnsi="Arial"/>
          <w:color w:val="7A4500"/>
          <w:sz w:val="22"/>
          <w:szCs w:val="22"/>
        </w:rPr>
        <w:t xml:space="preserve">ASSUMED: The EIT Hub's research program needs diverse field sites across different geographic regions and waste stream types — most of the published Australian BSFL research is concentrated in urban sites or laboratory settings. A regional agricultural site in the Lockyer Valley is a gap.</w:t>
      </w:r>
    </w:p>
    <w:p>
      <w:pPr>
        <w:pBdr>
          <w:left w:val="single" w:color="E8A000" w:sz="12"/>
        </w:pBdr>
        <w:spacing w:after="80" w:before="80"/>
        <w:ind w:left="360"/>
      </w:pPr>
      <w:r>
        <w:rPr>
          <w:rFonts w:ascii="Arial" w:cs="Arial" w:eastAsia="Arial" w:hAnsi="Arial"/>
          <w:color w:val="7A4500"/>
          <w:sz w:val="22"/>
          <w:szCs w:val="22"/>
        </w:rPr>
        <w:t xml:space="preserve">ASSUMED: AgriFutures has grant funds that require industry co-investment to access — ARC Linkage Grants and similar programs require industry partners. An IPAA-registered commercial operator with documented batch data is a credible co-investigator for grant applications that AgriFutures manages.</w:t>
      </w:r>
    </w:p>
    <w:p>
      <w:pPr>
        <w:pBdr>
          <w:left w:val="single" w:color="2E7D32" w:sz="12"/>
        </w:pBdr>
        <w:spacing w:after="80" w:before="80"/>
        <w:ind w:left="360"/>
      </w:pPr>
      <w:r>
        <w:rPr>
          <w:rFonts w:ascii="Arial" w:cs="Arial" w:eastAsia="Arial" w:hAnsi="Arial"/>
          <w:color w:val="1B5E20"/>
          <w:sz w:val="22"/>
          <w:szCs w:val="22"/>
        </w:rPr>
        <w:t xml:space="preserve">WHAT YOU CAN GIVE: Documented, anonymised production data for the industry evidence base — your batch tracking system generates exactly the data that AgriFutures' industry surveys are trying to collect. Participating consistently in their producer surveys is a low-effort, high-impact contribution.</w:t>
      </w:r>
    </w:p>
    <w:p>
      <w:pPr>
        <w:pBdr>
          <w:left w:val="single" w:color="2E7D32" w:sz="12"/>
        </w:pBdr>
        <w:spacing w:after="80" w:before="80"/>
        <w:ind w:left="360"/>
      </w:pPr>
      <w:r>
        <w:rPr>
          <w:rFonts w:ascii="Arial" w:cs="Arial" w:eastAsia="Arial" w:hAnsi="Arial"/>
          <w:color w:val="1B5E20"/>
          <w:sz w:val="22"/>
          <w:szCs w:val="22"/>
        </w:rPr>
        <w:t xml:space="preserve">WHAT YOU CAN GIVE: A Lockyer Valley field site for research programs that need regional agricultural waste stream data — this fills a documented gap in the research geography.</w:t>
      </w:r>
    </w:p>
    <w:p>
      <w:pPr>
        <w:pBdr>
          <w:left w:val="single" w:color="2E7D32" w:sz="12"/>
        </w:pBdr>
        <w:spacing w:after="80" w:before="80"/>
        <w:ind w:left="360"/>
      </w:pPr>
      <w:r>
        <w:rPr>
          <w:rFonts w:ascii="Arial" w:cs="Arial" w:eastAsia="Arial" w:hAnsi="Arial"/>
          <w:color w:val="1B5E20"/>
          <w:sz w:val="22"/>
          <w:szCs w:val="22"/>
        </w:rPr>
        <w:t xml:space="preserve">WHAT YOU CAN GIVE: A commercially operating example of the small-scale licensed protocol model that AgriFutures is interested in — the licensing model in your business plan is explicitly the kind of scalable, replicable approach that AgriFutures' industry development agenda is trying to build.</w:t>
      </w:r>
    </w:p>
    <w:p>
      <w:pPr>
        <w:pBdr>
          <w:left w:val="single" w:color="1565C0" w:sz="12"/>
        </w:pBdr>
        <w:spacing w:after="80" w:before="80"/>
        <w:ind w:left="360"/>
      </w:pPr>
      <w:r>
        <w:rPr>
          <w:rFonts w:ascii="Arial" w:cs="Arial" w:eastAsia="Arial" w:hAnsi="Arial"/>
          <w:color w:val="0D47A1"/>
          <w:sz w:val="22"/>
          <w:szCs w:val="22"/>
        </w:rPr>
        <w:t xml:space="preserve">APPROACH: Register as an insect producer on the AgriFutures database in week one. Subscribe to EIT Hub communications. When an expression of interest for the five-year research program opens, submit a brief response noting your operation, your waste stream, and your batch tracking documentation. The EIT Hub is specifically looking for diverse operators — regional agricultural is a differentiating attribute.</w:t>
      </w:r>
    </w:p>
    <w:p>
      <w:r>
        <w:t xml:space="preserve"/>
      </w:r>
    </w:p>
    <w:p>
      <w:r>
        <w:br w:type="page"/>
      </w:r>
    </w:p>
    <w:p>
      <w:pPr>
        <w:pStyle w:val="Heading1"/>
      </w:pPr>
      <w:r>
        <w:t xml:space="preserve">Summary — What You Have That Others Need</w:t>
      </w:r>
    </w:p>
    <w:p>
      <w:pPr>
        <w:spacing w:after="100"/>
      </w:pPr>
      <w:r>
        <w:rPr>
          <w:rFonts w:ascii="Arial" w:cs="Arial" w:eastAsia="Arial" w:hAnsi="Arial"/>
          <w:sz w:val="24"/>
          <w:szCs w:val="24"/>
        </w:rPr>
        <w:t xml:space="preserve">Across all the pain points above, a consistent picture emerges. Your operation addresses a specific and recurring gap in the Australian BSFL ecosystem that is independently valuable to almost everyone in the directory.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you have</w:t>
            </w:r>
          </w:p>
        </w:tc>
        <w:tc>
          <w:tcPr>
            <w:tcW w:type="dxa" w:w="5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Who needs it and why</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batch data from a regional agricultural waste stream</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Hoffman, Alagappan, Cozzolino: fills a gap in the published literature which has only urban waste stream data. AgriFutures: fills a gap in their producer survey dataset. IPAA: strengthens the industry evidence base for regulatory discussions.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proximate commercial field site 20 minutes from UQ Gatton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Hoffman and Alagappan: eliminates interstate sample shipping that degrades material. Reduces cost and logistics for sample collection. Enables fresh-sample nutritional analysis that shipped samples cannot support.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traceability and documentation from day one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Yee: required for pharmaceutical chitosan research. Hoffman: required for metabolizable energy and safety research. IPAA: the kind of best practice documentation the industry roadmap identifies as a priority.</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Wild BSF integration from a subtropical agricultural creek environment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Zenger: Lockyer Valley wild population genetics from a location not represented in his FlyFarm data. Potential longitudinal wild-captive integration dataset that no current research site provides.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olive grove as an agricultural frass test site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Andrew: a productive food-bearing tree crop test site that is more agriculturally significant than the constructed landscape DTMR trial. Enables before-and-after soil carbon and yield data.</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documented licensed protocol model at small commercial scale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 an example of the scalable, replicable model their industry development agenda is trying to build. IPAA: a best practice documentation model that addresses Rowland's stated priority.</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Biological sciences background enabling peer-level technical engagement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researchers: you are not asking them to translate. You can engage with their methodology, read their papers critically, and contribute to research design rather than just providing samples. This makes the partnership more productive for them.</w:t>
            </w:r>
          </w:p>
        </w:tc>
      </w:tr>
    </w:tbl>
    <w:p>
      <w:r>
        <w:t xml:space="preserve"/>
      </w:r>
    </w:p>
    <w:p>
      <w:pPr>
        <w:spacing w:after="100"/>
      </w:pPr>
      <w:r>
        <w:rPr>
          <w:rFonts w:ascii="Arial" w:cs="Arial" w:eastAsia="Arial" w:hAnsi="Arial"/>
          <w:sz w:val="24"/>
          <w:szCs w:val="24"/>
        </w:rPr>
        <w:t xml:space="preserve">The consistent thread across all of these is that what you have is documented data from an under-represented context — regional, agricultural, small-scale, wild-integrated. This is not a gap you can fill with money or connections. It is a gap you fill by operating well, documenting systematically, and being willing to share. The documentation infrastructure you have already built is the asset. The relationship-building is just the distribution mechanism.</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2026-04-23T01:18:01.903Z</dcterms:created>
  <dcterms:modified xsi:type="dcterms:W3CDTF">2026-04-23T01:18:01.904Z</dcterms:modified>
</cp:coreProperties>
</file>

<file path=docProps/custom.xml><?xml version="1.0" encoding="utf-8"?>
<Properties xmlns="http://schemas.openxmlformats.org/officeDocument/2006/custom-properties" xmlns:vt="http://schemas.openxmlformats.org/officeDocument/2006/docPropsVTypes"/>
</file>