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48"/>
          <w:szCs w:val="48"/>
        </w:rPr>
        <w:t xml:space="preserve">BSFL Farm — Risk Management Plan</w:t>
      </w:r>
    </w:p>
    <w:p>
      <w:pPr>
        <w:spacing w:after="40"/>
      </w:pPr>
      <w:r>
        <w:rPr>
          <w:rFonts w:ascii="Arial" w:cs="Arial" w:eastAsia="Arial" w:hAnsi="Arial"/>
          <w:color w:val="666666"/>
          <w:sz w:val="20"/>
          <w:szCs w:val="20"/>
        </w:rPr>
        <w:t xml:space="preserve">658 Lefthand Branch Rd, Lockyer Valley QLD  |  April 2026  |  Prepared in accordance with AS ISO 31000:2018</w:t>
      </w:r>
    </w:p>
    <w:p>
      <w:pPr>
        <w:pBdr>
          <w:bottom w:val="single" w:color="CCCCCC" w:sz="4" w:space="1"/>
        </w:pBdr>
        <w:spacing w:after="280"/>
      </w:pPr>
      <w:r>
        <w:rPr>
          <w:rFonts w:ascii="Arial" w:cs="Arial" w:eastAsia="Arial" w:hAnsi="Arial"/>
          <w:color w:val="888888"/>
          <w:sz w:val="18"/>
          <w:szCs w:val="18"/>
        </w:rPr>
        <w:t xml:space="preserve">For own operational use  |  Qualitative risk assessment  |  Focus on contingency planning and early warning indicators</w:t>
      </w:r>
    </w:p>
    <w:p>
      <w:r>
        <w:t xml:space="preserve"/>
      </w:r>
    </w:p>
    <w:p>
      <w:pPr>
        <w:pStyle w:val="Heading2"/>
      </w:pPr>
      <w:r>
        <w:t xml:space="preserve">Risk context</w:t>
      </w:r>
    </w:p>
    <w:p>
      <w:pPr>
        <w:spacing w:after="100"/>
      </w:pPr>
      <w:r>
        <w:rPr>
          <w:rFonts w:ascii="Arial" w:cs="Arial" w:eastAsia="Arial" w:hAnsi="Arial"/>
          <w:sz w:val="24"/>
          <w:szCs w:val="24"/>
        </w:rPr>
        <w:t xml:space="preserve">This risk management plan is prepared in accordance with AS ISO 31000:2018 Risk Management Guidelines. It is designed for operational use — identifying the risks most likely to cause actual harm to the business, the controls already in place, the early warning signs that a risk is materialising, and the specific response actions required.</w:t>
      </w:r>
    </w:p>
    <w:p>
      <w:pPr>
        <w:spacing w:after="100"/>
      </w:pPr>
      <w:r>
        <w:rPr>
          <w:rFonts w:ascii="Arial" w:cs="Arial" w:eastAsia="Arial" w:hAnsi="Arial"/>
          <w:sz w:val="24"/>
          <w:szCs w:val="24"/>
        </w:rPr>
        <w:t xml:space="preserve">The defining financial constraint for this operation is a $2,000 loss threshold in the first six months. A loss of this magnitude before the operation reaches sustained profitability would be catastrophic. Risk treatments are therefore calibrated to this constraint — controls that cost money to implement are only recommended where the expected loss from the risk they address clearly exceeds their cost.</w:t>
      </w:r>
    </w:p>
    <w:p>
      <w:pPr>
        <w:spacing w:after="100"/>
      </w:pPr>
      <w:r>
        <w:rPr>
          <w:rFonts w:ascii="Arial" w:cs="Arial" w:eastAsia="Arial" w:hAnsi="Arial"/>
          <w:sz w:val="24"/>
          <w:szCs w:val="24"/>
        </w:rPr>
        <w:t xml:space="preserve">The risk register is organised by domain. Within each domain, risks are rated by their residual rating after existing controls are applied. The register should be reviewed at each quarterly business review and updated when significant operational changes occur.</w:t>
      </w:r>
    </w:p>
    <w:p>
      <w:r>
        <w:t xml:space="preserve"/>
      </w:r>
    </w:p>
    <w:p>
      <w:pPr>
        <w:pStyle w:val="Heading2"/>
      </w:pPr>
      <w:r>
        <w:t xml:space="preserve">Rating scale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Likelihood x Consequence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 for this operation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likely AND severe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Could end the operation or cause loss above $2,000 in months 1-6. Requires active preventive controls and a tested response plan.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Likely OR severe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Could cause significant production loss, reputational damage, or loss of $500-2,000. Requires preventive controls and a documented response.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Possible and moderate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Could cause disruption, minor financial loss, or require unplanned work. Manage with monitoring and basic contingency.</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Unlikely or minor consequence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only. No active controls required unless rating changes.</w:t>
            </w:r>
          </w:p>
        </w:tc>
      </w:tr>
    </w:tbl>
    <w:p>
      <w:r>
        <w:t xml:space="preserve"/>
      </w:r>
    </w:p>
    <w:p>
      <w:pPr>
        <w:pBdr>
          <w:left w:val="single" w:color="E8A000" w:sz="12"/>
        </w:pBdr>
        <w:spacing w:after="80" w:before="80"/>
        <w:ind w:left="360"/>
      </w:pPr>
      <w:r>
        <w:rPr>
          <w:rFonts w:ascii="Arial" w:cs="Arial" w:eastAsia="Arial" w:hAnsi="Arial"/>
          <w:color w:val="7A4500"/>
          <w:sz w:val="22"/>
          <w:szCs w:val="22"/>
        </w:rPr>
        <w:t xml:space="preserve">CAUTION: Cascade failure note: The most dangerous risk scenario for this operation is not any single risk but the sequence where one event causes a financial shortfall that prevents recovery from a second event. The risks rated CRITICAL below are those capable of triggering a cascade. They must be treated as the highest priority regardless of their individual likelihood rating.</w:t>
      </w:r>
    </w:p>
    <w:p>
      <w:r>
        <w:t xml:space="preserve"/>
      </w:r>
    </w:p>
    <w:p>
      <w:r>
        <w:br w:type="page"/>
      </w:r>
    </w:p>
    <w:p>
      <w:pPr>
        <w:pStyle w:val="Heading1"/>
      </w:pPr>
      <w:r>
        <w:t xml:space="preserve">Domain 1 — Financial Risks</w:t>
      </w:r>
    </w:p>
    <w:p>
      <w:pPr>
        <w:spacing w:after="100"/>
      </w:pPr>
      <w:r>
        <w:rPr>
          <w:rFonts w:ascii="Arial" w:cs="Arial" w:eastAsia="Arial" w:hAnsi="Arial"/>
          <w:sz w:val="24"/>
          <w:szCs w:val="24"/>
        </w:rPr>
        <w:t xml:space="preserve">Financial risks are the highest-priority domain given the $2,000 loss threshold and low available capital buffer in months 1-6. The key vulnerability is customer concentration — in the early months, losing one or two key customers can eliminate the revenue needed to cover operating costs.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900"/>
        <w:gridCol w:w="1000"/>
        <w:gridCol w:w="700"/>
        <w:gridCol w:w="2000"/>
        <w:gridCol w:w="1500"/>
        <w:gridCol w:w="1726"/>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Risk</w:t>
            </w:r>
          </w:p>
        </w:tc>
        <w:tc>
          <w:tcPr>
            <w:tcW w:type="dxa" w:w="9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Likelihood</w:t>
            </w:r>
          </w:p>
        </w:tc>
        <w:tc>
          <w:tcPr>
            <w:tcW w:type="dxa" w:w="1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Consequence</w:t>
            </w:r>
          </w:p>
        </w:tc>
        <w:tc>
          <w:tcPr>
            <w:tcW w:type="dxa" w:w="7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Rating</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Existing controls</w:t>
            </w:r>
          </w:p>
        </w:tc>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Early warning indicators</w:t>
            </w:r>
          </w:p>
        </w:tc>
        <w:tc>
          <w:tcPr>
            <w:tcW w:type="dxa" w:w="1726"/>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Response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F1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Revenue below projection in months 1-3. Insufficient sales to cover substrate and packaging costs.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 pre-sell not yet confirmed, first customers not yet acquired.</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Severe — operating loss accumulates faster than revenue. Could breach $2,000 threshold within 6-8 weeks.</w:t>
            </w:r>
          </w:p>
        </w:tc>
        <w:tc>
          <w:tcPr>
            <w:tcW w:type="dxa" w:w="7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6"/>
                <w:szCs w:val="16"/>
              </w:rPr>
              <w:t xml:space="preserve">CRITICAL</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Pre-sell protocol in Facebook groups before first harvest. Market stall generates immediate cash. Multiple product lines reduce dependence on any single revenue stream.</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Week 4: fewer than 3 confirmed buyers. Week 6: live larvae revenue below $500.</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Immediately increase Facebook group presence. Approach local pet stores in person with sample pack. Add a second market stall day. Consider reducing substrate volume to reduce costs until revenue is confirmed.</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F2</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Single large customer lost (wholesale pet store or farm contract cancels).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customer relationships are new and unproven in months 1-6.</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 loss of $800-1,200/month recurring revenue. Could cause cash shortfall if not replaced within 4 weeks.</w:t>
            </w:r>
          </w:p>
        </w:tc>
        <w:tc>
          <w:tcPr>
            <w:tcW w:type="dxa" w:w="7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r>
              <w:rPr>
                <w:rFonts w:ascii="Arial" w:cs="Arial" w:eastAsia="Arial" w:hAnsi="Arial"/>
                <w:b/>
                <w:bCs/>
                <w:color w:val="FFFFFF"/>
                <w:sz w:val="16"/>
                <w:szCs w:val="16"/>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Multiple customer channels: direct, wholesale, market stall, online. No single customer exceeds 40% of revenue in the business plan projections.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Customer misses two consecutive orders. Customer requests reduced quantity two months in a row. Competitor product appears on their shelves.</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Contact customer immediately to understand the issue. If quality-related, address and offer replacement stock. If price-related, review margin before discounting. Accelerate acquisition of a replacement wholesale account within 2 weeks.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F3</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Build cost overrun exceeds available capital before operation is producing revenue.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secondhand sourcing and LVL stock reduce this risk significantly. Electrician and trench costs are the main variables.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 delays production start, increases debt or personal financial stress.</w:t>
            </w:r>
          </w:p>
        </w:tc>
        <w:tc>
          <w:tcPr>
            <w:tcW w:type="dxa" w:w="7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r>
              <w:rPr>
                <w:rFonts w:ascii="Arial" w:cs="Arial" w:eastAsia="Arial" w:hAnsi="Arial"/>
                <w:b/>
                <w:bCs/>
                <w:color w:val="FFFFFF"/>
                <w:sz w:val="16"/>
                <w:szCs w:val="16"/>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Phased spend profile in construction planning document. Extension lead temporary power eliminates need to complete trench before first production. LVL stock replaces $1,400-2,100 of new timber cost.</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Phase 2 actual cost exceeds estimate by more than $300. Electrician quote comes in above $800. Secondhand items cannot be sourced within 2 weeks of need.</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Defer Phase 4 processing station until first revenue is received. Use extension leads for longer if needed. Substitute new items for secondhand equivalents only where production is blocked.</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F4</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Partner dispute results in operational disruption or legal cost.</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Low-medium — shareholders agreement not yet signed. Risk increases significantly if operation starts before agreement is in place.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Severe — legal costs alone could exceed $2,000. Operational disruption could halt production during dispute.</w:t>
            </w:r>
          </w:p>
        </w:tc>
        <w:tc>
          <w:tcPr>
            <w:tcW w:type="dxa" w:w="7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6"/>
                <w:szCs w:val="16"/>
              </w:rPr>
              <w:t xml:space="preserve">CRITICAL</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Shareholders agreement to be signed before any revenue is generated. IP ownership clause clearly specifying rearing protocol belongs to the company, not either individual. 51% casting vote for operational decisions.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Partner unresponsive to operational communications for more than 5 days. Disagreement about a specific decision that cannot be resolved in one conversation. Either party expressing dissatisfaction with equity split.</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Refer immediately to the dispute resolution clause in the shareholders agreement. If unresolved in 7 days, engage the agreed mediator or solicitor. Do not allow a dispute to run without a formal process — unresolved disputes escalate rapidly.</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F5</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GST or BAS compliance error results in ATO penalty.</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 — Wave Accounting is set up from day one. Risk is highest in first BAS quarter.</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ATO penalties for late or incorrect BAS are typically $220 per period but can escalate.</w:t>
            </w:r>
          </w:p>
        </w:tc>
        <w:tc>
          <w:tcPr>
            <w:tcW w:type="dxa" w:w="7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r>
              <w:rPr>
                <w:rFonts w:ascii="Arial" w:cs="Arial" w:eastAsia="Arial" w:hAnsi="Arial"/>
                <w:b/>
                <w:bCs/>
                <w:color w:val="000000"/>
                <w:sz w:val="16"/>
                <w:szCs w:val="16"/>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Wave Accounting from day one. GST registration from day one. Partner handling BAS preparation support. First BAS quarter is the highest risk period — book accountant review for that quarter only.</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Unfamiliar transaction type. Uncertainty about GST treatment of a product sale. Partner unavailable during BAS period.</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Call ATO business line: 13 28 66. They provide free guidance on GST treatment. Do not guess on BAS — call first.</w:t>
            </w:r>
          </w:p>
        </w:tc>
      </w:tr>
    </w:tbl>
    <w:p>
      <w:r>
        <w:t xml:space="preserve"/>
      </w:r>
    </w:p>
    <w:p>
      <w:r>
        <w:br w:type="page"/>
      </w:r>
    </w:p>
    <w:p>
      <w:pPr>
        <w:pStyle w:val="Heading1"/>
      </w:pPr>
      <w:r>
        <w:t xml:space="preserve">Domain 2 — Biological Risks</w:t>
      </w:r>
    </w:p>
    <w:p>
      <w:pPr>
        <w:spacing w:after="100"/>
      </w:pPr>
      <w:r>
        <w:rPr>
          <w:rFonts w:ascii="Arial" w:cs="Arial" w:eastAsia="Arial" w:hAnsi="Arial"/>
          <w:sz w:val="24"/>
          <w:szCs w:val="24"/>
        </w:rPr>
        <w:t xml:space="preserve">Biological risks are the most operationally complex because they involve living systems that cannot be fully controlled. The key principle for this domain is redundancy — the emergency house colony, the research stream genetic diversity program, and the wild integration protocol all exist specifically to ensure no single biological event can permanently destroy the production capability.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900"/>
        <w:gridCol w:w="1000"/>
        <w:gridCol w:w="700"/>
        <w:gridCol w:w="2000"/>
        <w:gridCol w:w="1500"/>
        <w:gridCol w:w="1726"/>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Risk</w:t>
            </w:r>
          </w:p>
        </w:tc>
        <w:tc>
          <w:tcPr>
            <w:tcW w:type="dxa" w:w="9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Likelihood</w:t>
            </w:r>
          </w:p>
        </w:tc>
        <w:tc>
          <w:tcPr>
            <w:tcW w:type="dxa" w:w="1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Consequence</w:t>
            </w:r>
          </w:p>
        </w:tc>
        <w:tc>
          <w:tcPr>
            <w:tcW w:type="dxa" w:w="7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Rating</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Existing controls</w:t>
            </w:r>
          </w:p>
        </w:tc>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Early warning indicators</w:t>
            </w:r>
          </w:p>
        </w:tc>
        <w:tc>
          <w:tcPr>
            <w:tcW w:type="dxa" w:w="1726"/>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Response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B1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Colony crash — adult population dies, egg production stops, rearing IBCs cannot be restocked.</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highest risk in first winter before the colony is well-established and the thermal system is proven.</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Severe — production halts within 12-14 days of last egg collection. Revenue loss of $1,500-2,500 depending on timing.</w:t>
            </w:r>
          </w:p>
        </w:tc>
        <w:tc>
          <w:tcPr>
            <w:tcW w:type="dxa" w:w="7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6"/>
                <w:szCs w:val="16"/>
              </w:rPr>
              <w:t xml:space="preserve">CRITICAL</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Emergency house colony maintained with 20-30 pupae monthly. Wild integration trap active September to April. Research stream pupae released to colony for genetic diversity. Colony enclosure independent thermal system.</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Egg mass count below 3 per day for 3 consecutive days. Adult population visibly reduced. Heating indicator permanently on in winter.</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Immediately check thermostat and lamp function. Transfer house colony adults to main enclosure. If house colony also failed, purchase 500 pupae express post ($40-60). Bridge rearing IBC gap with purchased larvae if available.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B2</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Substrate batch failure — larvae abandon substrate or mass mortality mid-batch.</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most likely in first 2 months before substrate recipe and supplier quality are dialled in.</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 loss of one batch equals loss of approximately $500-800 in foregone revenue plus wasted substrate cost.</w:t>
            </w:r>
          </w:p>
        </w:tc>
        <w:tc>
          <w:tcPr>
            <w:tcW w:type="dxa" w:w="7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r>
              <w:rPr>
                <w:rFonts w:ascii="Arial" w:cs="Arial" w:eastAsia="Arial" w:hAnsi="Arial"/>
                <w:b/>
                <w:bCs/>
                <w:color w:val="FFFFFF"/>
                <w:sz w:val="16"/>
                <w:szCs w:val="16"/>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Squeeze test moisture protocol. Approved substrate list. Two-tier rejection protocol for waste deliveries. Daily visual and smell checks. Batch tracking records enable pattern identification.</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Ammonia smell from IBC on days 3-5. More than 10% of larvae climbing walls before day 8. Thermostat reading above 33 degrees C.</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Add dry bran immediately if ammonia present. Check thermostat if overheating. If more than 20% larvae dead or smell is sulphur, harvest remaining live larvae and unload the batch. Do not attempt to rescue — reload with fresh substrate.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B3</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Disease or pathogen introduction to rearing IBCs — bacterial or fungal contamination causing widespread larval mortality.</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 — BSFL are naturally disease-resistant. Risk increases with poor hygiene between batches.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 could affect multiple IBCs simultaneously if not contained. Loss of $1,500-2,000 across all active batches.</w:t>
            </w:r>
          </w:p>
        </w:tc>
        <w:tc>
          <w:tcPr>
            <w:tcW w:type="dxa" w:w="700"/>
            <w:tcBorders>
              <w:top w:val="single" w:color="CCCCCC" w:sz="1"/>
              <w:left w:val="single" w:color="CCCCCC" w:sz="1"/>
              <w:bottom w:val="single" w:color="CCCCCC" w:sz="1"/>
              <w:right w:val="single" w:color="CCCCCC" w:sz="1"/>
            </w:tcBorders>
            <w:shd w:fill="F1C40F" w:val="clear"/>
            <w:tcMar>
              <w:top w:type="dxa" w:w="60"/>
              <w:left w:type="dxa" w:w="80"/>
              <w:bottom w:type="dxa" w:w="60"/>
              <w:right w:type="dxa" w:w="80"/>
            </w:tcMar>
          </w:tcPr>
          <w:p>
            <w:r>
              <w:rPr>
                <w:rFonts w:ascii="Arial" w:cs="Arial" w:eastAsia="Arial" w:hAnsi="Arial"/>
                <w:b/>
                <w:bCs/>
                <w:color w:val="000000"/>
                <w:sz w:val="16"/>
                <w:szCs w:val="16"/>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Full IBC cleaning protocol between every batch. Screen frame and ramp cleaned between batches. No sharing of equipment between commercial and research streams without cleaning. Batch tracking enables rapid source identification.</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Unusual mortality pattern across multiple IBCs simultaneously. Black or discoloured larvae appearing across multiple batches. Unfamiliar smell not matching normal substrate failure.</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Immediately quarantine the affected IBC — do not share any equipment with other IBCs. Unload and discard affected substrate. Deep clean with dilute bleach solution (5ml per litre water), rinse twice, air dry 48 hours before reloading. If multiple IBCs affected simultaneously, suspend production and identify the common factor.</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B4</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Genetic bottleneck — captive colony becomes inbred, egg production and larval vigour declining over 6-12 months.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 in year 1 — high risk in year 2+ if wild integration is not maintained consistently.</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gradual production decline that is easy to misdiagnose as substrate or thermal management issues.</w:t>
            </w:r>
          </w:p>
        </w:tc>
        <w:tc>
          <w:tcPr>
            <w:tcW w:type="dxa" w:w="7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r>
              <w:rPr>
                <w:rFonts w:ascii="Arial" w:cs="Arial" w:eastAsia="Arial" w:hAnsi="Arial"/>
                <w:b/>
                <w:bCs/>
                <w:color w:val="000000"/>
                <w:sz w:val="16"/>
                <w:szCs w:val="16"/>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Wild integration trap active during season. Research stream prepupae released to colony monthly. Batch records track conversion ratio trends over time — declining ratio over multiple months is a key signal.</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Conversion ratio declining across all four IBCs over 3+ consecutive months without any other explanation. Larvae noticeably smaller at harvest than earlier batches.</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Purchase and introduce a genetically unrelated starter culture from a geographically distant supplier. Deploy wild trap intensively for 4-6 weeks. Increase research stream frequency temporarily to accelerate genetic diversity input.</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B5</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Wild animal interference — rats, cane toads, snakes, or birds accessing the rearing IBCs or colony enclosure.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 rural Lockyer Valley location with creek vegetation nearby means significant wildlife pressure year-round.</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direct larvae loss from predation, contamination of substrate, or damage to equipment. Indirect risk of disease introduction.</w:t>
            </w:r>
          </w:p>
        </w:tc>
        <w:tc>
          <w:tcPr>
            <w:tcW w:type="dxa" w:w="7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r>
              <w:rPr>
                <w:rFonts w:ascii="Arial" w:cs="Arial" w:eastAsia="Arial" w:hAnsi="Arial"/>
                <w:b/>
                <w:bCs/>
                <w:color w:val="FFFFFF"/>
                <w:sz w:val="16"/>
                <w:szCs w:val="16"/>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IBC lids with flyscreen mesh sealed. Colony enclosure with 1mm mesh on all openings. Tunnel base edges buried. Receiving bay lockable diversion bin. North face windbreak closes at night.</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Evidence of gnawing on tunnel plastic or equipment. Droppings inside tunnel. Missing larvae from collection buckets overnight. Unusual mortality without substrate explanation.</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Identify entry point and seal immediately. Set snap traps for rodents in receiving bay — not inside the tunnel where dead animals contaminate substrate. Check all tunnel base edge burials for gaps after any heavy rain. Do not use rodent poison near the tunnel — dead rodents near substrate are a contamination risk.</w:t>
            </w:r>
          </w:p>
        </w:tc>
      </w:tr>
    </w:tbl>
    <w:p>
      <w:r>
        <w:t xml:space="preserve"/>
      </w:r>
    </w:p>
    <w:p>
      <w:r>
        <w:br w:type="page"/>
      </w:r>
    </w:p>
    <w:p>
      <w:pPr>
        <w:pStyle w:val="Heading1"/>
      </w:pPr>
      <w:r>
        <w:t xml:space="preserve">Domain 3 — Operational Risks</w:t>
      </w:r>
    </w:p>
    <w:p>
      <w:pPr>
        <w:spacing w:after="100"/>
      </w:pPr>
      <w:r>
        <w:rPr>
          <w:rFonts w:ascii="Arial" w:cs="Arial" w:eastAsia="Arial" w:hAnsi="Arial"/>
          <w:sz w:val="24"/>
          <w:szCs w:val="24"/>
        </w:rPr>
        <w:t xml:space="preserve">Operational risks cover equipment failure, supply chain disruption, and process failures. The key characteristic of operational risks for this business is that most of them have low cost responses — secondhand replacements, manual workarounds, or supplier substitution — that prevent them escalating to financial risks.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900"/>
        <w:gridCol w:w="1000"/>
        <w:gridCol w:w="700"/>
        <w:gridCol w:w="2000"/>
        <w:gridCol w:w="1500"/>
        <w:gridCol w:w="1726"/>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Risk</w:t>
            </w:r>
          </w:p>
        </w:tc>
        <w:tc>
          <w:tcPr>
            <w:tcW w:type="dxa" w:w="9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Likelihood</w:t>
            </w:r>
          </w:p>
        </w:tc>
        <w:tc>
          <w:tcPr>
            <w:tcW w:type="dxa" w:w="1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Consequence</w:t>
            </w:r>
          </w:p>
        </w:tc>
        <w:tc>
          <w:tcPr>
            <w:tcW w:type="dxa" w:w="7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Rating</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Existing controls</w:t>
            </w:r>
          </w:p>
        </w:tc>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Early warning indicators</w:t>
            </w:r>
          </w:p>
        </w:tc>
        <w:tc>
          <w:tcPr>
            <w:tcW w:type="dxa" w:w="1726"/>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Response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O1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Dehydrator failure — element or motor fails, halting dried larvae and frass production.</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secondhand unit running continuously is the most failure-prone piece of equipment in the operation.</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 dried larvae production halts. Frass processing slows to passive solar only. Revenue impact $500-800 per week at peak.</w:t>
            </w:r>
          </w:p>
        </w:tc>
        <w:tc>
          <w:tcPr>
            <w:tcW w:type="dxa" w:w="7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r>
              <w:rPr>
                <w:rFonts w:ascii="Arial" w:cs="Arial" w:eastAsia="Arial" w:hAnsi="Arial"/>
                <w:b/>
                <w:bCs/>
                <w:color w:val="FFFFFF"/>
                <w:sz w:val="16"/>
                <w:szCs w:val="16"/>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Dehydrator is secondhand and low-cost to replace ($55-70). Passive solar drying provides partial frass processing capability without the dehydrator. Live larvae pathway continues unaffected.</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Tray temperatures uneven or below 50 degrees C at midpoint of run. Unusual smell from unit during operation. Unit failing to reach 60 degrees C within 30 minutes of start.</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Source replacement dehydrator on Facebook Marketplace immediately — there is almost always a secondhand unit available within 50km. Target 48-hour replacement. Prioritise frass solar drying in the interim. Redirect larvae from dried pathway to live pathway if possible to maintain revenue.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O2</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Heat mat failure — one or more IBC heat mats stop functioning.</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heat mats run continuously and have a typical lifespan of 12-24 months.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affected IBC substrate temperature drops. Production from that IBC compromised. One IBC loss equals approximately 25% of weekly output.</w:t>
            </w:r>
          </w:p>
        </w:tc>
        <w:tc>
          <w:tcPr>
            <w:tcW w:type="dxa" w:w="700"/>
            <w:tcBorders>
              <w:top w:val="single" w:color="CCCCCC" w:sz="1"/>
              <w:left w:val="single" w:color="CCCCCC" w:sz="1"/>
              <w:bottom w:val="single" w:color="CCCCCC" w:sz="1"/>
              <w:right w:val="single" w:color="CCCCCC" w:sz="1"/>
            </w:tcBorders>
            <w:shd w:fill="F1C40F" w:val="clear"/>
            <w:tcMar>
              <w:top w:type="dxa" w:w="60"/>
              <w:left w:type="dxa" w:w="80"/>
              <w:bottom w:type="dxa" w:w="60"/>
              <w:right w:type="dxa" w:w="80"/>
            </w:tcMar>
          </w:tcPr>
          <w:p>
            <w:r>
              <w:rPr>
                <w:rFonts w:ascii="Arial" w:cs="Arial" w:eastAsia="Arial" w:hAnsi="Arial"/>
                <w:b/>
                <w:bCs/>
                <w:color w:val="000000"/>
                <w:sz w:val="16"/>
                <w:szCs w:val="16"/>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Four independent IBCs on separate heat mats and controllers. Failure of one does not affect others. Replacement heat mats cost $25-50 new. Reflective insulation wrap provides temporary thermal buffering.</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Thermostat heating indicator permanently on (mat running but temperature not reaching target). Substrate temperature below 24 degrees C on morning check.</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Wrap IBC with reflective insulation immediately to reduce heat loss. Order replacement mat same day — available at hydroponics suppliers or online with 2-3 day delivery. If batch is on days 1-5, the batch can likely be saved with insulation wrap while waiting for replacement. If on days 8-12, harvest early if substrate temp falls below 22 degrees C.</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O3</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Substrate supply disruption — one or more waste suppliers stop providing waste without notice.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waste supply agreements are new and suppliers may find alternative disposal arrangements or change operations.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reduced substrate volume limits production. Can be partially offset by other suppliers or purchased substrate inputs.</w:t>
            </w:r>
          </w:p>
        </w:tc>
        <w:tc>
          <w:tcPr>
            <w:tcW w:type="dxa" w:w="700"/>
            <w:tcBorders>
              <w:top w:val="single" w:color="CCCCCC" w:sz="1"/>
              <w:left w:val="single" w:color="CCCCCC" w:sz="1"/>
              <w:bottom w:val="single" w:color="CCCCCC" w:sz="1"/>
              <w:right w:val="single" w:color="CCCCCC" w:sz="1"/>
            </w:tcBorders>
            <w:shd w:fill="F1C40F" w:val="clear"/>
            <w:tcMar>
              <w:top w:type="dxa" w:w="60"/>
              <w:left w:type="dxa" w:w="80"/>
              <w:bottom w:type="dxa" w:w="60"/>
              <w:right w:type="dxa" w:w="80"/>
            </w:tcMar>
          </w:tcPr>
          <w:p>
            <w:r>
              <w:rPr>
                <w:rFonts w:ascii="Arial" w:cs="Arial" w:eastAsia="Arial" w:hAnsi="Arial"/>
                <w:b/>
                <w:bCs/>
                <w:color w:val="000000"/>
                <w:sz w:val="16"/>
                <w:szCs w:val="16"/>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Multiple supplier agreements across different waste types. Research stream can be suspended to direct all waste to commercial stream if volume drops. Wheat bran can partially substitute for lost food waste volume in an emergency.</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Supplier misses two consecutive scheduled deliveries. Supplier mentions they are changing waste disposal arrangements. Volume per delivery decreasing over 3+ consecutive weeks.</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Contact supplier immediately to understand situation. If temporary: adjust batch size or skip one IBC reload cycle. If permanent: activate new supplier acquisition — approach 2-3 new cafes or bakeries within the week. In the Lockyer Valley agricultural area, vegetable waste from growers is a potential high-volume backup source.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O4</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Power supply failure — extended outage affecting tunnel thermal systems.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Low-medium — grid supply in rural Lockyer Valley has occasional outages, more frequent in storm season.</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in winter, medium in summer — larvae at risk after 4 hours in winter without heating. Colony at risk after 8 hours. Live stock in Freezer A at risk after 6 hours.</w:t>
            </w:r>
          </w:p>
        </w:tc>
        <w:tc>
          <w:tcPr>
            <w:tcW w:type="dxa" w:w="7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r>
              <w:rPr>
                <w:rFonts w:ascii="Arial" w:cs="Arial" w:eastAsia="Arial" w:hAnsi="Arial"/>
                <w:b/>
                <w:bCs/>
                <w:color w:val="FFFFFF"/>
                <w:sz w:val="16"/>
                <w:szCs w:val="16"/>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Inkbird wireless alert system sends phone notification of temperature drop. Reflective insulation wraps available for IBCs. Insulated box with gel packs for live stock. Ergon Energy fault reporting: 13 22 96.</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App alert received for temperature below 25 degrees C in any IBC. Power indicator lights off in tunnel. Unusually long outage during storm season.</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See Incident: Power Failure protocol in Operational Protocols document. Key addition for financial risk: if outage exceeds 4 hours in winter and generator is not available, prioritise live larvae — move collection bucket contents to insulated box and sell or transfer to research stream immediately.</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O5</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Overheating event — tunnel ambient exceeds 38 degrees C, larvae at risk of mass mortality.</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 Lockyer Valley summer regularly reaches 38-42 degrees C. First summer is highest risk as passive cooling system is unproven at this site.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Severe in first summer — could wipe one or more full production batches. Loss of $500-800 per batch affected.</w:t>
            </w:r>
          </w:p>
        </w:tc>
        <w:tc>
          <w:tcPr>
            <w:tcW w:type="dxa" w:w="7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6"/>
                <w:szCs w:val="16"/>
              </w:rPr>
              <w:t xml:space="preserve">CRITICAL</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Shade cloth deployed from 1 November. Evaporative cooler as primary active system. Portable AC as emergency backup. North face windbreak for sealed mode on northerly days. Inkbird app alert at 35 degrees C.</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Three or more days above 35 degrees C forecast. App alert received at 35 degrees C tunnel ambient. Northerly wind direction on a hot day.</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See Incident: Overheating protocol in Operational Protocols document. The first summer is a data-collection exercise as much as a risk management exercise — document every heat event in detail to calibrate future management.</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O6</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Cement mixer breakdown during peak substrate preparation period.</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 — electric cement mixers are robust and rarely fail. Risk is higher for secondhand units.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 — manual mixing is possible for small batches. At peak volume, manual mixing is physically demanding but achievable for one or two batches.</w:t>
            </w:r>
          </w:p>
        </w:tc>
        <w:tc>
          <w:tcPr>
            <w:tcW w:type="dxa" w:w="7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r>
              <w:rPr>
                <w:rFonts w:ascii="Arial" w:cs="Arial" w:eastAsia="Arial" w:hAnsi="Arial"/>
                <w:b/>
                <w:bCs/>
                <w:color w:val="000000"/>
                <w:sz w:val="16"/>
                <w:szCs w:val="16"/>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Manual backup: substrate can be mixed by hand in a wheelbarrow for batches up to 30kg. At 5:1 conversion ratio, one IBC batch requires approximately 86kg substrate — this is 3 wheelbarrow loads mixed by hand.</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Mixer motor running hot or making unusual noise. Drum rotation slowing under load.</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Source replacement electric cement mixer on Facebook Marketplace. Available for $50-150 secondhand. If immediate replacement not available, hand-mix in smaller batches across 2 sessions. Note: this adds approximately 90 minutes of labour per batch.</w:t>
            </w:r>
          </w:p>
        </w:tc>
      </w:tr>
    </w:tbl>
    <w:p>
      <w:r>
        <w:t xml:space="preserve"/>
      </w:r>
    </w:p>
    <w:p>
      <w:r>
        <w:br w:type="page"/>
      </w:r>
    </w:p>
    <w:p>
      <w:pPr>
        <w:pStyle w:val="Heading1"/>
      </w:pPr>
      <w:r>
        <w:t xml:space="preserve">Domain 4 — Environmental Risks</w:t>
      </w:r>
    </w:p>
    <w:p>
      <w:pPr>
        <w:spacing w:after="100"/>
      </w:pPr>
      <w:r>
        <w:rPr>
          <w:rFonts w:ascii="Arial" w:cs="Arial" w:eastAsia="Arial" w:hAnsi="Arial"/>
          <w:sz w:val="24"/>
          <w:szCs w:val="24"/>
        </w:rPr>
        <w:t xml:space="preserve">Environmental risks for this site are dominated by the proximity of Tenthill Creek and the Lockyer Valley's severe weather history. The 2011 and 2013 floods caused catastrophic damage across the valley. The Q100 flood line siting control is the most important single risk treatment in this domain.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900"/>
        <w:gridCol w:w="1000"/>
        <w:gridCol w:w="700"/>
        <w:gridCol w:w="2000"/>
        <w:gridCol w:w="1500"/>
        <w:gridCol w:w="1726"/>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Risk</w:t>
            </w:r>
          </w:p>
        </w:tc>
        <w:tc>
          <w:tcPr>
            <w:tcW w:type="dxa" w:w="9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Likelihood</w:t>
            </w:r>
          </w:p>
        </w:tc>
        <w:tc>
          <w:tcPr>
            <w:tcW w:type="dxa" w:w="1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Consequence</w:t>
            </w:r>
          </w:p>
        </w:tc>
        <w:tc>
          <w:tcPr>
            <w:tcW w:type="dxa" w:w="7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Rating</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Existing controls</w:t>
            </w:r>
          </w:p>
        </w:tc>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Early warning indicators</w:t>
            </w:r>
          </w:p>
        </w:tc>
        <w:tc>
          <w:tcPr>
            <w:tcW w:type="dxa" w:w="1726"/>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Response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E1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Flood inundation of tunnel site from Tenthill Creek.</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 — Q100 flood line siting with buffer zone means a 1-in-100-year event is required to reach the tunnel site.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Catastrophic if it occurs — total loss of tunnel structure, IBCs, equipment, and current production batches. Loss well above $2,000 threshold.</w:t>
            </w:r>
          </w:p>
        </w:tc>
        <w:tc>
          <w:tcPr>
            <w:tcW w:type="dxa" w:w="7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r>
              <w:rPr>
                <w:rFonts w:ascii="Arial" w:cs="Arial" w:eastAsia="Arial" w:hAnsi="Arial"/>
                <w:b/>
                <w:bCs/>
                <w:color w:val="FFFFFF"/>
                <w:sz w:val="16"/>
                <w:szCs w:val="16"/>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Tunnel sited above Q100 flood line with buffer zone confirmed using council flood mapping. All equipment inside tunnel is elevated off the ground on frames and rails.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Bureau of Meteorology severe weather warning for the Lockyer Valley catchment. Heavy rainfall upstream in the Great Dividing Range. Tenthill Creek water level rising visibly. Neighbours or council alerts.</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If flood warning is issued: immediately move IBCs to highest point in tunnel or to the house. Move Freezer A and Freezer B live stock and kill-step stock to the house. Photograph all equipment for insurance records. Do not attempt to save substrate — it is replaceable. Prioritise larvae, freezers, and thermostats in that order.</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E2</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Extended drought reducing food waste availability from agricultural suppliers.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Low-medium — the Lockyer Valley is drought-prone. Agricultural operations reducing output also reduce food waste generation.</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reduced substrate volume limits production. Most affected by loss of farm waste rather than cafe or bakery waste.</w:t>
            </w:r>
          </w:p>
        </w:tc>
        <w:tc>
          <w:tcPr>
            <w:tcW w:type="dxa" w:w="700"/>
            <w:tcBorders>
              <w:top w:val="single" w:color="CCCCCC" w:sz="1"/>
              <w:left w:val="single" w:color="CCCCCC" w:sz="1"/>
              <w:bottom w:val="single" w:color="CCCCCC" w:sz="1"/>
              <w:right w:val="single" w:color="CCCCCC" w:sz="1"/>
            </w:tcBorders>
            <w:shd w:fill="F1C40F" w:val="clear"/>
            <w:tcMar>
              <w:top w:type="dxa" w:w="60"/>
              <w:left w:type="dxa" w:w="80"/>
              <w:bottom w:type="dxa" w:w="60"/>
              <w:right w:type="dxa" w:w="80"/>
            </w:tcMar>
          </w:tcPr>
          <w:p>
            <w:r>
              <w:rPr>
                <w:rFonts w:ascii="Arial" w:cs="Arial" w:eastAsia="Arial" w:hAnsi="Arial"/>
                <w:b/>
                <w:bCs/>
                <w:color w:val="000000"/>
                <w:sz w:val="16"/>
                <w:szCs w:val="16"/>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Multiple waste stream types reduce dependence on any single source. Wheat bran can partially substitute. Cafe and bakery waste is drought-independent.</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Supplier mentions reduced production or operational changes. Multiple suppliers reducing delivery volume in the same month. Local media reporting drought conditions affecting Lockyer Valley vegetable production.</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Reduce batch size proportionally rather than stopping production. Approach new cafe and bakery suppliers to compensate for reduced agricultural waste. Consider purchasing food-grade wheat bran at higher proportion as a bridge substrate.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E3</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Bushfire — direct threat to tunnel structure or smoke affecting larvae.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Low-medium — Lockyer Valley has moderate bushfire risk. Creek vegetation and dry summer grass are the main fuel sources.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if direct — total loss of tunnel structure. Medium if smoke only — larval stress and potential mortality from smoke compounds.</w:t>
            </w:r>
          </w:p>
        </w:tc>
        <w:tc>
          <w:tcPr>
            <w:tcW w:type="dxa" w:w="700"/>
            <w:tcBorders>
              <w:top w:val="single" w:color="CCCCCC" w:sz="1"/>
              <w:left w:val="single" w:color="CCCCCC" w:sz="1"/>
              <w:bottom w:val="single" w:color="CCCCCC" w:sz="1"/>
              <w:right w:val="single" w:color="CCCCCC" w:sz="1"/>
            </w:tcBorders>
            <w:shd w:fill="F1C40F" w:val="clear"/>
            <w:tcMar>
              <w:top w:type="dxa" w:w="60"/>
              <w:left w:type="dxa" w:w="80"/>
              <w:bottom w:type="dxa" w:w="60"/>
              <w:right w:type="dxa" w:w="80"/>
            </w:tcMar>
          </w:tcPr>
          <w:p>
            <w:r>
              <w:rPr>
                <w:rFonts w:ascii="Arial" w:cs="Arial" w:eastAsia="Arial" w:hAnsi="Arial"/>
                <w:b/>
                <w:bCs/>
                <w:color w:val="000000"/>
                <w:sz w:val="16"/>
                <w:szCs w:val="16"/>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Site is cleared agricultural land. Creek vegetation is the nearest fuel source. Tunnel structure is non-combustible polycarbonate and LVL with greenhouse plastic — greenhouse plastic will melt and fail in a bushfire.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Queensland Fire and Emergency Services alert for Lockyer Valley. Visible smoke from the southwest or west. Neighbours evacuating.</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If direct fire threat: emergency services are the priority — do not attempt to save equipment. If smoke risk only: close all tunnel vents and seal gaps. Move colony egg masses and incubation trays to the house. After event: assess larval mortality and substrate condition before resuming production.</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E4</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Odour complaint from neighbours or road users causing council intervention.</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Low-medium — south wind carries substrate and processing odours northward toward the house. The biofilter design mitigates this but is unproven at this site.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council complaint could require operational changes or a development approval that adds cost and delay.</w:t>
            </w:r>
          </w:p>
        </w:tc>
        <w:tc>
          <w:tcPr>
            <w:tcW w:type="dxa" w:w="700"/>
            <w:tcBorders>
              <w:top w:val="single" w:color="CCCCCC" w:sz="1"/>
              <w:left w:val="single" w:color="CCCCCC" w:sz="1"/>
              <w:bottom w:val="single" w:color="CCCCCC" w:sz="1"/>
              <w:right w:val="single" w:color="CCCCCC" w:sz="1"/>
            </w:tcBorders>
            <w:shd w:fill="F1C40F" w:val="clear"/>
            <w:tcMar>
              <w:top w:type="dxa" w:w="60"/>
              <w:left w:type="dxa" w:w="80"/>
              <w:bottom w:type="dxa" w:w="60"/>
              <w:right w:type="dxa" w:w="80"/>
            </w:tcMar>
          </w:tcPr>
          <w:p>
            <w:r>
              <w:rPr>
                <w:rFonts w:ascii="Arial" w:cs="Arial" w:eastAsia="Arial" w:hAnsi="Arial"/>
                <w:b/>
                <w:bCs/>
                <w:color w:val="000000"/>
                <w:sz w:val="16"/>
                <w:szCs w:val="16"/>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Substrate receiving bay on north face with curtained enclosure. Biofilter on north wall exhaust. Tier 1 and Tier 2 diversion protocols prevent worst odour sources entering the operation. LVRC pre-consultation completed.</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Any comment from visitors, neighbours, or road users about smell. Odour noticeable at the house on south wind days.</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Identify the odour source — most likely the substrate receiving bay or the Tier 1 diversion bin. Improve sealing and ventilation of the receiving bay. Ensure Tier 1 diversion bin is emptied at least twice per week. If complaints escalate, proactively contact LVRC environmental health before a formal complaint is lodged.</w:t>
            </w:r>
          </w:p>
        </w:tc>
      </w:tr>
    </w:tbl>
    <w:p>
      <w:r>
        <w:t xml:space="preserve"/>
      </w:r>
    </w:p>
    <w:p>
      <w:r>
        <w:br w:type="page"/>
      </w:r>
    </w:p>
    <w:p>
      <w:pPr>
        <w:pStyle w:val="Heading1"/>
      </w:pPr>
      <w:r>
        <w:t xml:space="preserve">Domain 5 — Compliance and Regulatory Risks</w:t>
      </w:r>
    </w:p>
    <w:p>
      <w:pPr>
        <w:spacing w:after="100"/>
      </w:pPr>
      <w:r>
        <w:rPr>
          <w:rFonts w:ascii="Arial" w:cs="Arial" w:eastAsia="Arial" w:hAnsi="Arial"/>
          <w:sz w:val="24"/>
          <w:szCs w:val="24"/>
        </w:rPr>
        <w:t xml:space="preserve">Compliance risks for this operation are concentrated in three areas: biosecurity approvals for the substrate and product, local government permits, and product liability. None of these are inherently difficult to manage but all require action before production begins. A compliance failure discovered after production has started is significantly more disruptive and costly than addressing it proactively.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900"/>
        <w:gridCol w:w="1000"/>
        <w:gridCol w:w="700"/>
        <w:gridCol w:w="2000"/>
        <w:gridCol w:w="1500"/>
        <w:gridCol w:w="1726"/>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Risk</w:t>
            </w:r>
          </w:p>
        </w:tc>
        <w:tc>
          <w:tcPr>
            <w:tcW w:type="dxa" w:w="9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Likelihood</w:t>
            </w:r>
          </w:p>
        </w:tc>
        <w:tc>
          <w:tcPr>
            <w:tcW w:type="dxa" w:w="1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Consequence</w:t>
            </w:r>
          </w:p>
        </w:tc>
        <w:tc>
          <w:tcPr>
            <w:tcW w:type="dxa" w:w="7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Rating</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Existing controls</w:t>
            </w:r>
          </w:p>
        </w:tc>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Early warning indicators</w:t>
            </w:r>
          </w:p>
        </w:tc>
        <w:tc>
          <w:tcPr>
            <w:tcW w:type="dxa" w:w="1726"/>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Response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C1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Operating without Biosecurity Queensland written substrate approval.</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if not addressed — the approval process is straightforward but has not yet been initiated.</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Severe — product sold without approval cannot be claimed as approved for poultry or pet feed. Exposes the business to product liability and regulatory action. Could require destroying inventory.</w:t>
            </w:r>
          </w:p>
        </w:tc>
        <w:tc>
          <w:tcPr>
            <w:tcW w:type="dxa" w:w="7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6"/>
                <w:szCs w:val="16"/>
              </w:rPr>
              <w:t xml:space="preserve">CRITICAL</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Action item: call DAF Biosecurity Queensland on 13 25 23 before first substrate delivery is accepted. Written confirmation by email is the required output. This is a free, one-call process.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Operating without written confirmation in hand. Using any substrate type not explicitly approved in the written confirmation.</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Stop accepting waste deliveries immediately. Call Biosecurity Queensland the same day. Do not resume waste acceptance until written approval is received. This is a week-maximum delay if addressed promptly.</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C2</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Product sold without adequate labelling — missing ABN, substrate declaration, or required product information.</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labelling requirements are detailed and easy to overlook in early production.</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ACCC and state fair trading act require specific information on product labels. Incorrect labelling can result in product recall and fines.</w:t>
            </w:r>
          </w:p>
        </w:tc>
        <w:tc>
          <w:tcPr>
            <w:tcW w:type="dxa" w:w="700"/>
            <w:tcBorders>
              <w:top w:val="single" w:color="CCCCCC" w:sz="1"/>
              <w:left w:val="single" w:color="CCCCCC" w:sz="1"/>
              <w:bottom w:val="single" w:color="CCCCCC" w:sz="1"/>
              <w:right w:val="single" w:color="CCCCCC" w:sz="1"/>
            </w:tcBorders>
            <w:shd w:fill="F1C40F" w:val="clear"/>
            <w:tcMar>
              <w:top w:type="dxa" w:w="60"/>
              <w:left w:type="dxa" w:w="80"/>
              <w:bottom w:type="dxa" w:w="60"/>
              <w:right w:type="dxa" w:w="80"/>
            </w:tcMar>
          </w:tcPr>
          <w:p>
            <w:r>
              <w:rPr>
                <w:rFonts w:ascii="Arial" w:cs="Arial" w:eastAsia="Arial" w:hAnsi="Arial"/>
                <w:b/>
                <w:bCs/>
                <w:color w:val="000000"/>
                <w:sz w:val="16"/>
                <w:szCs w:val="16"/>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Product label designs reviewed before first sale. Labels include: business name, ABN, product name, net weight, harvest or production date, substrate declaration, application instructions, batch code.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Any product leaving the property without a label. Label missing any required field. Customer queries about product origin or substrate.</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Pull any incorrectly labelled product from sale immediately. Correct the label design before resuming sales. For market stall sales, carry a printed information sheet that covers any label information not included on the bag.</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C3</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Product liability claim — customer reports illness or injury in an animal fed on your larvae or frass.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 — BSFL are well-established as safe poultry and reptile feed. Risk increases if substrate approval is not maintained.</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 product liability insurance covers claims but an uninsured event or a claim exceeding the policy limit could be financially catastrophic.</w:t>
            </w:r>
          </w:p>
        </w:tc>
        <w:tc>
          <w:tcPr>
            <w:tcW w:type="dxa" w:w="700"/>
            <w:tcBorders>
              <w:top w:val="single" w:color="CCCCCC" w:sz="1"/>
              <w:left w:val="single" w:color="CCCCCC" w:sz="1"/>
              <w:bottom w:val="single" w:color="CCCCCC" w:sz="1"/>
              <w:right w:val="single" w:color="CCCCCC" w:sz="1"/>
            </w:tcBorders>
            <w:shd w:fill="F1C40F" w:val="clear"/>
            <w:tcMar>
              <w:top w:type="dxa" w:w="60"/>
              <w:left w:type="dxa" w:w="80"/>
              <w:bottom w:type="dxa" w:w="60"/>
              <w:right w:type="dxa" w:w="80"/>
            </w:tcMar>
          </w:tcPr>
          <w:p>
            <w:r>
              <w:rPr>
                <w:rFonts w:ascii="Arial" w:cs="Arial" w:eastAsia="Arial" w:hAnsi="Arial"/>
                <w:b/>
                <w:bCs/>
                <w:color w:val="000000"/>
                <w:sz w:val="16"/>
                <w:szCs w:val="16"/>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Product liability insurance in place from first product sale ($180/year — Elders or Gallagher). Substrate approval documentation maintained. Batch tracking enables rapid identification of any affected product.</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Customer contact about a sick animal after feeding your product. Any social media post associating your product with animal illness.</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Contact your insurer immediately before responding to the customer. Do not admit liability. Document all details: product batch code, customer contact, animal details, symptoms. Cooperate fully with the insurer's investigation process.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C4</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Development approval required by LVRC for the tunnel structure.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 — council pre-consultation has been completed and indicated no likely restrictions. Rural zone typically permits agricultural structures.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if DA is required retroactively, costs $500-2,000 and delays operation.</w:t>
            </w:r>
          </w:p>
        </w:tc>
        <w:tc>
          <w:tcPr>
            <w:tcW w:type="dxa" w:w="7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r>
              <w:rPr>
                <w:rFonts w:ascii="Arial" w:cs="Arial" w:eastAsia="Arial" w:hAnsi="Arial"/>
                <w:b/>
                <w:bCs/>
                <w:color w:val="000000"/>
                <w:sz w:val="16"/>
                <w:szCs w:val="16"/>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LVRC environmental health pre-consultation completed before construction. Get any council advice in writing by following up phone calls with an email confirming the advice given.</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Council officer advises in writing that a DA is required. Any formal notice from council received after construction begins.</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Engage a town planner for a single consultation ($200-400) to confirm the correct planning pathway. Do not assume verbal advice is definitive — always follow up in writing.</w:t>
            </w:r>
          </w:p>
        </w:tc>
      </w:tr>
    </w:tbl>
    <w:p>
      <w:r>
        <w:t xml:space="preserve"/>
      </w:r>
    </w:p>
    <w:p>
      <w:r>
        <w:br w:type="page"/>
      </w:r>
    </w:p>
    <w:p>
      <w:pPr>
        <w:pStyle w:val="Heading1"/>
      </w:pPr>
      <w:r>
        <w:t xml:space="preserve">Domain 6 — Strategic Risks</w:t>
      </w:r>
    </w:p>
    <w:p>
      <w:pPr>
        <w:spacing w:after="100"/>
      </w:pPr>
      <w:r>
        <w:rPr>
          <w:rFonts w:ascii="Arial" w:cs="Arial" w:eastAsia="Arial" w:hAnsi="Arial"/>
          <w:sz w:val="24"/>
          <w:szCs w:val="24"/>
        </w:rPr>
        <w:t xml:space="preserve">Strategic risks operate over longer time horizons than operational risks but can be just as damaging. For a business in its first year, the primary strategic risks are those that could prevent the operation reaching the proof-of-concept milestone that makes Site 2 fundable and licensing credible.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900"/>
        <w:gridCol w:w="1000"/>
        <w:gridCol w:w="700"/>
        <w:gridCol w:w="2000"/>
        <w:gridCol w:w="1500"/>
        <w:gridCol w:w="1726"/>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Risk</w:t>
            </w:r>
          </w:p>
        </w:tc>
        <w:tc>
          <w:tcPr>
            <w:tcW w:type="dxa" w:w="9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Likelihood</w:t>
            </w:r>
          </w:p>
        </w:tc>
        <w:tc>
          <w:tcPr>
            <w:tcW w:type="dxa" w:w="1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Consequence</w:t>
            </w:r>
          </w:p>
        </w:tc>
        <w:tc>
          <w:tcPr>
            <w:tcW w:type="dxa" w:w="7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Rating</w:t>
            </w:r>
          </w:p>
        </w:tc>
        <w:tc>
          <w:tcPr>
            <w:tcW w:type="dxa" w:w="20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Existing controls</w:t>
            </w:r>
          </w:p>
        </w:tc>
        <w:tc>
          <w:tcPr>
            <w:tcW w:type="dxa" w:w="15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Early warning indicators</w:t>
            </w:r>
          </w:p>
        </w:tc>
        <w:tc>
          <w:tcPr>
            <w:tcW w:type="dxa" w:w="1726"/>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Response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S1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Market price collapse for live BSFL — increased supply from larger producers driving retail price below viable margin.</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 in 12-month horizon — Australian BSFL market is still growing. Medium in 24-36 month horizon.</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 the financial model depends on $22-28/kg wholesale pricing. A drop to $15/kg wholesale changes the margin structure significantly.</w:t>
            </w:r>
          </w:p>
        </w:tc>
        <w:tc>
          <w:tcPr>
            <w:tcW w:type="dxa" w:w="7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r>
              <w:rPr>
                <w:rFonts w:ascii="Arial" w:cs="Arial" w:eastAsia="Arial" w:hAnsi="Arial"/>
                <w:b/>
                <w:bCs/>
                <w:color w:val="000000"/>
                <w:sz w:val="16"/>
                <w:szCs w:val="16"/>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Multiple product lines reduce dependence on live larvae pricing. Frass and dried larvae margins are less sensitive to commodity price pressure. Local provenance and substrate traceability are price premium justifications that larger commodity producers cannot easily replicate.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Pet store wholesale price inquiries below $20/kg. Online competitors advertising at below $18/kg with free delivery. Reduction in standing order reconfirmations.</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Shift production mix toward dried larvae and frass where margins are more defensible. Accelerate development of direct relationships with reptile breeders and poultry farms where premium pricing is more sustainable than pet store wholesale.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S2</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Key person risk — managing director incapacitated by illness or injury for more than 2 weeks.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Low-medium — physical farming work carries injury risk. A two-week absence in the first six months before any systems are documented enough for a substitute to manage would halt production.</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 production halts within 12-14 days without someone to manage the rearing IBCs and colony. Financial impact depends on timing.</w:t>
            </w:r>
          </w:p>
        </w:tc>
        <w:tc>
          <w:tcPr>
            <w:tcW w:type="dxa" w:w="7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r>
              <w:rPr>
                <w:rFonts w:ascii="Arial" w:cs="Arial" w:eastAsia="Arial" w:hAnsi="Arial"/>
                <w:b/>
                <w:bCs/>
                <w:color w:val="FFFFFF"/>
                <w:sz w:val="16"/>
                <w:szCs w:val="16"/>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Operational protocols document enables a substitute to manage daily rounds with guidance. Partner can manage remotely for monitoring and ordering but cannot manage physical farm tasks. Emergency house colony reduces colony crash risk during absence.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Any illness or injury requiring medical attention. Any planned absence of more than 3 days.</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Identify a trusted local person before the operation begins who could manage daily rounds in an emergency with phone guidance from you. This does not need to be a paid arrangement — a neighbour or family member briefed on the daily run sheet is sufficient for a 1-2 week absence. Brief them before you need them, not during an emergency.</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S3</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Competitor establishing a BSFL operation in the Lockyer Valley before market relationships are secured.</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 in year 1 — entry barriers include capital, biological knowledge, and regulatory approvals. Medium in year 2+.</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Medium — local market share is limited. A second local operator reduces the addressable market for direct sales and farmers market product.</w:t>
            </w:r>
          </w:p>
        </w:tc>
        <w:tc>
          <w:tcPr>
            <w:tcW w:type="dxa" w:w="7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r>
              <w:rPr>
                <w:rFonts w:ascii="Arial" w:cs="Arial" w:eastAsia="Arial" w:hAnsi="Arial"/>
                <w:b/>
                <w:bCs/>
                <w:color w:val="000000"/>
                <w:sz w:val="16"/>
                <w:szCs w:val="16"/>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First-mover advantage with local growers and pet stores. Substrate traceability documentation and batch records create a quality differentiation that takes time to replicate. Protocol licensing model eventually converts potential competitors into licensees.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New BSFL supplier appearing in local Facebook groups. Pet store mentions another local supplier. Social media accounts for a new Lockyer Valley insect farm.</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Accelerate standing order conversions with key customers before a competitor can approach them. A locked-in standing order is a customer a competitor cannot easily take.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S4</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Licensed protocol value not realised — batch records and documentation insufficient to support a credible licensing product.</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Low if operational protocols are followed — the documentation infrastructure is built into daily operations from day one.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High in 24-36 month horizon — the licensing revenue stream ($20,000-50,000 per licensee) is a significant component of the long-term business model.</w:t>
            </w:r>
          </w:p>
        </w:tc>
        <w:tc>
          <w:tcPr>
            <w:tcW w:type="dxa" w:w="7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r>
              <w:rPr>
                <w:rFonts w:ascii="Arial" w:cs="Arial" w:eastAsia="Arial" w:hAnsi="Arial"/>
                <w:b/>
                <w:bCs/>
                <w:color w:val="000000"/>
                <w:sz w:val="16"/>
                <w:szCs w:val="16"/>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Batch tracking from day one. Operational protocols document. Construction planning document. All eight documents in the current document set form the core of the licensed protocol.</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Batch records incomplete for two or more consecutive months. Key operational decisions being made verbally rather than recorded. Partner not maintaining digital systems that capture customer and order data.</w:t>
            </w:r>
          </w:p>
        </w:tc>
        <w:tc>
          <w:tcPr>
            <w:tcW w:type="dxa" w:w="17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Conduct a documentation audit at the end of each quarter. Identify any gaps in batch records and reconstruct from memory if possible. The quarterly review protocol includes a specific check on protocol documentation completeness.</w:t>
            </w:r>
          </w:p>
        </w:tc>
      </w:tr>
    </w:tbl>
    <w:p>
      <w:r>
        <w:t xml:space="preserve"/>
      </w:r>
    </w:p>
    <w:p>
      <w:r>
        <w:br w:type="page"/>
      </w:r>
    </w:p>
    <w:p>
      <w:pPr>
        <w:pStyle w:val="Heading1"/>
      </w:pPr>
      <w:r>
        <w:t xml:space="preserve">Cascade Failure Scenarios</w:t>
      </w:r>
    </w:p>
    <w:p>
      <w:pPr>
        <w:spacing w:after="100"/>
      </w:pPr>
      <w:r>
        <w:rPr>
          <w:rFonts w:ascii="Arial" w:cs="Arial" w:eastAsia="Arial" w:hAnsi="Arial"/>
          <w:sz w:val="24"/>
          <w:szCs w:val="24"/>
        </w:rPr>
        <w:t xml:space="preserve">The following scenarios combine multiple risks into sequences that could breach the $2,000 loss threshold even where each individual event would not. These are the scenarios that require the most careful monitoring because they can move from early warning to crisis faster than any single-risk event.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426"/>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Sequence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Threshold breach point</w:t>
            </w:r>
          </w:p>
        </w:tc>
        <w:tc>
          <w:tcPr>
            <w:tcW w:type="dxa" w:w="2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Cascade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batch failure (B2) in month 2 causes revenue shortfall. Shortfall prevents restocking with purchased larvae. Production gap allows first wholesale customer to find alternative supplier (F2). Customer loss pushes revenue below operating costs.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substrate failure coincides with a period where no live stock is available for the wholesale account. The customer is lost in weeks 3-4 of the production gap.</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Maintain live stock in Freezer A sufficient for at least one wholesale order at all times. If a batch fails, immediately redirect the next harvest entirely to live product for the wholesale customer.</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Cascade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Overheating event (O5) in first summer wipes two production batches simultaneously. Lost revenue ($1,000-1,600) combined with replacement substrate cost ($150-200) approaches the $2,000 threshold. If a second overheating event follows within 2 weeks, the threshold is breached.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two or more IBCs are simultaneously in days 8-12 (peak harvest value) during the overheating event. This is most likely in December-January when the stagger schedule means multiple IBCs are in late-stage rearing simultaneously.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shade cloth by 1 November without exception. Test evaporative cooler before November. On any day where temperature forecast exceeds 36 degrees C, run evaporative cooler from the start of the day rather than waiting for threshold to be reached.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Cascade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Partner dispute (F4) in months 3-5 before shareholders agreement is finalised. Dispute causes partner to withdraw IT systems support. Website goes down, online orders cannot be processed, CRM data is inaccessible. Revenue drops while dispute is unresolved. Legal cost to resolve exceeds $2,000.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partner controls critical digital infrastructure and the dispute is contentious enough that he does not maintain systems during the dispute period.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 the shareholders agreement before any revenue is generated. Ensure all critical business data (customer list, batch records, financial records) is stored in accounts owned by the company, not by either individual partner personally.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Cascade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crash (B1) in winter halts egg production. Production ramp-down begins. While sourcing replacement pupae, the dehydrator fails (O1). Both dried larvae and frass production halt simultaneously. Revenue drops to live larvae only from existing stock. Insufficient revenue to cover substrate and operating costs for 3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colony crash and dehydrator failure overlap by more than 2 weeks. The combined revenue loss across both product lines exceeds the buffer.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house colony provides the 10-14 day bridge for colony rebuilding. Source dehydrator replacement within 48 hours of failure — always have a Facebook Marketplace saved search for dehydrators within 50km running.</w:t>
            </w:r>
          </w:p>
        </w:tc>
      </w:tr>
    </w:tbl>
    <w:p>
      <w:r>
        <w:t xml:space="preserve"/>
      </w:r>
    </w:p>
    <w:p>
      <w:r>
        <w:br w:type="page"/>
      </w:r>
    </w:p>
    <w:p>
      <w:pPr>
        <w:pStyle w:val="Heading1"/>
      </w:pPr>
      <w:r>
        <w:t xml:space="preserve">Risk Register Review Schedule</w:t>
      </w:r>
    </w:p>
    <w:p>
      <w:pPr>
        <w:spacing w:after="100"/>
      </w:pPr>
      <w:r>
        <w:rPr>
          <w:rFonts w:ascii="Arial" w:cs="Arial" w:eastAsia="Arial" w:hAnsi="Arial"/>
          <w:sz w:val="24"/>
          <w:szCs w:val="24"/>
        </w:rPr>
        <w:t xml:space="preserve">The risk register is a living document. Risks change as the operation matures, new controls are implemented, and the financial buffer grows. The review schedule below is aligned with the quarterly business review in the operational protocols document.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Review point</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 or timing</w:t>
            </w:r>
          </w:p>
        </w:tc>
        <w:tc>
          <w:tcPr>
            <w:tcW w:type="dxa" w:w="5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Q1 — end of month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quarterly review</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Have CRITICAL risks F1 (revenue) and C1 (biosecurity approval) been resolved? Update F4 (partner dispute) rating — should reduce to LOW once shareholders agreement is signed and operating. Review cascade scenarios 1 and 2 based on first summer experience.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Q2 — end of month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quarterly review</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financial buffer — has it grown beyond $2,000? If yes, downgrade several CRITICAL and HIGH financial risks. Review first summer overheating data — was the passive cooling system adequate or does it need upgrading for year 2? Review B5 (wildlife) based on actual experience.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any incident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1 week of incident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the relevant risk entry: did the existing controls work? Was the early warning indicator detected in time? Was the response adequate? What would be done differently?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any near-miss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48 hours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near-miss is a situation where the early warning indicator was detected but no incident occurred. These are the most valuable data points — they confirm the monitoring system is working and often reveal control gaps.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Site 2 planning begins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Site 2 feasibility assessment is initiated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risk register review with Site 2 risks added. Financial threshold increases as buffer grows. Operational risks expand to cover multi-site management. Strategic risks shift toward network and licensing model risks.</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The most valuable use of this document is not reading it — it is updating it. A risk register that is reviewed and updated after every incident and near-miss becomes an accurate picture of how your specific operation fails, not a generic list of things that could go wrong. After 12 months of active management, this document will be more operationally valuable than any externally produced risk framework.</w:t>
      </w:r>
    </w:p>
    <w:p>
      <w:r>
        <w:t xml:space="preserve"/>
      </w:r>
    </w:p>
    <w:sectPr>
      <w:pgSz w:w="16838" w:h="11906"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2026-04-21T20:46:52.475Z</dcterms:created>
  <dcterms:modified xsi:type="dcterms:W3CDTF">2026-04-21T20:46:52.476Z</dcterms:modified>
</cp:coreProperties>
</file>

<file path=docProps/custom.xml><?xml version="1.0" encoding="utf-8"?>
<Properties xmlns="http://schemas.openxmlformats.org/officeDocument/2006/custom-properties" xmlns:vt="http://schemas.openxmlformats.org/officeDocument/2006/docPropsVTypes"/>
</file>