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3A5C"/>
          <w:sz w:val="48"/>
          <w:szCs w:val="48"/>
        </w:rPr>
        <w:t xml:space="preserve">BSFL Substrate Preparation System</w:t>
      </w:r>
    </w:p>
    <w:p>
      <w:pPr>
        <w:spacing w:after="40"/>
      </w:pPr>
      <w:r>
        <w:rPr>
          <w:rFonts w:ascii="Arial" w:cs="Arial" w:eastAsia="Arial" w:hAnsi="Arial"/>
          <w:color w:val="666666"/>
          <w:sz w:val="22"/>
          <w:szCs w:val="22"/>
        </w:rPr>
        <w:t xml:space="preserve">658 Lefthand Branch Rd, Lockyer Valley QLD  |  April 2026</w:t>
      </w:r>
    </w:p>
    <w:p>
      <w:pPr>
        <w:pBdr>
          <w:bottom w:val="single" w:color="CCCCCC" w:sz="4" w:space="1"/>
        </w:pBdr>
        <w:spacing w:after="280"/>
      </w:pPr>
      <w:r>
        <w:rPr>
          <w:rFonts w:ascii="Arial" w:cs="Arial" w:eastAsia="Arial" w:hAnsi="Arial"/>
          <w:color w:val="888888"/>
          <w:sz w:val="20"/>
          <w:szCs w:val="20"/>
        </w:rPr>
        <w:t xml:space="preserve">Commercial and research streams  |  Cement mixer blending  |  Two-tier rejection protocol  |  Full intake documentation</w:t>
      </w:r>
    </w:p>
    <w:p>
      <w:r>
        <w:t xml:space="preserve"/>
      </w:r>
    </w:p>
    <w:p>
      <w:pPr>
        <w:pStyle w:val="Heading2"/>
      </w:pPr>
      <w:r>
        <w:t xml:space="preserve">System overview</w:t>
      </w:r>
    </w:p>
    <w:p>
      <w:pPr>
        <w:spacing w:after="100"/>
      </w:pPr>
      <w:r>
        <w:rPr>
          <w:rFonts w:ascii="Arial" w:cs="Arial" w:eastAsia="Arial" w:hAnsi="Arial"/>
          <w:sz w:val="24"/>
          <w:szCs w:val="24"/>
        </w:rPr>
        <w:t xml:space="preserve">The substrate preparation system covers everything from waste delivery at the tunnel gate to substrate loaded into the rearing IBCs. It operates two physically separate processing streams — commercial and research — that share equipment with a clean-between-uses protocol. At peak output of 60kg larvae per week, the system processes approximately 300kg of food waste plus 45kg of wheat bran per week through the commercial stream, and approximately 17kg of mixed substrate per week through the research stream.</w:t>
      </w:r>
    </w:p>
    <w:p>
      <w:pPr>
        <w:spacing w:after="100"/>
      </w:pPr>
      <w:r>
        <w:rPr>
          <w:rFonts w:ascii="Arial" w:cs="Arial" w:eastAsia="Arial" w:hAnsi="Arial"/>
          <w:sz w:val="24"/>
          <w:szCs w:val="24"/>
        </w:rPr>
        <w:t xml:space="preserve">The substrate preparation bay occupies the south end of the tunnel, directly adjacent to the roller door on the east face that opens onto the vehicle track. All waste deliveries arrive here, are inspected and documented, and are either accepted into one of the two processing streams or rejected under the two-tier contamination protocol.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Weekly Volume (peak)</w:t>
            </w:r>
          </w:p>
        </w:tc>
        <w:tc>
          <w:tcPr>
            <w:tcW w:type="dxa" w:w="4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Commercial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~345kg (300kg waste + 45kg bran)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Four rearing IBCs. Full batch tracking. Product enters commercial sale chain.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~17kg (5% of total input)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Dedicated research module. Larvae not in commercial chain. Data recorded for protocol documentation and genetic diversity program.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diversion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 — depends on supplier compliance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 but noncompliant material (meat, bones, mixed protein). Farm personal use. Does not enter either rearing stream.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 rejection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Should be near zero with correct supplier agreements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Unsafe material (heavy metals, chemicals, sharps, unknown substances). Returned to supplier at their cost plus penalty. Documented and retained as a written record.</w:t>
            </w:r>
          </w:p>
        </w:tc>
      </w:tr>
    </w:tbl>
    <w:p>
      <w:r>
        <w:t xml:space="preserve"/>
      </w:r>
    </w:p>
    <w:p>
      <w:pPr>
        <w:pStyle w:val="Heading1"/>
      </w:pPr>
      <w:r>
        <w:t xml:space="preserve">Part 1 — Receiving Bay Setup</w:t>
      </w:r>
    </w:p>
    <w:p>
      <w:pPr>
        <w:spacing w:after="100"/>
      </w:pPr>
      <w:r>
        <w:rPr>
          <w:rFonts w:ascii="Arial" w:cs="Arial" w:eastAsia="Arial" w:hAnsi="Arial"/>
          <w:sz w:val="24"/>
          <w:szCs w:val="24"/>
        </w:rPr>
        <w:t xml:space="preserve">The receiving bay is the south end of the tunnel, accessed through the roller door on the east wall. It handles all incoming waste, the initial inspection, weighing, and stream assignment before substrate moves to mixing. The bay must be kept clean and dry between deliveries — wet residue from previous loads contaminates incoming material and makes accurate weighing impossible.</w:t>
      </w:r>
    </w:p>
    <w:p>
      <w:r>
        <w:t xml:space="preserve"/>
      </w:r>
    </w:p>
    <w:p>
      <w:pPr>
        <w:pStyle w:val="Heading3"/>
      </w:pPr>
      <w:r>
        <w:t xml:space="preserve">Equipment and fittings — receiving bay</w:t>
      </w:r>
    </w:p>
    <w:p>
      <w:pPr>
        <w:pStyle w:val="ListParagraph"/>
        <w:numPr>
          <w:ilvl w:val="0"/>
          <w:numId w:val="2"/>
        </w:numPr>
      </w:pPr>
      <w:r>
        <w:rPr>
          <w:rFonts w:ascii="Arial" w:cs="Arial" w:eastAsia="Arial" w:hAnsi="Arial"/>
          <w:sz w:val="22"/>
          <w:szCs w:val="22"/>
        </w:rPr>
        <w:t xml:space="preserve">Platform scales — minimum 150kg capacity, 1kg resolution. Secondhand commercial kitchen scales are ideal.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Stainless steel or food-grade plastic inspection table — 600mm x 1200mm minimum working surface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20L food-safe buckets with lids — for receiving café and bakery waste  </w:t>
      </w:r>
      <w:r>
        <w:rPr>
          <w:rFonts w:ascii="Arial" w:cs="Arial" w:eastAsia="Arial" w:hAnsi="Arial"/>
          <w:b/>
          <w:bCs/>
          <w:sz w:val="22"/>
          <w:szCs w:val="22"/>
        </w:rPr>
        <w:t xml:space="preserve">10-15</w:t>
      </w:r>
    </w:p>
    <w:p>
      <w:pPr>
        <w:pStyle w:val="ListParagraph"/>
        <w:numPr>
          <w:ilvl w:val="0"/>
          <w:numId w:val="2"/>
        </w:numPr>
      </w:pPr>
      <w:r>
        <w:rPr>
          <w:rFonts w:ascii="Arial" w:cs="Arial" w:eastAsia="Arial" w:hAnsi="Arial"/>
          <w:sz w:val="22"/>
          <w:szCs w:val="22"/>
        </w:rPr>
        <w:t xml:space="preserve">200L blue food barrel or IBC — for farm waste deliveries  </w:t>
      </w:r>
      <w:r>
        <w:rPr>
          <w:rFonts w:ascii="Arial" w:cs="Arial" w:eastAsia="Arial" w:hAnsi="Arial"/>
          <w:b/>
          <w:bCs/>
          <w:sz w:val="22"/>
          <w:szCs w:val="22"/>
        </w:rPr>
        <w:t xml:space="preserve">2-3</w:t>
      </w:r>
    </w:p>
    <w:p>
      <w:pPr>
        <w:pStyle w:val="ListParagraph"/>
        <w:numPr>
          <w:ilvl w:val="0"/>
          <w:numId w:val="2"/>
        </w:numPr>
      </w:pPr>
      <w:r>
        <w:rPr>
          <w:rFonts w:ascii="Arial" w:cs="Arial" w:eastAsia="Arial" w:hAnsi="Arial"/>
          <w:sz w:val="22"/>
          <w:szCs w:val="22"/>
        </w:rPr>
        <w:t xml:space="preserve">Nitrile gloves — box of 100  </w:t>
      </w:r>
      <w:r>
        <w:rPr>
          <w:rFonts w:ascii="Arial" w:cs="Arial" w:eastAsia="Arial" w:hAnsi="Arial"/>
          <w:b/>
          <w:bCs/>
          <w:sz w:val="22"/>
          <w:szCs w:val="22"/>
        </w:rPr>
        <w:t xml:space="preserve">1 box</w:t>
      </w:r>
    </w:p>
    <w:p>
      <w:pPr>
        <w:pStyle w:val="ListParagraph"/>
        <w:numPr>
          <w:ilvl w:val="0"/>
          <w:numId w:val="2"/>
        </w:numPr>
      </w:pPr>
      <w:r>
        <w:rPr>
          <w:rFonts w:ascii="Arial" w:cs="Arial" w:eastAsia="Arial" w:hAnsi="Arial"/>
          <w:sz w:val="22"/>
          <w:szCs w:val="22"/>
        </w:rPr>
        <w:t xml:space="preserve">Inspection torch — for checking interior of containers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Magnetic wand — for detecting metal contamination in loose waste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Waste intake logbook — waterproof cover, pen on a cord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Printed rejection notices — for Tier 2 events  </w:t>
      </w:r>
      <w:r>
        <w:rPr>
          <w:rFonts w:ascii="Arial" w:cs="Arial" w:eastAsia="Arial" w:hAnsi="Arial"/>
          <w:b/>
          <w:bCs/>
          <w:sz w:val="22"/>
          <w:szCs w:val="22"/>
        </w:rPr>
        <w:t xml:space="preserve">10 copies</w:t>
      </w:r>
    </w:p>
    <w:p>
      <w:pPr>
        <w:pStyle w:val="ListParagraph"/>
        <w:numPr>
          <w:ilvl w:val="0"/>
          <w:numId w:val="2"/>
        </w:numPr>
      </w:pPr>
      <w:r>
        <w:rPr>
          <w:rFonts w:ascii="Arial" w:cs="Arial" w:eastAsia="Arial" w:hAnsi="Arial"/>
          <w:sz w:val="22"/>
          <w:szCs w:val="22"/>
        </w:rPr>
        <w:t xml:space="preserve">Lockable bin with lid — for Tier 1 diversion material holding  </w:t>
      </w:r>
      <w:r>
        <w:rPr>
          <w:rFonts w:ascii="Arial" w:cs="Arial" w:eastAsia="Arial" w:hAnsi="Arial"/>
          <w:b/>
          <w:bCs/>
          <w:sz w:val="22"/>
          <w:szCs w:val="22"/>
        </w:rPr>
        <w:t xml:space="preserve">1 x 120L</w:t>
      </w:r>
    </w:p>
    <w:p>
      <w:pPr>
        <w:pStyle w:val="ListParagraph"/>
        <w:numPr>
          <w:ilvl w:val="0"/>
          <w:numId w:val="2"/>
        </w:numPr>
      </w:pPr>
      <w:r>
        <w:rPr>
          <w:rFonts w:ascii="Arial" w:cs="Arial" w:eastAsia="Arial" w:hAnsi="Arial"/>
          <w:sz w:val="22"/>
          <w:szCs w:val="22"/>
        </w:rPr>
        <w:t xml:space="preserve">Hose reel with 19mm hose connected to water outlet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Broom, mop, and bucket — bay cleaning  </w:t>
      </w:r>
      <w:r>
        <w:rPr>
          <w:rFonts w:ascii="Arial" w:cs="Arial" w:eastAsia="Arial" w:hAnsi="Arial"/>
          <w:b/>
          <w:bCs/>
          <w:sz w:val="22"/>
          <w:szCs w:val="22"/>
        </w:rPr>
        <w:t xml:space="preserve">1 set</w:t>
      </w:r>
    </w:p>
    <w:p>
      <w:r>
        <w:t xml:space="preserve"/>
      </w:r>
    </w:p>
    <w:p>
      <w:pPr>
        <w:pStyle w:val="ListParagraph"/>
        <w:numPr>
          <w:ilvl w:val="0"/>
          <w:numId w:val="3"/>
        </w:numPr>
        <w:spacing w:after="60" w:before="160"/>
      </w:pPr>
      <w:r>
        <w:rPr>
          <w:rFonts w:ascii="Arial" w:cs="Arial" w:eastAsia="Arial" w:hAnsi="Arial"/>
          <w:b/>
          <w:bCs/>
          <w:sz w:val="24"/>
          <w:szCs w:val="24"/>
        </w:rPr>
        <w:t xml:space="preserve">Position the platform scales</w:t>
      </w:r>
    </w:p>
    <w:p>
      <w:pPr>
        <w:spacing w:after="80"/>
        <w:ind w:left="720"/>
      </w:pPr>
      <w:r>
        <w:rPr>
          <w:rFonts w:ascii="Arial" w:cs="Arial" w:eastAsia="Arial" w:hAnsi="Arial"/>
          <w:sz w:val="22"/>
          <w:szCs w:val="22"/>
        </w:rPr>
        <w:t xml:space="preserve">Fix the platform scales permanently against the east wall, immediately inside the roller door. Every delivery is weighed on arrival before anything else. The scales must be on a flat, stable surface — pour a small concrete pad if the tunnel floor is uneven at this point, or use a 600x600mm paving slab as a level base. Zero the scales before each delivery session.</w:t>
      </w:r>
    </w:p>
    <w:p>
      <w:pPr>
        <w:pStyle w:val="ListParagraph"/>
        <w:numPr>
          <w:ilvl w:val="0"/>
          <w:numId w:val="3"/>
        </w:numPr>
        <w:spacing w:after="60" w:before="160"/>
      </w:pPr>
      <w:r>
        <w:rPr>
          <w:rFonts w:ascii="Arial" w:cs="Arial" w:eastAsia="Arial" w:hAnsi="Arial"/>
          <w:b/>
          <w:bCs/>
          <w:sz w:val="24"/>
          <w:szCs w:val="24"/>
        </w:rPr>
        <w:t xml:space="preserve">Set up the inspection table</w:t>
      </w:r>
    </w:p>
    <w:p>
      <w:pPr>
        <w:spacing w:after="80"/>
        <w:ind w:left="720"/>
      </w:pPr>
      <w:r>
        <w:rPr>
          <w:rFonts w:ascii="Arial" w:cs="Arial" w:eastAsia="Arial" w:hAnsi="Arial"/>
          <w:sz w:val="22"/>
          <w:szCs w:val="22"/>
        </w:rPr>
        <w:t xml:space="preserve">Position the inspection table adjacent to the scales. This is where individual 20L buckets are opened, visually inspected, and sorted before being weighed. The table surface must be smooth, non-porous, and easy to clean. A secondhand stainless steel commercial kitchen bench is ideal — common at restaurant supply auctions and on Facebook Marketplace for $80-150.</w:t>
      </w:r>
    </w:p>
    <w:p>
      <w:pPr>
        <w:pStyle w:val="ListParagraph"/>
        <w:numPr>
          <w:ilvl w:val="0"/>
          <w:numId w:val="3"/>
        </w:numPr>
        <w:spacing w:after="60" w:before="160"/>
      </w:pPr>
      <w:r>
        <w:rPr>
          <w:rFonts w:ascii="Arial" w:cs="Arial" w:eastAsia="Arial" w:hAnsi="Arial"/>
          <w:b/>
          <w:bCs/>
          <w:sz w:val="24"/>
          <w:szCs w:val="24"/>
        </w:rPr>
        <w:t xml:space="preserve">Install the lockable diversion bin</w:t>
      </w:r>
    </w:p>
    <w:p>
      <w:pPr>
        <w:spacing w:after="80"/>
        <w:ind w:left="720"/>
      </w:pPr>
      <w:r>
        <w:rPr>
          <w:rFonts w:ascii="Arial" w:cs="Arial" w:eastAsia="Arial" w:hAnsi="Arial"/>
          <w:sz w:val="22"/>
          <w:szCs w:val="22"/>
        </w:rPr>
        <w:t xml:space="preserve">Position the 120L lockable bin against the south wall of the receiving bay, clearly labelled TIER 1 DIVERSION — FARM USE ONLY in permanent marker or a laminated label. This bin holds safe but noncompliant material between collection runs. It must be lockable to prevent accidental access and must have a sealed lid to control odour. Empty it to its farm use destination at least twice per week — do not allow it to overflow into the bay.</w:t>
      </w:r>
    </w:p>
    <w:p>
      <w:pPr>
        <w:pStyle w:val="ListParagraph"/>
        <w:numPr>
          <w:ilvl w:val="0"/>
          <w:numId w:val="3"/>
        </w:numPr>
        <w:spacing w:after="60" w:before="160"/>
      </w:pPr>
      <w:r>
        <w:rPr>
          <w:rFonts w:ascii="Arial" w:cs="Arial" w:eastAsia="Arial" w:hAnsi="Arial"/>
          <w:b/>
          <w:bCs/>
          <w:sz w:val="24"/>
          <w:szCs w:val="24"/>
        </w:rPr>
        <w:t xml:space="preserve">Mark stream assignment zones on the floor</w:t>
      </w:r>
    </w:p>
    <w:p>
      <w:pPr>
        <w:spacing w:after="80"/>
        <w:ind w:left="720"/>
      </w:pPr>
      <w:r>
        <w:rPr>
          <w:rFonts w:ascii="Arial" w:cs="Arial" w:eastAsia="Arial" w:hAnsi="Arial"/>
          <w:sz w:val="22"/>
          <w:szCs w:val="22"/>
        </w:rPr>
        <w:t xml:space="preserve">Using coloured cable ties or paint, mark two staging zones on the bay floor: one labelled COMMERCIAL (green) and one labelled RESEARCH (yellow). Accepted containers are placed in their assigned zone after inspection and before mixing. This simple visual system prevents mixing up streams on busy delivery days when multiple suppliers arrive in sequence.</w:t>
      </w:r>
    </w:p>
    <w:p>
      <w:r>
        <w:t xml:space="preserve"/>
      </w:r>
    </w:p>
    <w:p>
      <w:pPr>
        <w:pStyle w:val="Heading1"/>
      </w:pPr>
      <w:r>
        <w:t xml:space="preserve">Part 2 — Intake Inspection Protocol</w:t>
      </w:r>
    </w:p>
    <w:p>
      <w:pPr>
        <w:spacing w:after="100"/>
      </w:pPr>
      <w:r>
        <w:rPr>
          <w:rFonts w:ascii="Arial" w:cs="Arial" w:eastAsia="Arial" w:hAnsi="Arial"/>
          <w:sz w:val="24"/>
          <w:szCs w:val="24"/>
        </w:rPr>
        <w:t xml:space="preserve">Every delivery follows the same inspection sequence without exception. Speed is not a reason to skip steps. A single contaminated batch that reaches a rearing IBC can compromise product certification, trigger a customer complaint, and damage standing orders that take months to rebuild. The inspection takes 3-5 minutes per 20L bucket and 10-15 minutes per IBC or barrel delivery.</w:t>
      </w:r>
    </w:p>
    <w:p>
      <w:r>
        <w:t xml:space="preserve"/>
      </w:r>
    </w:p>
    <w:p>
      <w:pPr>
        <w:pStyle w:val="Heading2"/>
      </w:pPr>
      <w:r>
        <w:t xml:space="preserve">2A — Documentation first</w:t>
      </w:r>
    </w:p>
    <w:p>
      <w:pPr>
        <w:pStyle w:val="ListParagraph"/>
        <w:numPr>
          <w:ilvl w:val="0"/>
          <w:numId w:val="3"/>
        </w:numPr>
        <w:spacing w:after="60" w:before="160"/>
      </w:pPr>
      <w:r>
        <w:rPr>
          <w:rFonts w:ascii="Arial" w:cs="Arial" w:eastAsia="Arial" w:hAnsi="Arial"/>
          <w:b/>
          <w:bCs/>
          <w:sz w:val="24"/>
          <w:szCs w:val="24"/>
        </w:rPr>
        <w:t xml:space="preserve">Record the delivery before opening anything</w:t>
      </w:r>
    </w:p>
    <w:p>
      <w:pPr>
        <w:spacing w:after="80"/>
        <w:ind w:left="720"/>
      </w:pPr>
      <w:r>
        <w:rPr>
          <w:rFonts w:ascii="Arial" w:cs="Arial" w:eastAsia="Arial" w:hAnsi="Arial"/>
          <w:sz w:val="22"/>
          <w:szCs w:val="22"/>
        </w:rPr>
        <w:t xml:space="preserve">Before opening or inspecting any container, record in the intake logbook: date and time, supplier name, number of containers, container type (20L bucket, 200L barrel, IBC), and the supplier's stated waste description. This entry exists even if the load is subsequently rejected — the record of rejection is as important as the record of acceptance for your Biosecurity Queensland compliance documentation.</w:t>
      </w:r>
    </w:p>
    <w:p>
      <w:pPr>
        <w:pBdr>
          <w:left w:val="single" w:color="1565C0" w:sz="12"/>
        </w:pBdr>
        <w:spacing w:after="80" w:before="80"/>
        <w:ind w:left="360"/>
      </w:pPr>
      <w:r>
        <w:rPr>
          <w:rFonts w:ascii="Arial" w:cs="Arial" w:eastAsia="Arial" w:hAnsi="Arial"/>
          <w:color w:val="0D47A1"/>
          <w:sz w:val="22"/>
          <w:szCs w:val="22"/>
        </w:rPr>
        <w:t xml:space="preserve">NOTE: Your waste supply contracts should require suppliers to provide a written waste description with each delivery — either a printed note in the first container or a text message sent on the day of delivery. This shifts the documentation burden partly to the supplier and creates a paper trail that protects you if a contamination dispute arises.</w:t>
      </w:r>
    </w:p>
    <w:p>
      <w:r>
        <w:t xml:space="preserve"/>
      </w:r>
    </w:p>
    <w:p>
      <w:pPr>
        <w:pStyle w:val="Heading2"/>
      </w:pPr>
      <w:r>
        <w:t xml:space="preserve">2B — Visual inspection</w:t>
      </w:r>
    </w:p>
    <w:p>
      <w:pPr>
        <w:pStyle w:val="ListParagraph"/>
        <w:numPr>
          <w:ilvl w:val="0"/>
          <w:numId w:val="3"/>
        </w:numPr>
        <w:spacing w:after="60" w:before="160"/>
      </w:pPr>
      <w:r>
        <w:rPr>
          <w:rFonts w:ascii="Arial" w:cs="Arial" w:eastAsia="Arial" w:hAnsi="Arial"/>
          <w:b/>
          <w:bCs/>
          <w:sz w:val="24"/>
          <w:szCs w:val="24"/>
        </w:rPr>
        <w:t xml:space="preserve">Open and inspect each container</w:t>
      </w:r>
    </w:p>
    <w:p>
      <w:pPr>
        <w:spacing w:after="80"/>
        <w:ind w:left="720"/>
      </w:pPr>
      <w:r>
        <w:rPr>
          <w:rFonts w:ascii="Arial" w:cs="Arial" w:eastAsia="Arial" w:hAnsi="Arial"/>
          <w:sz w:val="22"/>
          <w:szCs w:val="22"/>
        </w:rPr>
        <w:t xml:space="preserve">Put on nitrile gloves. Open each container and visually inspect the contents under good light — use the inspection torch for deep containers. Look for: any visible non-plant material (meat, bones, packaging, plastic, glass), any unusual colour (bright chemical colours, oil sheen on liquid waste), any unusual smell beyond normal fermentation or food waste odour, and any sharp objects visible near the surface. Do not reach into a container before inspecting with the torch.</w:t>
      </w:r>
    </w:p>
    <w:p>
      <w:pPr>
        <w:pStyle w:val="ListParagraph"/>
        <w:numPr>
          <w:ilvl w:val="0"/>
          <w:numId w:val="3"/>
        </w:numPr>
        <w:spacing w:after="60" w:before="160"/>
      </w:pPr>
      <w:r>
        <w:rPr>
          <w:rFonts w:ascii="Arial" w:cs="Arial" w:eastAsia="Arial" w:hAnsi="Arial"/>
          <w:b/>
          <w:bCs/>
          <w:sz w:val="24"/>
          <w:szCs w:val="24"/>
        </w:rPr>
        <w:t xml:space="preserve">Use the magnetic wand on loose bulk waste</w:t>
      </w:r>
    </w:p>
    <w:p>
      <w:pPr>
        <w:spacing w:after="80"/>
        <w:ind w:left="720"/>
      </w:pPr>
      <w:r>
        <w:rPr>
          <w:rFonts w:ascii="Arial" w:cs="Arial" w:eastAsia="Arial" w:hAnsi="Arial"/>
          <w:sz w:val="22"/>
          <w:szCs w:val="22"/>
        </w:rPr>
        <w:t xml:space="preserve">For farm deliveries in IBCs or barrels containing loose vegetable waste, pass the magnetic wand slowly through the material at three or four points. Metal contamination — staples, baling wire, equipment fragments — is common in farm waste and dangerous to larvae and to the cement mixer drum. Any magnetic response means the material requires hand-sorting before acceptance.</w:t>
      </w:r>
    </w:p>
    <w:p>
      <w:pPr>
        <w:pBdr>
          <w:left w:val="single" w:color="E8A000" w:sz="12"/>
        </w:pBdr>
        <w:spacing w:after="80" w:before="80"/>
        <w:ind w:left="360"/>
      </w:pPr>
      <w:r>
        <w:rPr>
          <w:rFonts w:ascii="Arial" w:cs="Arial" w:eastAsia="Arial" w:hAnsi="Arial"/>
          <w:color w:val="7A4500"/>
          <w:sz w:val="22"/>
          <w:szCs w:val="22"/>
        </w:rPr>
        <w:t xml:space="preserve">CAUTION: Never reach bare-handed into an uninspected container of waste. Sharps — broken glass, metal fragments, syringes — are the most serious contamination risk and the most likely to cause personal injury during inspection. Always use the torch first and gloves throughout.</w:t>
      </w:r>
    </w:p>
    <w:p>
      <w:r>
        <w:t xml:space="preserve"/>
      </w:r>
    </w:p>
    <w:p>
      <w:pPr>
        <w:pStyle w:val="Heading2"/>
      </w:pPr>
      <w:r>
        <w:t xml:space="preserve">2C — Stream assignment decision</w:t>
      </w:r>
    </w:p>
    <w:p>
      <w:pPr>
        <w:spacing w:after="100"/>
      </w:pPr>
      <w:r>
        <w:rPr>
          <w:rFonts w:ascii="Arial" w:cs="Arial" w:eastAsia="Arial" w:hAnsi="Arial"/>
          <w:sz w:val="24"/>
          <w:szCs w:val="24"/>
        </w:rPr>
        <w:t xml:space="preserve">After visual inspection, assign each container to one of four outcomes: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4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Commercial stream — accept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Vegetable scraps, fruit waste, bread, coffee grounds, spent grain, or other DAF-approved material. No visible contamination. Normal smell.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Weigh, record weight against supplier, place in green commercial staging zone.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stream — divert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Approved material base but mixed with small amounts of non-compliant organic material (e.g. small amount of meat or dairy mixed through vegetable waste) that cannot be easily separated. Material is safe but not approved for commercial larvae.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Weigh, record weight, place in yellow research staging zone. Note in logbook: reason for research diversion.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diversion — farm 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 but clearly noncompliant material: visible meat, bones, cooked food scraps, dairy. No chemical or physical hazard. Volume too large or contamination too thorough to use even in research stream.</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Weigh, record, transfer to Tier 1 diversion bin. Note supplier and volume in logbook. No penalty — notify supplier of correct waste separation for next delivery.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 rejection — return to supplier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Unsafe material: chemical smell or discolouration, visible sharps, unknown substances, heavy packaging suggesting industrial origin, any material that cannot be identified.</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 not accept. Seal container. Complete rejection notice. Contact supplier immediately. Supplier collects at their cost within 24 hours. Penalty applies per contract terms. Document with photos.</w:t>
            </w:r>
          </w:p>
        </w:tc>
      </w:tr>
    </w:tbl>
    <w:p>
      <w:r>
        <w:t xml:space="preserve"/>
      </w:r>
    </w:p>
    <w:p>
      <w:pPr>
        <w:pBdr>
          <w:left w:val="single" w:color="E8A000" w:sz="12"/>
        </w:pBdr>
        <w:spacing w:after="80" w:before="80"/>
        <w:ind w:left="360"/>
      </w:pPr>
      <w:r>
        <w:rPr>
          <w:rFonts w:ascii="Arial" w:cs="Arial" w:eastAsia="Arial" w:hAnsi="Arial"/>
          <w:color w:val="7A4500"/>
          <w:sz w:val="22"/>
          <w:szCs w:val="22"/>
        </w:rPr>
        <w:t xml:space="preserve">CAUTION: If you are uncertain whether a material is safe, reject it to Tier 2. The cost of a tip run paid by a supplier is trivial compared to the cost of a contaminated batch. When in doubt, reject.</w:t>
      </w:r>
    </w:p>
    <w:p>
      <w:r>
        <w:t xml:space="preserve"/>
      </w:r>
    </w:p>
    <w:p>
      <w:pPr>
        <w:pStyle w:val="Heading2"/>
      </w:pPr>
      <w:r>
        <w:t xml:space="preserve">2D — Weighing and recording accepted material</w:t>
      </w:r>
    </w:p>
    <w:p>
      <w:pPr>
        <w:pStyle w:val="ListParagraph"/>
        <w:numPr>
          <w:ilvl w:val="0"/>
          <w:numId w:val="3"/>
        </w:numPr>
        <w:spacing w:after="60" w:before="160"/>
      </w:pPr>
      <w:r>
        <w:rPr>
          <w:rFonts w:ascii="Arial" w:cs="Arial" w:eastAsia="Arial" w:hAnsi="Arial"/>
          <w:b/>
          <w:bCs/>
          <w:sz w:val="24"/>
          <w:szCs w:val="24"/>
        </w:rPr>
        <w:t xml:space="preserve">Weigh each accepted container on the platform scales</w:t>
      </w:r>
    </w:p>
    <w:p>
      <w:pPr>
        <w:spacing w:after="80"/>
        <w:ind w:left="720"/>
      </w:pPr>
      <w:r>
        <w:rPr>
          <w:rFonts w:ascii="Arial" w:cs="Arial" w:eastAsia="Arial" w:hAnsi="Arial"/>
          <w:sz w:val="22"/>
          <w:szCs w:val="22"/>
        </w:rPr>
        <w:t xml:space="preserve">Place each accepted container on the scales and record the gross weight in the logbook. Tare the scales with an empty equivalent container to get net waste weight. Record net weight against supplier name and date. This is your substrate input record — it feeds directly into your conversion rate calculations (kg waste in versus kg larvae out per batch) which are the core data of your licensed protocol.</w:t>
      </w:r>
    </w:p>
    <w:p>
      <w:pPr>
        <w:pStyle w:val="ListParagraph"/>
        <w:numPr>
          <w:ilvl w:val="0"/>
          <w:numId w:val="3"/>
        </w:numPr>
        <w:spacing w:after="60" w:before="160"/>
      </w:pPr>
      <w:r>
        <w:rPr>
          <w:rFonts w:ascii="Arial" w:cs="Arial" w:eastAsia="Arial" w:hAnsi="Arial"/>
          <w:b/>
          <w:bCs/>
          <w:sz w:val="24"/>
          <w:szCs w:val="24"/>
        </w:rPr>
        <w:t xml:space="preserve">Calculate weekly supplier totals</w:t>
      </w:r>
    </w:p>
    <w:p>
      <w:pPr>
        <w:spacing w:after="80"/>
        <w:ind w:left="720"/>
      </w:pPr>
      <w:r>
        <w:rPr>
          <w:rFonts w:ascii="Arial" w:cs="Arial" w:eastAsia="Arial" w:hAnsi="Arial"/>
          <w:sz w:val="22"/>
          <w:szCs w:val="22"/>
        </w:rPr>
        <w:t xml:space="preserve">At the end of each week, total the accepted waste weight per supplier. This gives you your supplier reliability metric — a supplier consistently delivering 80kg per week is a key supply relationship to protect. A supplier whose deliveries are frequently partially diverted or rejected needs a conversation about waste separation. Track this monthly and discuss it at your next supplier contact.</w:t>
      </w:r>
    </w:p>
    <w:p>
      <w:r>
        <w:t xml:space="preserve"/>
      </w:r>
    </w:p>
    <w:p>
      <w:pPr>
        <w:pStyle w:val="Heading1"/>
      </w:pPr>
      <w:r>
        <w:t xml:space="preserve">Part 3 — Pre-Mixing Storage</w:t>
      </w:r>
    </w:p>
    <w:p>
      <w:pPr>
        <w:spacing w:after="100"/>
      </w:pPr>
      <w:r>
        <w:rPr>
          <w:rFonts w:ascii="Arial" w:cs="Arial" w:eastAsia="Arial" w:hAnsi="Arial"/>
          <w:sz w:val="24"/>
          <w:szCs w:val="24"/>
        </w:rPr>
        <w:t xml:space="preserve">Accepted waste does not always go straight into the mixer. On a day with multiple deliveries you may be accumulating material for a mixing session later in the day or the following morning. Storage between inspection and mixing must be managed carefully — wet organic waste stored incorrectly can go anaerobic within hours on a warm day, producing ammonia that carries through into the mixed substrate and stresses larvae.</w:t>
      </w:r>
    </w:p>
    <w:p>
      <w:r>
        <w:t xml:space="preserve"/>
      </w:r>
    </w:p>
    <w:p>
      <w:pPr>
        <w:pStyle w:val="Heading3"/>
      </w:pPr>
      <w:r>
        <w:t xml:space="preserve">Commercial stream storage</w:t>
      </w:r>
    </w:p>
    <w:p>
      <w:pPr>
        <w:pStyle w:val="ListParagraph"/>
        <w:numPr>
          <w:ilvl w:val="0"/>
          <w:numId w:val="3"/>
        </w:numPr>
        <w:spacing w:after="60" w:before="160"/>
      </w:pPr>
      <w:r>
        <w:rPr>
          <w:rFonts w:ascii="Arial" w:cs="Arial" w:eastAsia="Arial" w:hAnsi="Arial"/>
          <w:b/>
          <w:bCs/>
          <w:sz w:val="24"/>
          <w:szCs w:val="24"/>
        </w:rPr>
        <w:t xml:space="preserve">Store accepted commercial waste in sealed containers in the receiving bay</w:t>
      </w:r>
    </w:p>
    <w:p>
      <w:pPr>
        <w:spacing w:after="80"/>
        <w:ind w:left="720"/>
      </w:pPr>
      <w:r>
        <w:rPr>
          <w:rFonts w:ascii="Arial" w:cs="Arial" w:eastAsia="Arial" w:hAnsi="Arial"/>
          <w:sz w:val="22"/>
          <w:szCs w:val="22"/>
        </w:rPr>
        <w:t xml:space="preserve">Keep accepted 20L buckets sealed and stacked in the commercial staging zone. Do not consolidate multiple buckets into one container before mixing — consolidation accelerates anaerobic fermentation. Store for a maximum of 24 hours before mixing. If a delivery day produces more material than you can mix and load within 24 hours, refrigeration is not practical at your scale — instead, prioritise mixing the oldest material first and maintain contact with suppliers about delivery scheduling to avoid accumulation.</w:t>
      </w:r>
    </w:p>
    <w:p>
      <w:pPr>
        <w:pStyle w:val="ListParagraph"/>
        <w:numPr>
          <w:ilvl w:val="0"/>
          <w:numId w:val="3"/>
        </w:numPr>
        <w:spacing w:after="60" w:before="160"/>
      </w:pPr>
      <w:r>
        <w:rPr>
          <w:rFonts w:ascii="Arial" w:cs="Arial" w:eastAsia="Arial" w:hAnsi="Arial"/>
          <w:b/>
          <w:bCs/>
          <w:sz w:val="24"/>
          <w:szCs w:val="24"/>
        </w:rPr>
        <w:t xml:space="preserve">Manage IBC and barrel deliveries carefully in hot weather</w:t>
      </w:r>
    </w:p>
    <w:p>
      <w:pPr>
        <w:spacing w:after="80"/>
        <w:ind w:left="720"/>
      </w:pPr>
      <w:r>
        <w:rPr>
          <w:rFonts w:ascii="Arial" w:cs="Arial" w:eastAsia="Arial" w:hAnsi="Arial"/>
          <w:sz w:val="22"/>
          <w:szCs w:val="22"/>
        </w:rPr>
        <w:t xml:space="preserve">A full IBC of warm vegetable waste sitting in a 35°C tunnel will begin going anaerobic within 4-6 hours. In summer, mix IBC deliveries on the same day they arrive if at all possible. If you cannot, open the IBC top hatch to allow gas escape and reduce anaerobic fermentation rate. A substrate that smells of ammonia rather than normal fermentation has already begun to degrade — it can still be used but mix it with a higher proportion of dry bran to buffer the nitrogen load.</w:t>
      </w:r>
    </w:p>
    <w:p>
      <w:pPr>
        <w:pBdr>
          <w:left w:val="single" w:color="2E7D32" w:sz="12"/>
        </w:pBdr>
        <w:spacing w:after="80" w:before="80"/>
        <w:ind w:left="360"/>
      </w:pPr>
      <w:r>
        <w:rPr>
          <w:rFonts w:ascii="Arial" w:cs="Arial" w:eastAsia="Arial" w:hAnsi="Arial"/>
          <w:color w:val="1B5E20"/>
          <w:sz w:val="22"/>
          <w:szCs w:val="22"/>
        </w:rPr>
        <w:t xml:space="preserve">TIP: The best schedule for waste collection and mixing is: collect waste in the morning, inspect and assign on arrival, mix in the afternoon of the same day, load IBCs the following morning. This gives the mixed substrate one overnight rest period to equilibrate moisture and temperature before larvae are introduced.</w:t>
      </w:r>
    </w:p>
    <w:p>
      <w:r>
        <w:t xml:space="preserve"/>
      </w:r>
    </w:p>
    <w:p>
      <w:pPr>
        <w:pStyle w:val="Heading3"/>
      </w:pPr>
      <w:r>
        <w:t xml:space="preserve">Wheat bran storage</w:t>
      </w:r>
    </w:p>
    <w:p>
      <w:pPr>
        <w:pStyle w:val="ListParagraph"/>
        <w:numPr>
          <w:ilvl w:val="0"/>
          <w:numId w:val="3"/>
        </w:numPr>
        <w:spacing w:after="60" w:before="160"/>
      </w:pPr>
      <w:r>
        <w:rPr>
          <w:rFonts w:ascii="Arial" w:cs="Arial" w:eastAsia="Arial" w:hAnsi="Arial"/>
          <w:b/>
          <w:bCs/>
          <w:sz w:val="24"/>
          <w:szCs w:val="24"/>
        </w:rPr>
        <w:t xml:space="preserve">Store wheat bran in a sealed food-grade container away from moisture</w:t>
      </w:r>
    </w:p>
    <w:p>
      <w:pPr>
        <w:spacing w:after="80"/>
        <w:ind w:left="720"/>
      </w:pPr>
      <w:r>
        <w:rPr>
          <w:rFonts w:ascii="Arial" w:cs="Arial" w:eastAsia="Arial" w:hAnsi="Arial"/>
          <w:sz w:val="22"/>
          <w:szCs w:val="22"/>
        </w:rPr>
        <w:t xml:space="preserve">Wheat bran absorbs moisture rapidly and goes rancid or mouldy within days if stored in open bags. Transfer bran from supplier bags into a sealed food-grade container — a 60-120L plastic tub with a snap-on lid is ideal. Store in the coolest part of the tunnel or in a separate dry storage area. Buy bran in quantities you will use within 2-3 weeks to maintain freshness. Rancid bran reduces feed palatability and conversion rates.</w:t>
      </w:r>
    </w:p>
    <w:p>
      <w:pPr>
        <w:pBdr>
          <w:left w:val="single" w:color="1565C0" w:sz="12"/>
        </w:pBdr>
        <w:spacing w:after="80" w:before="80"/>
        <w:ind w:left="360"/>
      </w:pPr>
      <w:r>
        <w:rPr>
          <w:rFonts w:ascii="Arial" w:cs="Arial" w:eastAsia="Arial" w:hAnsi="Arial"/>
          <w:color w:val="0D47A1"/>
          <w:sz w:val="22"/>
          <w:szCs w:val="22"/>
        </w:rPr>
        <w:t xml:space="preserve">NOTE: At peak production of 60kg larvae per week you need approximately 45kg of wheat bran per week. At roughly $0.80-1.20 per kg for stockfeed-grade wheat bran from rural suppliers in the Lockyer Valley, this is a cost of $36-54 per week that is already included in the financial model at $0.50 per kg larvae. Buy in 25kg bags from Landmark, Elders, or a local grain merchant — bulk pricing applies from approximately 100kg.</w:t>
      </w:r>
    </w:p>
    <w:p>
      <w:r>
        <w:t xml:space="preserve"/>
      </w:r>
    </w:p>
    <w:p>
      <w:pPr>
        <w:pStyle w:val="Heading3"/>
      </w:pPr>
      <w:r>
        <w:t xml:space="preserve">Research stream storage</w:t>
      </w:r>
    </w:p>
    <w:p>
      <w:pPr>
        <w:pStyle w:val="ListParagraph"/>
        <w:numPr>
          <w:ilvl w:val="0"/>
          <w:numId w:val="3"/>
        </w:numPr>
        <w:spacing w:after="60" w:before="160"/>
      </w:pPr>
      <w:r>
        <w:rPr>
          <w:rFonts w:ascii="Arial" w:cs="Arial" w:eastAsia="Arial" w:hAnsi="Arial"/>
          <w:b/>
          <w:bCs/>
          <w:sz w:val="24"/>
          <w:szCs w:val="24"/>
        </w:rPr>
        <w:t xml:space="preserve">Store research stream material separately and clearly labelled</w:t>
      </w:r>
    </w:p>
    <w:p>
      <w:pPr>
        <w:spacing w:after="80"/>
        <w:ind w:left="720"/>
      </w:pPr>
      <w:r>
        <w:rPr>
          <w:rFonts w:ascii="Arial" w:cs="Arial" w:eastAsia="Arial" w:hAnsi="Arial"/>
          <w:sz w:val="22"/>
          <w:szCs w:val="22"/>
        </w:rPr>
        <w:t xml:space="preserve">Research stream material is stored in a dedicated yellow-labelled container in the research staging zone. Never store commercial and research stream material in the same container or in unlabelled containers. If a mixing session is delayed, research material follows the same 24-hour maximum storage guideline as commercial material.</w:t>
      </w:r>
    </w:p>
    <w:p>
      <w:r>
        <w:t xml:space="preserve"/>
      </w:r>
    </w:p>
    <w:p>
      <w:pPr>
        <w:pStyle w:val="Heading1"/>
      </w:pPr>
      <w:r>
        <w:t xml:space="preserve">Part 4 — Mixing Protocol</w:t>
      </w:r>
    </w:p>
    <w:p>
      <w:pPr>
        <w:spacing w:after="100"/>
      </w:pPr>
      <w:r>
        <w:rPr>
          <w:rFonts w:ascii="Arial" w:cs="Arial" w:eastAsia="Arial" w:hAnsi="Arial"/>
          <w:sz w:val="24"/>
          <w:szCs w:val="24"/>
        </w:rPr>
        <w:t xml:space="preserve">The cement mixer is the core piece of equipment in the substrate preparation system. It blends food waste and wheat bran to a consistent moisture and particle size distribution that maximises bioconversion efficiency. The mixing protocol is the same for both commercial and research streams, with a documented clean-between-streams procedure.</w:t>
      </w:r>
    </w:p>
    <w:p>
      <w:r>
        <w:t xml:space="preserve"/>
      </w:r>
    </w:p>
    <w:p>
      <w:pPr>
        <w:pStyle w:val="Heading3"/>
      </w:pPr>
      <w:r>
        <w:t xml:space="preserve">Mixer setup and positioning</w:t>
      </w:r>
    </w:p>
    <w:p>
      <w:pPr>
        <w:pStyle w:val="ListParagraph"/>
        <w:numPr>
          <w:ilvl w:val="0"/>
          <w:numId w:val="3"/>
        </w:numPr>
        <w:spacing w:after="60" w:before="160"/>
      </w:pPr>
      <w:r>
        <w:rPr>
          <w:rFonts w:ascii="Arial" w:cs="Arial" w:eastAsia="Arial" w:hAnsi="Arial"/>
          <w:b/>
          <w:bCs/>
          <w:sz w:val="24"/>
          <w:szCs w:val="24"/>
        </w:rPr>
        <w:t xml:space="preserve">Position the mixer adjacent to the receiving bay</w:t>
      </w:r>
    </w:p>
    <w:p>
      <w:pPr>
        <w:spacing w:after="80"/>
        <w:ind w:left="720"/>
      </w:pPr>
      <w:r>
        <w:rPr>
          <w:rFonts w:ascii="Arial" w:cs="Arial" w:eastAsia="Arial" w:hAnsi="Arial"/>
          <w:sz w:val="22"/>
          <w:szCs w:val="22"/>
        </w:rPr>
        <w:t xml:space="preserve">The cement mixer should sit on a stable flat surface at the northern edge of the receiving bay, close enough to the commercial staging zone that 20L buckets can be tipped directly into the drum without carrying them more than 1-2 metres. Position it so the drum discharge (when tilted forward) empties directly into a 60L collection tub placed below the drum opening. The mixer power cord runs to the power outlet in the receiving bay — do not use an extension cord longer than 10m for a cement mixer as voltage drop can cause motor strain.</w:t>
      </w:r>
    </w:p>
    <w:p>
      <w:r>
        <w:t xml:space="preserve"/>
      </w:r>
    </w:p>
    <w:p>
      <w:pPr>
        <w:pStyle w:val="Heading3"/>
      </w:pPr>
      <w:r>
        <w:t xml:space="preserve">Commercial stream mixing — weekly schedule</w:t>
      </w:r>
    </w:p>
    <w:p>
      <w:pPr>
        <w:spacing w:after="100"/>
      </w:pPr>
      <w:r>
        <w:rPr>
          <w:rFonts w:ascii="Arial" w:cs="Arial" w:eastAsia="Arial" w:hAnsi="Arial"/>
          <w:sz w:val="24"/>
          <w:szCs w:val="24"/>
        </w:rPr>
        <w:t xml:space="preserve">At peak output of 60kg larvae per week you need approximately 345kg of mixed substrate per week across the four rearing IBCs. Each IBC receives approximately 86kg of mixed substrate per batch (based on 150-180mm substrate depth in a standard 1000L IBC at approximately 400kg per cubic metre bulk density for food waste). The cement mixer drum typically holds 60-80L working volume, which at food waste bulk density is approximately 25-35kg per load. Allow 6-10 mixer loads per mixing session.</w:t>
      </w:r>
    </w:p>
    <w:p>
      <w:r>
        <w:t xml:space="preserve"/>
      </w:r>
    </w:p>
    <w:p>
      <w:pPr>
        <w:pStyle w:val="ListParagraph"/>
        <w:numPr>
          <w:ilvl w:val="0"/>
          <w:numId w:val="3"/>
        </w:numPr>
        <w:spacing w:after="60" w:before="160"/>
      </w:pPr>
      <w:r>
        <w:rPr>
          <w:rFonts w:ascii="Arial" w:cs="Arial" w:eastAsia="Arial" w:hAnsi="Arial"/>
          <w:b/>
          <w:bCs/>
          <w:sz w:val="24"/>
          <w:szCs w:val="24"/>
        </w:rPr>
        <w:t xml:space="preserve">Calculate the bran addition for each mixer load</w:t>
      </w:r>
    </w:p>
    <w:p>
      <w:pPr>
        <w:spacing w:after="80"/>
        <w:ind w:left="720"/>
      </w:pPr>
      <w:r>
        <w:rPr>
          <w:rFonts w:ascii="Arial" w:cs="Arial" w:eastAsia="Arial" w:hAnsi="Arial"/>
          <w:sz w:val="22"/>
          <w:szCs w:val="22"/>
        </w:rPr>
        <w:t xml:space="preserve">The target mix is 85% food waste and 15% wheat bran by weight. For a 30kg mixer load: 25.5kg food waste and 4.5kg bran. Weigh each component before loading — do not estimate by volume, as food waste density varies significantly between sources. A simple approach is to weigh the food waste first, then calculate 15/85 of that weight for the bran addition. Record the total weight mixed per session in the logbook.</w:t>
      </w:r>
    </w:p>
    <w:p>
      <w:pPr>
        <w:pStyle w:val="ListParagraph"/>
        <w:numPr>
          <w:ilvl w:val="0"/>
          <w:numId w:val="3"/>
        </w:numPr>
        <w:spacing w:after="60" w:before="160"/>
      </w:pPr>
      <w:r>
        <w:rPr>
          <w:rFonts w:ascii="Arial" w:cs="Arial" w:eastAsia="Arial" w:hAnsi="Arial"/>
          <w:b/>
          <w:bCs/>
          <w:sz w:val="24"/>
          <w:szCs w:val="24"/>
        </w:rPr>
        <w:t xml:space="preserve">Load and mix each batch</w:t>
      </w:r>
    </w:p>
    <w:p>
      <w:pPr>
        <w:spacing w:after="80"/>
        <w:ind w:left="720"/>
      </w:pPr>
      <w:r>
        <w:rPr>
          <w:rFonts w:ascii="Arial" w:cs="Arial" w:eastAsia="Arial" w:hAnsi="Arial"/>
          <w:sz w:val="22"/>
          <w:szCs w:val="22"/>
        </w:rPr>
        <w:t xml:space="preserve">With the mixer drum stationary and tilted slightly back, add the food waste first. Start the mixer rotating. Add the weighed bran portion while the drum is turning — adding bran to moving waste distributes it more evenly than adding both together. Mix for 3-4 minutes until the bran is visually distributed throughout the waste with no obvious dry clumps. If the mix appears very dry (bran not adhering, waste crumbling), add water from the hose in 500ml increments and mix for 1 further minute between additions until the squeeze test passes. If the mix is very wet, add an additional 500g of dry bran and mix for 1 further minute.</w:t>
      </w:r>
    </w:p>
    <w:p>
      <w:pPr>
        <w:pStyle w:val="ListParagraph"/>
        <w:numPr>
          <w:ilvl w:val="0"/>
          <w:numId w:val="3"/>
        </w:numPr>
        <w:spacing w:after="60" w:before="160"/>
      </w:pPr>
      <w:r>
        <w:rPr>
          <w:rFonts w:ascii="Arial" w:cs="Arial" w:eastAsia="Arial" w:hAnsi="Arial"/>
          <w:b/>
          <w:bCs/>
          <w:sz w:val="24"/>
          <w:szCs w:val="24"/>
        </w:rPr>
        <w:t xml:space="preserve">Discharge and transfer to IBC loading tub</w:t>
      </w:r>
    </w:p>
    <w:p>
      <w:pPr>
        <w:spacing w:after="80"/>
        <w:ind w:left="720"/>
      </w:pPr>
      <w:r>
        <w:rPr>
          <w:rFonts w:ascii="Arial" w:cs="Arial" w:eastAsia="Arial" w:hAnsi="Arial"/>
          <w:sz w:val="22"/>
          <w:szCs w:val="22"/>
        </w:rPr>
        <w:t xml:space="preserve">Tilt the mixer drum forward to discharge the mixed substrate into the 60L collection tub below. Use a gloved hand or short-handled trowel to clear any material clinging to the drum interior. Transfer the collection tub to the rearing IBC and load through the top hatch as described in the grow frame build instructions. Mix the next load while the previous one is being loaded into the IBC to maintain workflow continuity.</w:t>
      </w:r>
    </w:p>
    <w:p>
      <w:pPr>
        <w:pBdr>
          <w:left w:val="single" w:color="2E7D32" w:sz="12"/>
        </w:pBdr>
        <w:spacing w:after="80" w:before="80"/>
        <w:ind w:left="360"/>
      </w:pPr>
      <w:r>
        <w:rPr>
          <w:rFonts w:ascii="Arial" w:cs="Arial" w:eastAsia="Arial" w:hAnsi="Arial"/>
          <w:color w:val="1B5E20"/>
          <w:sz w:val="22"/>
          <w:szCs w:val="22"/>
        </w:rPr>
        <w:t xml:space="preserve">TIP: Run the mixing session on the same day each week to build a predictable workflow. A Wednesday morning mixing session with Thursday morning IBC loading fits naturally around a Tuesday waste collection run, giving the substrate one overnight rest before larvae are introduced. Consistency in scheduling reduces the risk of mixing sessions being skipped or delayed when other tasks compete for attention.</w:t>
      </w:r>
    </w:p>
    <w:p>
      <w:r>
        <w:t xml:space="preserve"/>
      </w:r>
    </w:p>
    <w:p>
      <w:pPr>
        <w:pStyle w:val="Heading3"/>
      </w:pPr>
      <w:r>
        <w:t xml:space="preserve">Moisture management — the squeeze test</w:t>
      </w:r>
    </w:p>
    <w:p>
      <w:pPr>
        <w:spacing w:after="100"/>
      </w:pPr>
      <w:r>
        <w:rPr>
          <w:rFonts w:ascii="Arial" w:cs="Arial" w:eastAsia="Arial" w:hAnsi="Arial"/>
          <w:sz w:val="24"/>
          <w:szCs w:val="24"/>
        </w:rPr>
        <w:t xml:space="preserve">The squeeze test is your primary moisture quality control tool. It takes five seconds and is the difference between a batch that converts at 5:1 and one that goes anaerobic at day 3 and converts at 10:1 or worse.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Squeeze test result</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Moisture status</w:t>
            </w:r>
          </w:p>
        </w:tc>
        <w:tc>
          <w:tcPr>
            <w:tcW w:type="dxa" w:w="4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Correction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Fist clenched hard — 1-3 drops appear, mass holds shape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 target moisture 60-65%</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correction needed. Load.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Fist clenched hard — water streams freely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TOO WET — above 70% moisture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500g dry wheat bran, mix 1 minute, retest. Repeat until correct.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Fist clenched hard — mass crumbles, no water appears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TOO DRY — below 55% moisture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500ml water, mix 1 minute, retest. Repeat until correct.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 holds shape but feels slimy or smells of ammonia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DEGRADED — partially anaerobic</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1kg dry bran and 500g fresh dry material, mix 2 minutes, retest smell. If ammonia persists after correction, divert to research stream or Tier 1.</w:t>
            </w:r>
          </w:p>
        </w:tc>
      </w:tr>
    </w:tbl>
    <w:p>
      <w:r>
        <w:t xml:space="preserve"/>
      </w:r>
    </w:p>
    <w:p>
      <w:pPr>
        <w:pBdr>
          <w:left w:val="single" w:color="E8A000" w:sz="12"/>
        </w:pBdr>
        <w:spacing w:after="80" w:before="80"/>
        <w:ind w:left="360"/>
      </w:pPr>
      <w:r>
        <w:rPr>
          <w:rFonts w:ascii="Arial" w:cs="Arial" w:eastAsia="Arial" w:hAnsi="Arial"/>
          <w:color w:val="7A4500"/>
          <w:sz w:val="22"/>
          <w:szCs w:val="22"/>
        </w:rPr>
        <w:t xml:space="preserve">CAUTION: Do not load substrate that fails the squeeze test into a rearing IBC. A too-wet substrate goes fully anaerobic within 24 hours of larval introduction, producing ammonia that causes larvae to abandon the substrate and attempt to escape. A too-dry substrate desiccates neonates within hours of stocking. Neither failure is recoverable mid-batch.</w:t>
      </w:r>
    </w:p>
    <w:p>
      <w:r>
        <w:t xml:space="preserve"/>
      </w:r>
    </w:p>
    <w:p>
      <w:pPr>
        <w:pStyle w:val="Heading3"/>
      </w:pPr>
      <w:r>
        <w:t xml:space="preserve">Clean-between-streams procedure</w:t>
      </w:r>
    </w:p>
    <w:p>
      <w:pPr>
        <w:pStyle w:val="ListParagraph"/>
        <w:numPr>
          <w:ilvl w:val="0"/>
          <w:numId w:val="3"/>
        </w:numPr>
        <w:spacing w:after="60" w:before="160"/>
      </w:pPr>
      <w:r>
        <w:rPr>
          <w:rFonts w:ascii="Arial" w:cs="Arial" w:eastAsia="Arial" w:hAnsi="Arial"/>
          <w:b/>
          <w:bCs/>
          <w:sz w:val="24"/>
          <w:szCs w:val="24"/>
        </w:rPr>
        <w:t xml:space="preserve">Clean the mixer drum between commercial and research sessions</w:t>
      </w:r>
    </w:p>
    <w:p>
      <w:pPr>
        <w:spacing w:after="80"/>
        <w:ind w:left="720"/>
      </w:pPr>
      <w:r>
        <w:rPr>
          <w:rFonts w:ascii="Arial" w:cs="Arial" w:eastAsia="Arial" w:hAnsi="Arial"/>
          <w:sz w:val="22"/>
          <w:szCs w:val="22"/>
        </w:rPr>
        <w:t xml:space="preserve">Run the mixer drum empty for 30 seconds to dislodge loose material. Tip the drum forward and use the hose to rinse the drum interior with approximately 5 litres of water while the drum rotates slowly. Allow the rinse water to drain out through the drum opening into a bucket — dispose of this rinse water in the Tier 1 diversion area, not into the receiving bay drainage. Run the empty drum for a further 2 minutes to air dry. This procedure prevents cross-contamination between streams without requiring chemical cleaning.</w:t>
      </w:r>
    </w:p>
    <w:p>
      <w:pPr>
        <w:pBdr>
          <w:left w:val="single" w:color="1565C0" w:sz="12"/>
        </w:pBdr>
        <w:spacing w:after="80" w:before="80"/>
        <w:ind w:left="360"/>
      </w:pPr>
      <w:r>
        <w:rPr>
          <w:rFonts w:ascii="Arial" w:cs="Arial" w:eastAsia="Arial" w:hAnsi="Arial"/>
          <w:color w:val="0D47A1"/>
          <w:sz w:val="22"/>
          <w:szCs w:val="22"/>
        </w:rPr>
        <w:t xml:space="preserve">NOTE: Always run commercial stream mixing before research stream mixing in a single session. This means any residual trace from the commercial mix that survives the rinse goes into the research stream, not the reverse. Research stream contaminating the commercial stream would be a biosecurity issue. Commercial stream residue in the research stream is simply noted in the research batch record.</w:t>
      </w:r>
    </w:p>
    <w:p>
      <w:r>
        <w:t xml:space="preserve"/>
      </w:r>
    </w:p>
    <w:p>
      <w:pPr>
        <w:pStyle w:val="Heading1"/>
      </w:pPr>
      <w:r>
        <w:t xml:space="preserve">Part 5 — Research Stream Processing</w:t>
      </w:r>
    </w:p>
    <w:p>
      <w:pPr>
        <w:spacing w:after="100"/>
      </w:pPr>
      <w:r>
        <w:rPr>
          <w:rFonts w:ascii="Arial" w:cs="Arial" w:eastAsia="Arial" w:hAnsi="Arial"/>
          <w:sz w:val="24"/>
          <w:szCs w:val="24"/>
        </w:rPr>
        <w:t xml:space="preserve">The research stream runs approximately once per week and processes approximately 17kg of substrate in a single mixer load. It follows the same mixing protocol as the commercial stream with two differences: the substrate formulation may vary from the standard 85/15 split depending on the research purpose, and all output goes to the dedicated research module rather than the commercial rearing IBCs.</w:t>
      </w:r>
    </w:p>
    <w:p>
      <w:r>
        <w:t xml:space="preserve"/>
      </w:r>
    </w:p>
    <w:p>
      <w:pPr>
        <w:pStyle w:val="Heading3"/>
      </w:pPr>
      <w:r>
        <w:t xml:space="preserve">Research stream substrate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Substrate type</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Research purpose</w:t>
            </w:r>
          </w:p>
        </w:tc>
        <w:tc>
          <w:tcPr>
            <w:tcW w:type="dxa" w:w="4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data to record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Dog faeces + vegetable 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Conversion rate on high-nitrogen protein waste. Colony genetic diversity maintenance.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Ratio faeces to vegetable base, moisture at loading, larval density, conversion rate at harvest, any mortality events.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Meat scraps + vegetable 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Protein-enriched substrate conversion rate versus standard substrate.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Meat percentage of total substrate, conversion rate, larval development time, final larval weight at harvest versus commercial stream benchmark.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Dairy waste + vegetable 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High-fat substrate conversion and any product quality effects.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Fat percentage, conversion rate, frass nitrogen content if tested, larval lipid content if tested.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Single-source waste (e.g. pure spent brewery grain)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Baseline conversion rate for a single substrate type to establish nutritional adequacy.</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purity, moisture at loading, conversion rate, larval mortality rate.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Diverted commercial stream with known contamination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Real-world contamination recovery — what conversion rate is achievable on borderline material.</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Contamination type and estimated percentage, conversion rate versus clean commercial stream benchmark on same date.</w:t>
            </w:r>
          </w:p>
        </w:tc>
      </w:tr>
    </w:tbl>
    <w:p>
      <w:r>
        <w:t xml:space="preserve"/>
      </w:r>
    </w:p>
    <w:p>
      <w:pPr>
        <w:pStyle w:val="ListParagraph"/>
        <w:numPr>
          <w:ilvl w:val="0"/>
          <w:numId w:val="3"/>
        </w:numPr>
        <w:spacing w:after="60" w:before="160"/>
      </w:pPr>
      <w:r>
        <w:rPr>
          <w:rFonts w:ascii="Arial" w:cs="Arial" w:eastAsia="Arial" w:hAnsi="Arial"/>
          <w:b/>
          <w:bCs/>
          <w:sz w:val="24"/>
          <w:szCs w:val="24"/>
        </w:rPr>
        <w:t xml:space="preserve">Record research batch data separately from commercial batch data</w:t>
      </w:r>
    </w:p>
    <w:p>
      <w:pPr>
        <w:spacing w:after="80"/>
        <w:ind w:left="720"/>
      </w:pPr>
      <w:r>
        <w:rPr>
          <w:rFonts w:ascii="Arial" w:cs="Arial" w:eastAsia="Arial" w:hAnsi="Arial"/>
          <w:sz w:val="22"/>
          <w:szCs w:val="22"/>
        </w:rPr>
        <w:t xml:space="preserve">Research batches are recorded in a separate section of the batch tracking spreadsheet clearly labelled RESEARCH — NOT FOR SALE. Each research batch entry includes: substrate type and formulation, total weight loaded, stocking date, stocking density (larvae per IBC), harvest date, harvest weight, conversion ratio calculated, and any observations about larval behaviour, mortality, or substrate condition during the batch. This data accumulates into a substrate performance database that is a significant component of the licensing protocol documentation.</w:t>
      </w:r>
    </w:p>
    <w:p>
      <w:pPr>
        <w:pStyle w:val="ListParagraph"/>
        <w:numPr>
          <w:ilvl w:val="0"/>
          <w:numId w:val="3"/>
        </w:numPr>
        <w:spacing w:after="60" w:before="160"/>
      </w:pPr>
      <w:r>
        <w:rPr>
          <w:rFonts w:ascii="Arial" w:cs="Arial" w:eastAsia="Arial" w:hAnsi="Arial"/>
          <w:b/>
          <w:bCs/>
          <w:sz w:val="24"/>
          <w:szCs w:val="24"/>
        </w:rPr>
        <w:t xml:space="preserve">Transfer research stream larvae to the colony genetic diversity program</w:t>
      </w:r>
    </w:p>
    <w:p>
      <w:pPr>
        <w:spacing w:after="80"/>
        <w:ind w:left="720"/>
      </w:pPr>
      <w:r>
        <w:rPr>
          <w:rFonts w:ascii="Arial" w:cs="Arial" w:eastAsia="Arial" w:hAnsi="Arial"/>
          <w:sz w:val="22"/>
          <w:szCs w:val="22"/>
        </w:rPr>
        <w:t xml:space="preserve">Larvae reared on the research stream that reach the prepupae stage are not harvested for sale. Instead, allow a proportion — approximately 20-30% — to complete pupation. The resulting adults are released into the colony enclosure to integrate with the captive breeding population. This is your genetic diversity maintenance mechanism and replaces the need for frequent wild integration during periods when wild BSF populations are low (May through September in the Lockyer Valley).</w:t>
      </w:r>
    </w:p>
    <w:p>
      <w:r>
        <w:t xml:space="preserve"/>
      </w:r>
    </w:p>
    <w:p>
      <w:pPr>
        <w:pStyle w:val="Heading1"/>
      </w:pPr>
      <w:r>
        <w:t xml:space="preserve">Part 6 — Waste Supply Agreement Requirements</w:t>
      </w:r>
    </w:p>
    <w:p>
      <w:pPr>
        <w:spacing w:after="100"/>
      </w:pPr>
      <w:r>
        <w:rPr>
          <w:rFonts w:ascii="Arial" w:cs="Arial" w:eastAsia="Arial" w:hAnsi="Arial"/>
          <w:sz w:val="24"/>
          <w:szCs w:val="24"/>
        </w:rPr>
        <w:t xml:space="preserve">The substrate preparation system only works consistently if suppliers deliver material that matches what they agreed to supply. A verbal agreement that erodes over time into suppliers sending increasingly mixed or contaminated loads is one of the most common operational problems for small BSFL farms. The waste supply agreement must be written, signed, and specific about waste types, containers, frequency, and consequences of non-compliance.</w:t>
      </w:r>
    </w:p>
    <w:p>
      <w:r>
        <w:t xml:space="preserve"/>
      </w:r>
    </w:p>
    <w:p>
      <w:pPr>
        <w:pStyle w:val="Heading3"/>
      </w:pPr>
      <w:r>
        <w:t xml:space="preserve">Minimum contract requirements</w:t>
      </w:r>
    </w:p>
    <w:p>
      <w:pPr>
        <w:pStyle w:val="ListParagraph"/>
        <w:numPr>
          <w:ilvl w:val="0"/>
          <w:numId w:val="2"/>
        </w:numPr>
      </w:pPr>
      <w:r>
        <w:rPr>
          <w:rFonts w:ascii="Arial" w:cs="Arial" w:eastAsia="Arial" w:hAnsi="Arial"/>
          <w:sz w:val="22"/>
          <w:szCs w:val="22"/>
        </w:rPr>
        <w:t xml:space="preserve">Approved waste types listed specifically — for example: raw fruit and vegetable scraps, spent coffee grounds, bread and pastry, spent brewery or distillery grain. Not general terms like food waste.</w:t>
      </w:r>
    </w:p>
    <w:p>
      <w:pPr>
        <w:pStyle w:val="ListParagraph"/>
        <w:numPr>
          <w:ilvl w:val="0"/>
          <w:numId w:val="2"/>
        </w:numPr>
      </w:pPr>
      <w:r>
        <w:rPr>
          <w:rFonts w:ascii="Arial" w:cs="Arial" w:eastAsia="Arial" w:hAnsi="Arial"/>
          <w:sz w:val="22"/>
          <w:szCs w:val="22"/>
        </w:rPr>
        <w:t xml:space="preserve">Excluded waste types listed specifically — meat, bones, dairy, cooked food, packaging, cleaning chemicals, oils.</w:t>
      </w:r>
    </w:p>
    <w:p>
      <w:pPr>
        <w:pStyle w:val="ListParagraph"/>
        <w:numPr>
          <w:ilvl w:val="0"/>
          <w:numId w:val="2"/>
        </w:numPr>
      </w:pPr>
      <w:r>
        <w:rPr>
          <w:rFonts w:ascii="Arial" w:cs="Arial" w:eastAsia="Arial" w:hAnsi="Arial"/>
          <w:sz w:val="22"/>
          <w:szCs w:val="22"/>
        </w:rPr>
        <w:t xml:space="preserve">Container type and condition — 20L food-safe buckets with lids for café/bakery, IBC or 200L barrel for farm deliveries. Containers must be intact and sealed on delivery.</w:t>
      </w:r>
    </w:p>
    <w:p>
      <w:pPr>
        <w:pStyle w:val="ListParagraph"/>
        <w:numPr>
          <w:ilvl w:val="0"/>
          <w:numId w:val="2"/>
        </w:numPr>
      </w:pPr>
      <w:r>
        <w:rPr>
          <w:rFonts w:ascii="Arial" w:cs="Arial" w:eastAsia="Arial" w:hAnsi="Arial"/>
          <w:sz w:val="22"/>
          <w:szCs w:val="22"/>
        </w:rPr>
        <w:t xml:space="preserve">Maximum moisture content expectation — wet waste such as liquid-heavy fruit pulp should be partially drained before collection. Suppliers delivering liquid-only loads waste collection capacity.</w:t>
      </w:r>
    </w:p>
    <w:p>
      <w:pPr>
        <w:pStyle w:val="ListParagraph"/>
        <w:numPr>
          <w:ilvl w:val="0"/>
          <w:numId w:val="2"/>
        </w:numPr>
      </w:pPr>
      <w:r>
        <w:rPr>
          <w:rFonts w:ascii="Arial" w:cs="Arial" w:eastAsia="Arial" w:hAnsi="Arial"/>
          <w:sz w:val="22"/>
          <w:szCs w:val="22"/>
        </w:rPr>
        <w:t xml:space="preserve">Delivery frequency and schedule — fixed day and time window. Random deliveries that arrive when you are mid-mixing session or off-farm are operationally disruptive.</w:t>
      </w:r>
    </w:p>
    <w:p>
      <w:pPr>
        <w:pStyle w:val="ListParagraph"/>
        <w:numPr>
          <w:ilvl w:val="0"/>
          <w:numId w:val="2"/>
        </w:numPr>
      </w:pPr>
      <w:r>
        <w:rPr>
          <w:rFonts w:ascii="Arial" w:cs="Arial" w:eastAsia="Arial" w:hAnsi="Arial"/>
          <w:sz w:val="22"/>
          <w:szCs w:val="22"/>
        </w:rPr>
        <w:t xml:space="preserve">Tier 2 rejection consequences — supplier collects rejected material within 24 hours at their cost. First Tier 2 event is a written warning. Second event results in contract suspension pending review.</w:t>
      </w:r>
    </w:p>
    <w:p>
      <w:pPr>
        <w:pStyle w:val="ListParagraph"/>
        <w:numPr>
          <w:ilvl w:val="0"/>
          <w:numId w:val="2"/>
        </w:numPr>
      </w:pPr>
      <w:r>
        <w:rPr>
          <w:rFonts w:ascii="Arial" w:cs="Arial" w:eastAsia="Arial" w:hAnsi="Arial"/>
          <w:sz w:val="22"/>
          <w:szCs w:val="22"/>
        </w:rPr>
        <w:t xml:space="preserve">Substrate traceability consent — supplier agrees that their business name and waste description may appear in your batch tracking records and any regulatory compliance documentation. This is required for your Biosecurity Queensland compliance.</w:t>
      </w:r>
    </w:p>
    <w:p>
      <w:r>
        <w:t xml:space="preserve"/>
      </w:r>
    </w:p>
    <w:p>
      <w:pPr>
        <w:pBdr>
          <w:left w:val="single" w:color="2E7D32" w:sz="12"/>
        </w:pBdr>
        <w:spacing w:after="80" w:before="80"/>
        <w:ind w:left="360"/>
      </w:pPr>
      <w:r>
        <w:rPr>
          <w:rFonts w:ascii="Arial" w:cs="Arial" w:eastAsia="Arial" w:hAnsi="Arial"/>
          <w:color w:val="1B5E20"/>
          <w:sz w:val="22"/>
          <w:szCs w:val="22"/>
        </w:rPr>
        <w:t xml:space="preserve">TIP: Frame the supplier agreement as a mutual benefit document, not a compliance burden. Lead with what the supplier gets: free waste removal, landfill diversion documentation for their own sustainability reporting, and the knowledge that their waste is being converted into local food production. Most café and bakery owners respond well to this framing and self-police their waste quality far better than suppliers who feel they are being regulated.</w:t>
      </w:r>
    </w:p>
    <w:p>
      <w:r>
        <w:t xml:space="preserve"/>
      </w:r>
    </w:p>
    <w:p>
      <w:pPr>
        <w:pStyle w:val="Heading1"/>
      </w:pPr>
      <w:r>
        <w:t xml:space="preserve">Part 7 — Weekly Substrate Preparation Schedule</w:t>
      </w:r>
    </w:p>
    <w:p>
      <w:pPr>
        <w:spacing w:after="100"/>
      </w:pPr>
      <w:r>
        <w:rPr>
          <w:rFonts w:ascii="Arial" w:cs="Arial" w:eastAsia="Arial" w:hAnsi="Arial"/>
          <w:sz w:val="24"/>
          <w:szCs w:val="24"/>
        </w:rPr>
        <w:t xml:space="preserve">At peak output the substrate preparation workflow takes approximately 3-4 hours per week of active time, spread across two or three days. The schedule below is a template — adjust to fit your actual supplier delivery days once agreements are in place.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5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Tuesday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Waste collection run</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Collect 20L buckets from café/bakery suppliers on the way back from any other town errand. Aim to complete collection by midday. Inspect and assign all collected material on arrival at the tunnel. Record in logbook. Stage in commercial or research zone.</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Tuesday afternoon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IBC check and leachate drain</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While waste is staged, complete daily IBC checks. Drain leachate from any IBC within 30mm of screen underside. Check harvest buckets for migrating prepupae. This keeps substrate prep day aligned with production management.</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Wednesday morning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Commercial mixing session</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Mix all staged commercial stream material with bran. 6-10 mixer loads. Squeeze test each load. Discharge into collection tubs. Clean mixer after last commercial load.</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Wednesday morning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mixing session</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Mix staged research stream material after commercial session and mixer clean. Single mixer load (~17kg). Discharge to research module collection tub.</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Thursday morning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IBC loading</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mixed substrate into the rearing IBC scheduled for restocking that day (based on stagger schedule). Stock larvae. Record batch start in tracking spreadsheet.</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Friday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Farm delivery (if applicable)</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Larger farm waste deliveries in IBC or barrel arrive. Inspect, weigh, assign. Mix same day if volume allows. If not, mix Saturday morning.</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 stock check</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Takes 10 seconds. Note current bran stock level during daily tunnel checks. Order when below 2 weeks supply. Never run out mid-week — bran supply failure means mixing sessions cannot proceed.</w:t>
            </w:r>
          </w:p>
        </w:tc>
      </w:tr>
    </w:tbl>
    <w:p>
      <w:r>
        <w:t xml:space="preserve"/>
      </w:r>
    </w:p>
    <w:p>
      <w:pPr>
        <w:pStyle w:val="Heading1"/>
      </w:pPr>
      <w:r>
        <w:t xml:space="preserve">Substrate Preparation System — Setup Checklist</w:t>
      </w:r>
    </w:p>
    <w:p>
      <w:pPr>
        <w:spacing w:after="100"/>
      </w:pPr>
      <w:r>
        <w:rPr>
          <w:rFonts w:ascii="Arial" w:cs="Arial" w:eastAsia="Arial" w:hAnsi="Arial"/>
          <w:sz w:val="24"/>
          <w:szCs w:val="24"/>
        </w:rPr>
        <w:t xml:space="preserve">Complete before first mixing session.</w:t>
      </w:r>
    </w:p>
    <w:p>
      <w:r>
        <w:t xml:space="preserve"/>
      </w:r>
    </w:p>
    <w:p>
      <w:pPr>
        <w:pStyle w:val="ListParagraph"/>
        <w:numPr>
          <w:ilvl w:val="0"/>
          <w:numId w:val="4"/>
        </w:numPr>
      </w:pPr>
      <w:r>
        <w:rPr>
          <w:rFonts w:ascii="Arial" w:cs="Arial" w:eastAsia="Arial" w:hAnsi="Arial"/>
          <w:sz w:val="22"/>
          <w:szCs w:val="22"/>
        </w:rPr>
        <w:t xml:space="preserve">Platform scales installed, tested, and zeroed. Known weight verified against a 20L full water bucket (20kg).</w:t>
      </w:r>
    </w:p>
    <w:p>
      <w:pPr>
        <w:pStyle w:val="ListParagraph"/>
        <w:numPr>
          <w:ilvl w:val="0"/>
          <w:numId w:val="4"/>
        </w:numPr>
      </w:pPr>
      <w:r>
        <w:rPr>
          <w:rFonts w:ascii="Arial" w:cs="Arial" w:eastAsia="Arial" w:hAnsi="Arial"/>
          <w:sz w:val="22"/>
          <w:szCs w:val="22"/>
        </w:rPr>
        <w:t xml:space="preserve">Inspection table in position in receiving bay</w:t>
      </w:r>
    </w:p>
    <w:p>
      <w:pPr>
        <w:pStyle w:val="ListParagraph"/>
        <w:numPr>
          <w:ilvl w:val="0"/>
          <w:numId w:val="4"/>
        </w:numPr>
      </w:pPr>
      <w:r>
        <w:rPr>
          <w:rFonts w:ascii="Arial" w:cs="Arial" w:eastAsia="Arial" w:hAnsi="Arial"/>
          <w:sz w:val="22"/>
          <w:szCs w:val="22"/>
        </w:rPr>
        <w:t xml:space="preserve">Inspection torch, magnetic wand, nitrile gloves, and logbook at receiving bay</w:t>
      </w:r>
    </w:p>
    <w:p>
      <w:pPr>
        <w:pStyle w:val="ListParagraph"/>
        <w:numPr>
          <w:ilvl w:val="0"/>
          <w:numId w:val="4"/>
        </w:numPr>
      </w:pPr>
      <w:r>
        <w:rPr>
          <w:rFonts w:ascii="Arial" w:cs="Arial" w:eastAsia="Arial" w:hAnsi="Arial"/>
          <w:sz w:val="22"/>
          <w:szCs w:val="22"/>
        </w:rPr>
        <w:t xml:space="preserve">Tier 1 diversion bin labelled, positioned, and lockable</w:t>
      </w:r>
    </w:p>
    <w:p>
      <w:pPr>
        <w:pStyle w:val="ListParagraph"/>
        <w:numPr>
          <w:ilvl w:val="0"/>
          <w:numId w:val="4"/>
        </w:numPr>
      </w:pPr>
      <w:r>
        <w:rPr>
          <w:rFonts w:ascii="Arial" w:cs="Arial" w:eastAsia="Arial" w:hAnsi="Arial"/>
          <w:sz w:val="22"/>
          <w:szCs w:val="22"/>
        </w:rPr>
        <w:t xml:space="preserve">Commercial (green) and research (yellow) staging zones marked on floor</w:t>
      </w:r>
    </w:p>
    <w:p>
      <w:pPr>
        <w:pStyle w:val="ListParagraph"/>
        <w:numPr>
          <w:ilvl w:val="0"/>
          <w:numId w:val="4"/>
        </w:numPr>
      </w:pPr>
      <w:r>
        <w:rPr>
          <w:rFonts w:ascii="Arial" w:cs="Arial" w:eastAsia="Arial" w:hAnsi="Arial"/>
          <w:sz w:val="22"/>
          <w:szCs w:val="22"/>
        </w:rPr>
        <w:t xml:space="preserve">Cement mixer positioned and power cord tested — do not use extension cord over 10m</w:t>
      </w:r>
    </w:p>
    <w:p>
      <w:pPr>
        <w:pStyle w:val="ListParagraph"/>
        <w:numPr>
          <w:ilvl w:val="0"/>
          <w:numId w:val="4"/>
        </w:numPr>
      </w:pPr>
      <w:r>
        <w:rPr>
          <w:rFonts w:ascii="Arial" w:cs="Arial" w:eastAsia="Arial" w:hAnsi="Arial"/>
          <w:sz w:val="22"/>
          <w:szCs w:val="22"/>
        </w:rPr>
        <w:t xml:space="preserve">60L collection tub positioned under mixer discharge point</w:t>
      </w:r>
    </w:p>
    <w:p>
      <w:pPr>
        <w:pStyle w:val="ListParagraph"/>
        <w:numPr>
          <w:ilvl w:val="0"/>
          <w:numId w:val="4"/>
        </w:numPr>
      </w:pPr>
      <w:r>
        <w:rPr>
          <w:rFonts w:ascii="Arial" w:cs="Arial" w:eastAsia="Arial" w:hAnsi="Arial"/>
          <w:sz w:val="22"/>
          <w:szCs w:val="22"/>
        </w:rPr>
        <w:t xml:space="preserve">Water outlet at tunnel tested — 19mm hose connected and flowing</w:t>
      </w:r>
    </w:p>
    <w:p>
      <w:pPr>
        <w:pStyle w:val="ListParagraph"/>
        <w:numPr>
          <w:ilvl w:val="0"/>
          <w:numId w:val="4"/>
        </w:numPr>
      </w:pPr>
      <w:r>
        <w:rPr>
          <w:rFonts w:ascii="Arial" w:cs="Arial" w:eastAsia="Arial" w:hAnsi="Arial"/>
          <w:sz w:val="22"/>
          <w:szCs w:val="22"/>
        </w:rPr>
        <w:t xml:space="preserve">Wheat bran in sealed food-grade storage container — minimum 2 weeks supply on hand</w:t>
      </w:r>
    </w:p>
    <w:p>
      <w:pPr>
        <w:pStyle w:val="ListParagraph"/>
        <w:numPr>
          <w:ilvl w:val="0"/>
          <w:numId w:val="4"/>
        </w:numPr>
      </w:pPr>
      <w:r>
        <w:rPr>
          <w:rFonts w:ascii="Arial" w:cs="Arial" w:eastAsia="Arial" w:hAnsi="Arial"/>
          <w:sz w:val="22"/>
          <w:szCs w:val="22"/>
        </w:rPr>
        <w:t xml:space="preserve">Research stream storage container labelled RESEARCH — NOT FOR SALE</w:t>
      </w:r>
    </w:p>
    <w:p>
      <w:pPr>
        <w:pStyle w:val="ListParagraph"/>
        <w:numPr>
          <w:ilvl w:val="0"/>
          <w:numId w:val="4"/>
        </w:numPr>
      </w:pPr>
      <w:r>
        <w:rPr>
          <w:rFonts w:ascii="Arial" w:cs="Arial" w:eastAsia="Arial" w:hAnsi="Arial"/>
          <w:sz w:val="22"/>
          <w:szCs w:val="22"/>
        </w:rPr>
        <w:t xml:space="preserve">Rejection notice forms printed and accessible</w:t>
      </w:r>
    </w:p>
    <w:p>
      <w:pPr>
        <w:pStyle w:val="ListParagraph"/>
        <w:numPr>
          <w:ilvl w:val="0"/>
          <w:numId w:val="4"/>
        </w:numPr>
      </w:pPr>
      <w:r>
        <w:rPr>
          <w:rFonts w:ascii="Arial" w:cs="Arial" w:eastAsia="Arial" w:hAnsi="Arial"/>
          <w:sz w:val="22"/>
          <w:szCs w:val="22"/>
        </w:rPr>
        <w:t xml:space="preserve">Batch tracking spreadsheet set up with commercial and research stream sections</w:t>
      </w:r>
    </w:p>
    <w:p>
      <w:pPr>
        <w:pStyle w:val="ListParagraph"/>
        <w:numPr>
          <w:ilvl w:val="0"/>
          <w:numId w:val="4"/>
        </w:numPr>
      </w:pPr>
      <w:r>
        <w:rPr>
          <w:rFonts w:ascii="Arial" w:cs="Arial" w:eastAsia="Arial" w:hAnsi="Arial"/>
          <w:sz w:val="22"/>
          <w:szCs w:val="22"/>
        </w:rPr>
        <w:t xml:space="preserve">At least one waste supply agreement signed before first commercial mixing session</w:t>
      </w:r>
    </w:p>
    <w:p>
      <w:r>
        <w:t xml:space="preserve"/>
      </w:r>
    </w:p>
    <w:p>
      <w:pPr>
        <w:pStyle w:val="Heading1"/>
      </w:pPr>
      <w:r>
        <w:t xml:space="preserve">Appendix — Substrate Reference Guide</w:t>
      </w:r>
    </w:p>
    <w:p>
      <w:pPr>
        <w:spacing w:after="100"/>
      </w:pPr>
      <w:r>
        <w:rPr>
          <w:rFonts w:ascii="Arial" w:cs="Arial" w:eastAsia="Arial" w:hAnsi="Arial"/>
          <w:sz w:val="24"/>
          <w:szCs w:val="24"/>
        </w:rPr>
        <w:t xml:space="preserve">This reference lists common waste types you will encounter, their typical properties, and their stream assignment. Confirm your specific approved list in writing with Biosecurity Queensland before finalising supplier agreements.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6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Waste type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Typical moisture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3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Vegetable scraps (raw)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70-85%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Commercial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base substrate. Consistent nitrogen content. Watch for citrus — limit to 20% of total load to avoid pH issues.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Fruit waste (raw)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Commercial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sugar content accelerates fermentation. Mix with drier waste or extra bran. Excellent attractant for colony oviposition station.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Spent coffee grounds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55-65%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Commercial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Near-ideal moisture. Slightly acidic — do not exceed 30% of load. Excellent carbon source.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Bread and pastry waste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Commercial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dry — add water or mix with wet waste. High carbohydrate, low protein — always blend with vegetable base.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Spent brewery or distillery grain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Commercial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Excellent substrate — high protein and fibre. Confirm DAF approval specifically for this substrate type as it is fermented grain.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Fruit pulp (post-juicing)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Commercial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wet — drain partially before loading or blend with dry waste at 50/50 maximum. Excellent larvae attractant.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Meat scraps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60-75%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only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DAF-approved for commercial larvae. High nitrogen — limit to 20% of research substrate load to prevent ammonia spike.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Dog or animal faeces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only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approved for commercial stream. Use for genetic diversity program and conversion rate research only.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Dairy waste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85-95%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only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high moisture and fat. Limit to 15% of research load. Risk of rapid anaerobic fermentation.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Cooked food mixed waste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65-80%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or Research</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Depends on composition. If predominantly vegetable-based with minor meat content, research stream. If heavily mixed protein, Tier 1 diversion.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Citrus waste (pure)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diversion</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 below 4.0 kills larvae rapidly. Do not use as more than 10% of any load. Pure citrus waste is Tier 1 diversion.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Cooking oil or fats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or Tier 2</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Small traces in vegetable waste are acceptable. Significant oil content coats substrate particles and prevents larval feeding. Tier 1 if incidental, Tier 2 if deliberate.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material with chemical smell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 rejection</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Reject immediately. Do not attempt to identify the chemical. Seal container, photograph, issue rejection notice.</w:t>
            </w:r>
          </w:p>
        </w:tc>
      </w:tr>
    </w:tbl>
    <w:p>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tep %1."/>
      <w:lvlJc w:val="left"/>
      <w:pPr>
        <w:ind w:left="720" w:hanging="360"/>
      </w:pPr>
      <w:rPr>
        <w:rFonts w:ascii="Arial" w:cs="Arial" w:eastAsia="Arial" w:hAnsi="Arial"/>
        <w:b/>
        <w:bCs/>
        <w:sz w:val="24"/>
        <w:szCs w:val="24"/>
      </w:rPr>
    </w:lvl>
  </w:abstractNum>
  <w:abstractNum w:abstractNumId="3" w15:restartNumberingAfterBreak="0">
    <w:multiLevelType w:val="hybridMultilevel"/>
    <w:lvl w:ilvl="0" w15:tentative="1">
      <w:start w:val="1"/>
      <w:numFmt w:val="bullet"/>
      <w:lvlText w:val="•"/>
      <w:lvlJc w:val="left"/>
      <w:pPr>
        <w:ind w:left="520" w:hanging="260"/>
      </w:pPr>
    </w:lvl>
  </w:abstractNum>
  <w:abstractNum w:abstractNumId="4"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6" w:space="1"/>
      </w:pBd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2026-04-19T21:18:31.309Z</dcterms:created>
  <dcterms:modified xsi:type="dcterms:W3CDTF">2026-04-19T21:18:31.310Z</dcterms:modified>
</cp:coreProperties>
</file>

<file path=docProps/custom.xml><?xml version="1.0" encoding="utf-8"?>
<Properties xmlns="http://schemas.openxmlformats.org/officeDocument/2006/custom-properties" xmlns:vt="http://schemas.openxmlformats.org/officeDocument/2006/docPropsVTypes"/>
</file>