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GLP-1s</w:t>
      </w:r>
    </w:p>
    <w:p>
      <w:pPr>
        <w:spacing w:after="320" w:before="100"/>
        <w:jc w:val="left"/>
      </w:pPr>
      <w:r>
        <w:rPr>
          <w:rFonts w:ascii="Arial" w:cs="Arial" w:eastAsia="Arial" w:hAnsi="Arial"/>
          <w:b w:val="false"/>
          <w:bCs w:val="false"/>
          <w:i/>
          <w:iCs/>
          <w:color w:val="666666"/>
          <w:sz w:val="22"/>
          <w:szCs w:val="22"/>
        </w:rPr>
        <w:t xml:space="preserve">The full mechanism, real numbers, and the three strategies — what works and what does not</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GLP-1s Actually Do — The Full Mechanism</w:t>
      </w:r>
    </w:p>
    <w:p>
      <w:pPr>
        <w:spacing w:after="80" w:before="80"/>
        <w:jc w:val="left"/>
      </w:pPr>
      <w:r>
        <w:rPr>
          <w:rFonts w:ascii="Arial" w:cs="Arial" w:eastAsia="Arial" w:hAnsi="Arial"/>
          <w:b w:val="false"/>
          <w:bCs w:val="false"/>
          <w:i w:val="false"/>
          <w:iCs w:val="false"/>
          <w:color w:val="111111"/>
          <w:sz w:val="22"/>
          <w:szCs w:val="22"/>
        </w:rPr>
        <w:t xml:space="preserve">GLP-1 receptor agonists like semaglutide (Ozempic, Wegovy) and tirzepatide (Mounjaro, Zepbound) mimic a natural hormone that affects multiple systems simultaneously. Understanding what they actually do — beyond the simplified "appetite suppression" framing — is essential for using them intelligently.</w:t>
      </w:r>
    </w:p>
    <w:p>
      <w:pPr>
        <w:spacing w:after="80" w:before="240"/>
      </w:pPr>
      <w:r>
        <w:rPr>
          <w:rFonts w:ascii="Arial" w:cs="Arial" w:eastAsia="Arial" w:hAnsi="Arial"/>
          <w:b/>
          <w:bCs/>
          <w:i w:val="false"/>
          <w:iCs w:val="false"/>
          <w:color w:val="2C5F8A"/>
          <w:sz w:val="24"/>
          <w:szCs w:val="24"/>
        </w:rPr>
        <w:t xml:space="preserve">Brain — the primary driver of weight loss</w:t>
      </w:r>
    </w:p>
    <w:p>
      <w:pPr>
        <w:spacing w:after="80" w:before="80"/>
        <w:jc w:val="left"/>
      </w:pPr>
      <w:r>
        <w:rPr>
          <w:rFonts w:ascii="Arial" w:cs="Arial" w:eastAsia="Arial" w:hAnsi="Arial"/>
          <w:b w:val="false"/>
          <w:bCs w:val="false"/>
          <w:i w:val="false"/>
          <w:iCs w:val="false"/>
          <w:color w:val="111111"/>
          <w:sz w:val="22"/>
          <w:szCs w:val="22"/>
        </w:rPr>
        <w:t xml:space="preserve">The most significant effect is neurological. GLP-1 agonists reduce "food noise" — the constant background preoccupation with food that many people experience — and decrease the dopamine reward response to high-calorie foods. Satiety signals increase. This is why users frequently describe the experience as: "I just don't care about food anymore." For people who have struggled with hunger-driven eating their entire lives, this effect can feel genuinely transformational.</w:t>
      </w:r>
    </w:p>
    <w:p>
      <w:pPr>
        <w:spacing w:after="80" w:before="240"/>
      </w:pPr>
      <w:r>
        <w:rPr>
          <w:rFonts w:ascii="Arial" w:cs="Arial" w:eastAsia="Arial" w:hAnsi="Arial"/>
          <w:b/>
          <w:bCs/>
          <w:i w:val="false"/>
          <w:iCs w:val="false"/>
          <w:color w:val="2C5F8A"/>
          <w:sz w:val="24"/>
          <w:szCs w:val="24"/>
        </w:rPr>
        <w:t xml:space="preserve">Gut</w:t>
      </w:r>
    </w:p>
    <w:p>
      <w:pPr>
        <w:spacing w:after="80" w:before="80"/>
        <w:jc w:val="left"/>
      </w:pPr>
      <w:r>
        <w:rPr>
          <w:rFonts w:ascii="Arial" w:cs="Arial" w:eastAsia="Arial" w:hAnsi="Arial"/>
          <w:b w:val="false"/>
          <w:bCs w:val="false"/>
          <w:i w:val="false"/>
          <w:iCs w:val="false"/>
          <w:color w:val="111111"/>
          <w:sz w:val="22"/>
          <w:szCs w:val="22"/>
        </w:rPr>
        <w:t xml:space="preserve">The drugs slow gastric emptying — food remains in the stomach longer — which produces early fullness and naturally smaller meal sizes without requiring conscious restriction. This is the physical complement to the neurological effect.</w:t>
      </w:r>
    </w:p>
    <w:p>
      <w:pPr>
        <w:spacing w:after="80" w:before="240"/>
      </w:pPr>
      <w:r>
        <w:rPr>
          <w:rFonts w:ascii="Arial" w:cs="Arial" w:eastAsia="Arial" w:hAnsi="Arial"/>
          <w:b/>
          <w:bCs/>
          <w:i w:val="false"/>
          <w:iCs w:val="false"/>
          <w:color w:val="2C5F8A"/>
          <w:sz w:val="24"/>
          <w:szCs w:val="24"/>
        </w:rPr>
        <w:t xml:space="preserve">Blood sugar and insulin</w:t>
      </w:r>
    </w:p>
    <w:p>
      <w:pPr>
        <w:spacing w:after="80" w:before="80"/>
        <w:jc w:val="left"/>
      </w:pPr>
      <w:r>
        <w:rPr>
          <w:rFonts w:ascii="Arial" w:cs="Arial" w:eastAsia="Arial" w:hAnsi="Arial"/>
          <w:b w:val="false"/>
          <w:bCs w:val="false"/>
          <w:i w:val="false"/>
          <w:iCs w:val="false"/>
          <w:color w:val="111111"/>
          <w:sz w:val="22"/>
          <w:szCs w:val="22"/>
        </w:rPr>
        <w:t xml:space="preserve">GLP-1 agonists improve insulin sensitivity and reduce blood sugar spikes after meals. Fewer blood sugar spikes means fewer hunger and craving cycles driven by glucose fluctuation. This creates a more stable energy and appetite baseline throughout the day.</w:t>
      </w:r>
    </w:p>
    <w:p>
      <w:pPr>
        <w:spacing w:after="80" w:before="240"/>
      </w:pPr>
      <w:r>
        <w:rPr>
          <w:rFonts w:ascii="Arial" w:cs="Arial" w:eastAsia="Arial" w:hAnsi="Arial"/>
          <w:b/>
          <w:bCs/>
          <w:i w:val="false"/>
          <w:iCs w:val="false"/>
          <w:color w:val="2C5F8A"/>
          <w:sz w:val="24"/>
          <w:szCs w:val="24"/>
        </w:rPr>
        <w:t xml:space="preserve">Calorie reduction in practice</w:t>
      </w:r>
    </w:p>
    <w:p>
      <w:pPr>
        <w:spacing w:after="80" w:before="80"/>
        <w:jc w:val="left"/>
      </w:pPr>
      <w:r>
        <w:rPr>
          <w:rFonts w:ascii="Arial" w:cs="Arial" w:eastAsia="Arial" w:hAnsi="Arial"/>
          <w:b w:val="false"/>
          <w:bCs w:val="false"/>
          <w:i w:val="false"/>
          <w:iCs w:val="false"/>
          <w:color w:val="111111"/>
          <w:sz w:val="22"/>
          <w:szCs w:val="22"/>
        </w:rPr>
        <w:t xml:space="preserve">In clinical responders, average daily calorie intake decreases by approximately 500-1,000 calories without effort. This is what produces the dramatic weight loss results seen in trials — not any metabolic magic, but a sustained, effortless deficit that most people cannot maintain through willpower alone.</w:t>
      </w:r>
    </w:p>
    <w:p>
      <w:pPr>
        <w:pBdr>
          <w:bottom w:val="single" w:color="AABDD1" w:sz="4" w:space="4"/>
        </w:pBdr>
        <w:spacing w:after="120" w:before="360"/>
      </w:pPr>
      <w:r>
        <w:rPr>
          <w:rFonts w:ascii="Arial" w:cs="Arial" w:eastAsia="Arial" w:hAnsi="Arial"/>
          <w:b/>
          <w:bCs/>
          <w:i w:val="false"/>
          <w:iCs w:val="false"/>
          <w:color w:val="1A3C5E"/>
          <w:sz w:val="28"/>
          <w:szCs w:val="28"/>
        </w:rPr>
        <w:t xml:space="preserve">How Effective Are They — Real Numbers</w:t>
      </w:r>
    </w:p>
    <w:p>
      <w:pPr>
        <w:spacing w:after="80" w:before="80"/>
        <w:jc w:val="left"/>
      </w:pPr>
      <w:r>
        <w:rPr>
          <w:rFonts w:ascii="Arial" w:cs="Arial" w:eastAsia="Arial" w:hAnsi="Arial"/>
          <w:b w:val="false"/>
          <w:bCs w:val="false"/>
          <w:i w:val="false"/>
          <w:iCs w:val="false"/>
          <w:color w:val="111111"/>
          <w:sz w:val="22"/>
          <w:szCs w:val="22"/>
        </w:rPr>
        <w:t xml:space="preserve">From large clinical trials, average weight loss is approximately 10-15% of body weight at Ozempic dosing ranges and 15-22% at Wegovy (higher dose semaglutide) ranges. Top responders can reach 25% or more of body weight lost. Tirzepatide (Mounjaro/Zepbound), which activates both GLP-1 and GIP receptors, produces even stronger results — approximately 20-25% or more body weight loss — making it currently the most effective non-surgical fat loss intervention available. Nothing else non-surgical comes close to these numbers consistently.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Most Important Part Most Docs Skip — What Happens When You Stop</w:t>
      </w:r>
    </w:p>
    <w:p>
      <w:pPr>
        <w:spacing w:after="80" w:before="80"/>
        <w:jc w:val="left"/>
      </w:pPr>
      <w:r>
        <w:rPr>
          <w:rFonts w:ascii="Arial" w:cs="Arial" w:eastAsia="Arial" w:hAnsi="Arial"/>
          <w:b w:val="false"/>
          <w:bCs w:val="false"/>
          <w:i w:val="false"/>
          <w:iCs w:val="false"/>
          <w:color w:val="111111"/>
          <w:sz w:val="22"/>
          <w:szCs w:val="22"/>
        </w:rPr>
        <w:t xml:space="preserve">The weight regain data is the most critical piece of information for anyone considering these medications. From the STEP 1 trial extension, one of the most widely cited studies: after stopping semaglutide, approximately two-thirds of lost weight was regained within one year. Specifically, roughly 66% of lost weight returned. Losing thirty pounds means expecting approximately twenty pounds to return without strong habit changes.</w:t>
      </w:r>
    </w:p>
    <w:p>
      <w:pPr>
        <w:spacing w:after="80" w:before="240"/>
      </w:pPr>
      <w:r>
        <w:rPr>
          <w:rFonts w:ascii="Arial" w:cs="Arial" w:eastAsia="Arial" w:hAnsi="Arial"/>
          <w:b/>
          <w:bCs/>
          <w:i w:val="false"/>
          <w:iCs w:val="false"/>
          <w:color w:val="2C5F8A"/>
          <w:sz w:val="24"/>
          <w:szCs w:val="24"/>
        </w:rPr>
        <w:t xml:space="preserve">Why weight comes back — the biology</w:t>
      </w:r>
    </w:p>
    <w:p>
      <w:pPr>
        <w:spacing w:after="80" w:before="80"/>
        <w:jc w:val="left"/>
      </w:pPr>
      <w:r>
        <w:rPr>
          <w:rFonts w:ascii="Arial" w:cs="Arial" w:eastAsia="Arial" w:hAnsi="Arial"/>
          <w:b w:val="false"/>
          <w:bCs w:val="false"/>
          <w:i w:val="false"/>
          <w:iCs w:val="false"/>
          <w:color w:val="111111"/>
          <w:sz w:val="22"/>
          <w:szCs w:val="22"/>
        </w:rPr>
        <w:t xml:space="preserve">This is not simply poor discipline. The biological mechanisms driving regain are powerful. Appetite rebounds hard — ghrelin (hunger hormone) increases significantly and satiety signals drop back toward pre-treatment baseline. Food noise returns. Simultaneously, metabolism is now lower than before weight loss because a lighter body burns fewer calories at rest. The result is the worst possible combination: more hunger than before, fewer calories being burned. Rapid regain is the predictable biological outcome unless the behavioral infrastructure was built during the medication period.</w:t>
      </w:r>
    </w:p>
    <w:p>
      <w:pPr>
        <w:spacing w:after="80" w:before="240"/>
      </w:pPr>
      <w:r>
        <w:rPr>
          <w:rFonts w:ascii="Arial" w:cs="Arial" w:eastAsia="Arial" w:hAnsi="Arial"/>
          <w:b/>
          <w:bCs/>
          <w:i w:val="false"/>
          <w:iCs w:val="false"/>
          <w:color w:val="2C5F8A"/>
          <w:sz w:val="24"/>
          <w:szCs w:val="24"/>
        </w:rPr>
        <w:t xml:space="preserve">The psychological trap</w:t>
      </w:r>
    </w:p>
    <w:p>
      <w:pPr>
        <w:spacing w:after="80" w:before="80"/>
        <w:jc w:val="left"/>
      </w:pPr>
      <w:r>
        <w:rPr>
          <w:rFonts w:ascii="Arial" w:cs="Arial" w:eastAsia="Arial" w:hAnsi="Arial"/>
          <w:b w:val="false"/>
          <w:bCs w:val="false"/>
          <w:i w:val="false"/>
          <w:iCs w:val="false"/>
          <w:color w:val="111111"/>
          <w:sz w:val="22"/>
          <w:szCs w:val="22"/>
        </w:rPr>
        <w:t xml:space="preserve">Many users become accustomed to effortless eating control and never develop genuine dietary discipline during the treatment window. After stopping, the return of normal hunger feels disorienting and disproportionately difficult — users describe it as "losing superpowers." Without the habits that make leanness sustainable, rebound overeating is common.</w:t>
      </w:r>
    </w:p>
    <w:p>
      <w:pPr>
        <w:pBdr>
          <w:bottom w:val="single" w:color="AABDD1" w:sz="4" w:space="4"/>
        </w:pBdr>
        <w:spacing w:after="120" w:before="360"/>
      </w:pPr>
      <w:r>
        <w:rPr>
          <w:rFonts w:ascii="Arial" w:cs="Arial" w:eastAsia="Arial" w:hAnsi="Arial"/>
          <w:b/>
          <w:bCs/>
          <w:i w:val="false"/>
          <w:iCs w:val="false"/>
          <w:color w:val="1A3C5E"/>
          <w:sz w:val="28"/>
          <w:szCs w:val="28"/>
        </w:rPr>
        <w:t xml:space="preserve">Muscle Loss — Bigger Than Most Realize</w:t>
      </w:r>
    </w:p>
    <w:p>
      <w:pPr>
        <w:spacing w:after="80" w:before="80"/>
        <w:jc w:val="left"/>
      </w:pPr>
      <w:r>
        <w:rPr>
          <w:rFonts w:ascii="Arial" w:cs="Arial" w:eastAsia="Arial" w:hAnsi="Arial"/>
          <w:b w:val="false"/>
          <w:bCs w:val="false"/>
          <w:i w:val="false"/>
          <w:iCs w:val="false"/>
          <w:color w:val="111111"/>
          <w:sz w:val="22"/>
          <w:szCs w:val="22"/>
        </w:rPr>
        <w:t xml:space="preserve">Without structured resistance training and adequate protein, up to 25-40% of the weight lost on GLP-1 medications can be lean mass rather than fat. This includes muscle and structural tissue. The aesthetic result is the "Ozempic body" — smaller overall, but softer, with worse proportions and a less developed frame. The medication reduces appetite indiscriminately, which means protein intake often drops below what is needed to preserve muscle unless actively managed. This is why lifting and protein targets are non-negotiable, not optional, for anyone using these medications with appearance goals.</w:t>
      </w:r>
    </w:p>
    <w:p>
      <w:pPr>
        <w:pBdr>
          <w:bottom w:val="single" w:color="AABDD1" w:sz="4" w:space="4"/>
        </w:pBdr>
        <w:spacing w:after="120" w:before="360"/>
      </w:pPr>
      <w:r>
        <w:rPr>
          <w:rFonts w:ascii="Arial" w:cs="Arial" w:eastAsia="Arial" w:hAnsi="Arial"/>
          <w:b/>
          <w:bCs/>
          <w:i w:val="false"/>
          <w:iCs w:val="false"/>
          <w:color w:val="1A3C5E"/>
          <w:sz w:val="28"/>
          <w:szCs w:val="28"/>
        </w:rPr>
        <w:t xml:space="preserve">"Ozempic Face" — What Is Actually Happening</w:t>
      </w:r>
    </w:p>
    <w:p>
      <w:pPr>
        <w:spacing w:after="80" w:before="80"/>
        <w:jc w:val="left"/>
      </w:pPr>
      <w:r>
        <w:rPr>
          <w:rFonts w:ascii="Arial" w:cs="Arial" w:eastAsia="Arial" w:hAnsi="Arial"/>
          <w:b w:val="false"/>
          <w:bCs w:val="false"/>
          <w:i w:val="false"/>
          <w:iCs w:val="false"/>
          <w:color w:val="111111"/>
          <w:sz w:val="22"/>
          <w:szCs w:val="22"/>
        </w:rPr>
        <w:t xml:space="preserve">The gaunt facial appearance associated with GLP-1 use is not a direct drug effect — it is the consequence of rapid fat loss in the face. Facial fat provides volume and youthfulness. Rapid reduction of this volume, combined with skin elasticity that lags behind the pace of volume loss, produces a hollow or aged facial appearance. This is more pronounced in individuals who were already relatively lean before starting, older users with less collagen and skin elasticity, and anyone losing weight at an aggressive pace rather than a controlled one. The solution is the same as for any fat loss — controlled pace, adequate protein, and resistance training to preserve the muscle and structure that gives the face its shape.</w:t>
      </w:r>
    </w:p>
    <w:p>
      <w:pPr>
        <w:pBdr>
          <w:bottom w:val="single" w:color="AABDD1" w:sz="4" w:space="4"/>
        </w:pBdr>
        <w:spacing w:after="120" w:before="360"/>
      </w:pPr>
      <w:r>
        <w:rPr>
          <w:rFonts w:ascii="Arial" w:cs="Arial" w:eastAsia="Arial" w:hAnsi="Arial"/>
          <w:b/>
          <w:bCs/>
          <w:i w:val="false"/>
          <w:iCs w:val="false"/>
          <w:color w:val="1A3C5E"/>
          <w:sz w:val="28"/>
          <w:szCs w:val="28"/>
        </w:rPr>
        <w:t xml:space="preserve">Additional Risks</w:t>
      </w:r>
    </w:p>
    <w:p>
      <w:pPr>
        <w:spacing w:after="80" w:before="240"/>
      </w:pPr>
      <w:r>
        <w:rPr>
          <w:rFonts w:ascii="Arial" w:cs="Arial" w:eastAsia="Arial" w:hAnsi="Arial"/>
          <w:b/>
          <w:bCs/>
          <w:i w:val="false"/>
          <w:iCs w:val="false"/>
          <w:color w:val="2C5F8A"/>
          <w:sz w:val="24"/>
          <w:szCs w:val="24"/>
        </w:rPr>
        <w:t xml:space="preserve">Common (10-30% of users)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Nausea — most common early in treatment, typically improves with time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Vomiting and constipation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Fatigue, particularly in the early weeks</w:t>
      </w:r>
    </w:p>
    <w:p>
      <w:pPr>
        <w:spacing w:after="80" w:before="240"/>
      </w:pPr>
      <w:r>
        <w:rPr>
          <w:rFonts w:ascii="Arial" w:cs="Arial" w:eastAsia="Arial" w:hAnsi="Arial"/>
          <w:b/>
          <w:bCs/>
          <w:i w:val="false"/>
          <w:iCs w:val="false"/>
          <w:color w:val="2C5F8A"/>
          <w:sz w:val="24"/>
          <w:szCs w:val="24"/>
        </w:rPr>
        <w:t xml:space="preserve">Less common but real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Gallstones — rapid fat loss increases gallstone risk regardless of method; GLP-1s accelerate this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Pancreatitis — rare but serious; any persistent abdominal pain warrants medical evaluation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Possible thyroid tumor risk — flagged in animal studies; human data is still debated but present on warning labels</w:t>
      </w:r>
    </w:p>
    <w:p>
      <w:pPr>
        <w:pBdr>
          <w:bottom w:val="single" w:color="AABDD1" w:sz="4" w:space="4"/>
        </w:pBdr>
        <w:spacing w:after="120" w:before="360"/>
      </w:pPr>
      <w:r>
        <w:rPr>
          <w:rFonts w:ascii="Arial" w:cs="Arial" w:eastAsia="Arial" w:hAnsi="Arial"/>
          <w:b/>
          <w:bCs/>
          <w:i w:val="false"/>
          <w:iCs w:val="false"/>
          <w:color w:val="1A3C5E"/>
          <w:sz w:val="28"/>
          <w:szCs w:val="28"/>
        </w:rPr>
        <w:t xml:space="preserve">Can GLP-1s Reduce Other Addictions?</w:t>
      </w:r>
    </w:p>
    <w:p>
      <w:pPr>
        <w:spacing w:after="80" w:before="80"/>
        <w:jc w:val="left"/>
      </w:pPr>
      <w:r>
        <w:rPr>
          <w:rFonts w:ascii="Arial" w:cs="Arial" w:eastAsia="Arial" w:hAnsi="Arial"/>
          <w:b w:val="false"/>
          <w:bCs w:val="false"/>
          <w:i w:val="false"/>
          <w:iCs w:val="false"/>
          <w:color w:val="111111"/>
          <w:sz w:val="22"/>
          <w:szCs w:val="22"/>
        </w:rPr>
        <w:t xml:space="preserve">This is one of the most interesting emerging areas of GLP-1 research. Early studies and significant anecdotal reports suggest reduced alcohol cravings, less interest in binge behaviors, and a lower reward response to substances generally. The mechanism is plausible — GLP-1 receptors are present in the brain's reward circuitry and affect dopamine pathways that govern pleasure responses to food, alcohol, and other rewarding stimuli. Some small studies show reduced alcohol intake of roughly 20-30% in certain groups, and animal studies show even stronger effects. Human data remains early-stage. The current accurate framing is: a promising and genuine side benefit, not a reliable primary therapy for addiction. It is not a reason to start GLP-1s, but it is a real effect worth understanding.</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to Access Them</w:t>
      </w:r>
    </w:p>
    <w:p>
      <w:pPr>
        <w:spacing w:after="80" w:before="240"/>
      </w:pPr>
      <w:r>
        <w:rPr>
          <w:rFonts w:ascii="Arial" w:cs="Arial" w:eastAsia="Arial" w:hAnsi="Arial"/>
          <w:b/>
          <w:bCs/>
          <w:i w:val="false"/>
          <w:iCs w:val="false"/>
          <w:color w:val="2C5F8A"/>
          <w:sz w:val="24"/>
          <w:szCs w:val="24"/>
        </w:rPr>
        <w:t xml:space="preserve">Primary care doctor</w:t>
      </w:r>
    </w:p>
    <w:p>
      <w:pPr>
        <w:spacing w:after="80" w:before="80"/>
        <w:jc w:val="left"/>
      </w:pPr>
      <w:r>
        <w:rPr>
          <w:rFonts w:ascii="Arial" w:cs="Arial" w:eastAsia="Arial" w:hAnsi="Arial"/>
          <w:b w:val="false"/>
          <w:bCs w:val="false"/>
          <w:i w:val="false"/>
          <w:iCs w:val="false"/>
          <w:color w:val="111111"/>
          <w:sz w:val="22"/>
          <w:szCs w:val="22"/>
        </w:rPr>
        <w:t xml:space="preserve">The most legitimate route. Insurance coverage is possible when clinical criteria are met. Criteria for Wegovy are BMI of 30 or above, or BMI of 27 or above with a weight-related condition such as prediabetes or hypertension. The process is slower and criteria are stricter, but medical oversight is more thorough.</w:t>
      </w:r>
    </w:p>
    <w:p>
      <w:pPr>
        <w:spacing w:after="80" w:before="240"/>
      </w:pPr>
      <w:r>
        <w:rPr>
          <w:rFonts w:ascii="Arial" w:cs="Arial" w:eastAsia="Arial" w:hAnsi="Arial"/>
          <w:b/>
          <w:bCs/>
          <w:i w:val="false"/>
          <w:iCs w:val="false"/>
          <w:color w:val="2C5F8A"/>
          <w:sz w:val="24"/>
          <w:szCs w:val="24"/>
        </w:rPr>
        <w:t xml:space="preserve">Telehealth clinics</w:t>
      </w:r>
    </w:p>
    <w:p>
      <w:pPr>
        <w:spacing w:after="80" w:before="80"/>
        <w:jc w:val="left"/>
      </w:pPr>
      <w:r>
        <w:rPr>
          <w:rFonts w:ascii="Arial" w:cs="Arial" w:eastAsia="Arial" w:hAnsi="Arial"/>
          <w:b w:val="false"/>
          <w:bCs w:val="false"/>
          <w:i w:val="false"/>
          <w:iCs w:val="false"/>
          <w:color w:val="111111"/>
          <w:sz w:val="22"/>
          <w:szCs w:val="22"/>
        </w:rPr>
        <w:t xml:space="preserve">Companies including Ro, Sequence, and Calibrate have made access significantly faster and more convenient. Approval is often quicker and criteria are sometimes applied more flexibly than in traditional clinical settings. Cost is typically higher than primary care with insurance, running approximately $100-300 per month for the program plus the cost of medication.</w:t>
      </w:r>
    </w:p>
    <w:p>
      <w:pPr>
        <w:spacing w:after="80" w:before="240"/>
      </w:pPr>
      <w:r>
        <w:rPr>
          <w:rFonts w:ascii="Arial" w:cs="Arial" w:eastAsia="Arial" w:hAnsi="Arial"/>
          <w:b/>
          <w:bCs/>
          <w:i w:val="false"/>
          <w:iCs w:val="false"/>
          <w:color w:val="2C5F8A"/>
          <w:sz w:val="24"/>
          <w:szCs w:val="24"/>
        </w:rPr>
        <w:t xml:space="preserve">Compounding pharmacies</w:t>
      </w:r>
    </w:p>
    <w:p>
      <w:pPr>
        <w:spacing w:after="80" w:before="80"/>
        <w:jc w:val="left"/>
      </w:pPr>
      <w:r>
        <w:rPr>
          <w:rFonts w:ascii="Arial" w:cs="Arial" w:eastAsia="Arial" w:hAnsi="Arial"/>
          <w:b w:val="false"/>
          <w:bCs w:val="false"/>
          <w:i w:val="false"/>
          <w:iCs w:val="false"/>
          <w:color w:val="111111"/>
          <w:sz w:val="22"/>
          <w:szCs w:val="22"/>
        </w:rPr>
        <w:t xml:space="preserve">A significant share of current GLP-1 use involves compounded semaglutide or tirzepatide from compounding pharmacies, which offer substantially lower prices — roughly $150-400 per month. These are not FDA-approved formulations, and quality can vary between suppliers. This is a gray area legally and medically. Cost is the primary driver of this route for most users.</w:t>
      </w:r>
    </w:p>
    <w:p>
      <w:pPr>
        <w:pBdr>
          <w:bottom w:val="single" w:color="AABDD1" w:sz="4" w:space="4"/>
        </w:pBdr>
        <w:spacing w:after="120" w:before="360"/>
      </w:pPr>
      <w:r>
        <w:rPr>
          <w:rFonts w:ascii="Arial" w:cs="Arial" w:eastAsia="Arial" w:hAnsi="Arial"/>
          <w:b/>
          <w:bCs/>
          <w:i w:val="false"/>
          <w:iCs w:val="false"/>
          <w:color w:val="1A3C5E"/>
          <w:sz w:val="28"/>
          <w:szCs w:val="28"/>
        </w:rPr>
        <w:t xml:space="preserve">Cost Reality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Brand name (Ozempic/Wegovy) without insurance: $900-1,400 per month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Telehealth programs: $100-300 per month plus medication cost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Compounded versions: $150-400 per month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With insurance coverage: $0-200 per month when approved</w:t>
      </w:r>
    </w:p>
    <w:p>
      <w:pPr>
        <w:spacing w:after="80" w:before="80"/>
        <w:jc w:val="left"/>
      </w:pPr>
      <w:r>
        <w:rPr>
          <w:rFonts w:ascii="Arial" w:cs="Arial" w:eastAsia="Arial" w:hAnsi="Arial"/>
          <w:b w:val="false"/>
          <w:bCs w:val="false"/>
          <w:i w:val="false"/>
          <w:iCs w:val="false"/>
          <w:color w:val="111111"/>
          <w:sz w:val="22"/>
          <w:szCs w:val="22"/>
        </w:rPr>
        <w:t xml:space="preserve">Long-term use becomes a significant financial commitment. This is part of the strategic calculation — if the plan is to use the medication indefinitely as the primary appetite management tool, the annual cost runs into the thousands.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Three Viable Strategies</w:t>
      </w:r>
    </w:p>
    <w:p>
      <w:pPr>
        <w:spacing w:after="80" w:before="240"/>
      </w:pPr>
      <w:r>
        <w:rPr>
          <w:rFonts w:ascii="Arial" w:cs="Arial" w:eastAsia="Arial" w:hAnsi="Arial"/>
          <w:b/>
          <w:bCs/>
          <w:i w:val="false"/>
          <w:iCs w:val="false"/>
          <w:color w:val="2C5F8A"/>
          <w:sz w:val="24"/>
          <w:szCs w:val="24"/>
        </w:rPr>
        <w:t xml:space="preserve">Strategy 1 — Long-term use (the medical model)</w:t>
      </w:r>
    </w:p>
    <w:p>
      <w:pPr>
        <w:spacing w:after="80" w:before="80"/>
        <w:jc w:val="left"/>
      </w:pPr>
      <w:r>
        <w:rPr>
          <w:rFonts w:ascii="Arial" w:cs="Arial" w:eastAsia="Arial" w:hAnsi="Arial"/>
          <w:b w:val="false"/>
          <w:bCs w:val="false"/>
          <w:i w:val="false"/>
          <w:iCs w:val="false"/>
          <w:color w:val="111111"/>
          <w:sz w:val="22"/>
          <w:szCs w:val="22"/>
        </w:rPr>
        <w:t xml:space="preserve">Treat GLP-1 dependency like a chronic condition medication — the same way blood pressure medication is maintained indefinitely. Weight is maintained as long as the medication continues. The downsides are ongoing cost, biological dependency, and the absence of developed dietary self-regulation skills. This is medically legitimate for some people but is a significant ongoing commitment.</w:t>
      </w:r>
    </w:p>
    <w:p>
      <w:pPr>
        <w:spacing w:after="80" w:before="240"/>
      </w:pPr>
      <w:r>
        <w:rPr>
          <w:rFonts w:ascii="Arial" w:cs="Arial" w:eastAsia="Arial" w:hAnsi="Arial"/>
          <w:b/>
          <w:bCs/>
          <w:i w:val="false"/>
          <w:iCs w:val="false"/>
          <w:color w:val="2C5F8A"/>
          <w:sz w:val="24"/>
          <w:szCs w:val="24"/>
        </w:rPr>
        <w:t xml:space="preserve">Strategy 2 — Temporary use with habit installation (optimal for aesthetics)</w:t>
      </w:r>
    </w:p>
    <w:p>
      <w:pPr>
        <w:spacing w:after="80" w:before="80"/>
        <w:jc w:val="left"/>
      </w:pPr>
      <w:r>
        <w:rPr>
          <w:rFonts w:ascii="Arial" w:cs="Arial" w:eastAsia="Arial" w:hAnsi="Arial"/>
          <w:b w:val="false"/>
          <w:bCs w:val="false"/>
          <w:i w:val="false"/>
          <w:iCs w:val="false"/>
          <w:color w:val="111111"/>
          <w:sz w:val="22"/>
          <w:szCs w:val="22"/>
        </w:rPr>
        <w:t xml:space="preserve">Use the medication to drop fat to goal body composition, while simultaneously installing genuine dietary habits, training consistency, and the behavioral infrastructure that makes leanness sustainable. Then taper off. This requires discipline — the medication provides the window, but the user must actively build the habits during that window rather than passively benefiting from appetite suppression. This is the highest-quality outcome and the one most aligned with the looksmaxxing goal of producing lasting change.</w:t>
      </w:r>
    </w:p>
    <w:p>
      <w:pPr>
        <w:spacing w:after="80" w:before="240"/>
      </w:pPr>
      <w:r>
        <w:rPr>
          <w:rFonts w:ascii="Arial" w:cs="Arial" w:eastAsia="Arial" w:hAnsi="Arial"/>
          <w:b/>
          <w:bCs/>
          <w:i w:val="false"/>
          <w:iCs w:val="false"/>
          <w:color w:val="2C5F8A"/>
          <w:sz w:val="24"/>
          <w:szCs w:val="24"/>
        </w:rPr>
        <w:t xml:space="preserve">Strategy 3 — Use, stop, rebound (most common reality)</w:t>
      </w:r>
    </w:p>
    <w:p>
      <w:pPr>
        <w:spacing w:after="80" w:before="80"/>
        <w:jc w:val="left"/>
      </w:pPr>
      <w:r>
        <w:rPr>
          <w:rFonts w:ascii="Arial" w:cs="Arial" w:eastAsia="Arial" w:hAnsi="Arial"/>
          <w:b w:val="false"/>
          <w:bCs w:val="false"/>
          <w:i w:val="false"/>
          <w:iCs w:val="false"/>
          <w:color w:val="111111"/>
          <w:sz w:val="22"/>
          <w:szCs w:val="22"/>
        </w:rPr>
        <w:t xml:space="preserve">No meaningful habit change occurs during the medication period. Weight loss happens. The medication stops. Appetite returns in full. Two-thirds of the weight comes back within a year. This is the majority outcome in real-world use and the scenario the regain data reflects.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"GLP-1s do not make you lean — they rent you appetite control. If you do not build the system while you are on them, you give the body back — with interest — when you stop."</w:t>
      </w:r>
    </w:p>
    <w:p>
      <w:pPr>
        <w:pBdr>
          <w:bottom w:val="single" w:color="AABDD1" w:sz="4" w:space="4"/>
        </w:pBdr>
        <w:spacing w:after="120" w:before="360"/>
      </w:pPr>
      <w:r>
        <w:rPr>
          <w:rFonts w:ascii="Arial" w:cs="Arial" w:eastAsia="Arial" w:hAnsi="Arial"/>
          <w:b/>
          <w:bCs/>
          <w:i w:val="false"/>
          <w:iCs w:val="false"/>
          <w:color w:val="1A3C5E"/>
          <w:sz w:val="28"/>
          <w:szCs w:val="28"/>
        </w:rPr>
        <w:t xml:space="preserve">Semaglutide vs. Tirzepatide — The Key Distinction</w:t>
      </w:r>
    </w:p>
    <w:p>
      <w:pPr>
        <w:spacing w:after="80" w:before="80"/>
        <w:jc w:val="left"/>
      </w:pPr>
      <w:r>
        <w:rPr>
          <w:rFonts w:ascii="Arial" w:cs="Arial" w:eastAsia="Arial" w:hAnsi="Arial"/>
          <w:b w:val="false"/>
          <w:bCs w:val="false"/>
          <w:i w:val="false"/>
          <w:iCs w:val="false"/>
          <w:color w:val="111111"/>
          <w:sz w:val="22"/>
          <w:szCs w:val="22"/>
        </w:rPr>
        <w:t xml:space="preserve">Two different drug classes are frequently conflated under the "Ozempic" label. Semaglutide (Ozempic for diabetes, Wegovy for weight loss) activates only GLP-1 receptors. Tirzepatide (Mounjaro for diabetes, Zepbound for weight loss) activates both GLP-1 and GIP receptors simultaneously. The dual mechanism produces stronger appetite suppression and better fat loss outcomes on average — roughly 20-25% or more body weight loss compared to 15-22% for semaglutide at equivalent commitment. Tirzepatide is currently the most effective non-surgical weight loss intervention available. When people say they are "on Ozempic," they are frequently actually on Mounjaro, Zepbound, or a compounded version of either.</w:t>
      </w:r>
    </w:p>
    <w:p>
      <w:pPr>
        <w:pBdr>
          <w:bottom w:val="single" w:color="AABDD1" w:sz="4" w:space="4"/>
        </w:pBdr>
        <w:spacing w:after="120" w:before="360"/>
      </w:pPr>
      <w:r>
        <w:rPr>
          <w:rFonts w:ascii="Arial" w:cs="Arial" w:eastAsia="Arial" w:hAnsi="Arial"/>
          <w:b/>
          <w:bCs/>
          <w:i w:val="false"/>
          <w:iCs w:val="false"/>
          <w:color w:val="1A3C5E"/>
          <w:sz w:val="28"/>
          <w:szCs w:val="28"/>
        </w:rPr>
        <w:t xml:space="preserve">Who It Makes Sense For</w:t>
      </w:r>
    </w:p>
    <w:p>
      <w:pPr>
        <w:spacing w:after="80" w:before="240"/>
      </w:pPr>
      <w:r>
        <w:rPr>
          <w:rFonts w:ascii="Arial" w:cs="Arial" w:eastAsia="Arial" w:hAnsi="Arial"/>
          <w:b/>
          <w:bCs/>
          <w:i w:val="false"/>
          <w:iCs w:val="false"/>
          <w:color w:val="2C5F8A"/>
          <w:sz w:val="24"/>
          <w:szCs w:val="24"/>
        </w:rPr>
        <w:t xml:space="preserve">Strong candidate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Clearly overweight — twenty percent body fat or above, not just slightly soft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Documented history of failed fat loss attempts driven by hunger control failure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Committed to lifting consistently and hitting protein targets during the treatment period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Has a realistic plan for post-medication maintenance</w:t>
      </w:r>
    </w:p>
    <w:p>
      <w:pPr>
        <w:spacing w:after="80" w:before="240"/>
      </w:pPr>
      <w:r>
        <w:rPr>
          <w:rFonts w:ascii="Arial" w:cs="Arial" w:eastAsia="Arial" w:hAnsi="Arial"/>
          <w:b/>
          <w:bCs/>
          <w:i w:val="false"/>
          <w:iCs w:val="false"/>
          <w:color w:val="2C5F8A"/>
          <w:sz w:val="24"/>
          <w:szCs w:val="24"/>
        </w:rPr>
        <w:t xml:space="preserve">Poor candidate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Already lean or close to goal body composition — risk of looking worse, not better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Using it for speed without a plan for sustainability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Not training and not managing protein — will lose muscle and produce the Ozempic body aesthetic</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plan for what happens when the medication stops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Strategic Protocol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Lift three to five times per week — non-negotiable for muscle preservation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Protein at 0.7 to 1 gram per pound of bodyweight — active management required, not passive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Lose weight at a controlled pace — aggressive restriction accelerates muscle loss and facial volume loss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Use the medication window to build dietary habits, not just to benefit from them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Have a clear exit plan and transition strategy before starting</w:t>
      </w:r>
    </w:p>
    <w:p>
      <w:pPr>
        <w:pBdr>
          <w:bottom w:val="single" w:color="AABDD1" w:sz="4" w:space="4"/>
        </w:pBdr>
        <w:spacing w:after="120" w:before="360"/>
      </w:pPr>
      <w:r>
        <w:rPr>
          <w:rFonts w:ascii="Arial" w:cs="Arial" w:eastAsia="Arial" w:hAnsi="Arial"/>
          <w:b/>
          <w:bCs/>
          <w:i w:val="false"/>
          <w:iCs w:val="false"/>
          <w:color w:val="1A3C5E"/>
          <w:sz w:val="28"/>
          <w:szCs w:val="28"/>
        </w:rPr>
        <w:t xml:space="preserve">Retatrutide — The Next Generation (Pipeline, Not Available)</w:t>
      </w:r>
    </w:p>
    <w:p>
      <w:pPr>
        <w:spacing w:after="80" w:before="80"/>
        <w:jc w:val="left"/>
      </w:pPr>
      <w:r>
        <w:rPr>
          <w:rFonts w:ascii="Arial" w:cs="Arial" w:eastAsia="Arial" w:hAnsi="Arial"/>
          <w:b w:val="false"/>
          <w:bCs w:val="false"/>
          <w:i w:val="false"/>
          <w:iCs w:val="false"/>
          <w:color w:val="111111"/>
          <w:sz w:val="22"/>
          <w:szCs w:val="22"/>
        </w:rPr>
        <w:t xml:space="preserve">Retatrutide is the most significant near-term development in the GLP-1 category and warrants understanding even though it is not currently available. Where semaglutide (Ozempic/Wegovy) is a GLP-1 receptor agonist and tirzepatide (Mounjaro/Zepbound) is a dual GIP/GLP-1 agonist, retatrutide is a triple agonist — targeting GIP, GLP-1, and glucagon receptors simultaneously. Eli Lilly describes it as an investigational once-weekly molecule, and Phase 3 topline data are unusually strong: TRIUMPH-4 reported up to 28.7% average body weight loss at 68 weeks, and a Phase 3 diabetes trial reported 16.8% average weight loss at 40 weeks. For context, semaglutide Phase 3 trials showed approximately 15% weight loss and tirzepatide approximately 20-22%.</w:t>
      </w:r>
    </w:p>
    <w:p>
      <w:pPr>
        <w:spacing w:after="80" w:before="80"/>
        <w:jc w:val="left"/>
      </w:pPr>
      <w:r>
        <w:rPr>
          <w:rFonts w:ascii="Arial" w:cs="Arial" w:eastAsia="Arial" w:hAnsi="Arial"/>
          <w:b w:val="false"/>
          <w:bCs w:val="false"/>
          <w:i w:val="false"/>
          <w:iCs w:val="false"/>
          <w:color w:val="111111"/>
          <w:sz w:val="22"/>
          <w:szCs w:val="22"/>
        </w:rPr>
        <w:t xml:space="preserve">The editorial position here must be clear. Retatrutide is not approved by any regulatory agency as of this writing. Eli Lilly states it is legally available only through its clinical trials. The FDA has issued warning letters targeting companies marketing retatrutide products online. Any source offering retatrutide outside of a clinical trial is operating outside the law and almost certainly supplying a compound of unknown quality and composition. This is not a consumer-ready option — it is a major pipeline development with serious future relevance for this category.</w:t>
      </w:r>
    </w:p>
    <w:p>
      <w:pPr>
        <w:spacing w:after="80" w:before="80"/>
        <w:jc w:val="left"/>
      </w:pPr>
      <w:r>
        <w:rPr>
          <w:rFonts w:ascii="Arial" w:cs="Arial" w:eastAsia="Arial" w:hAnsi="Arial"/>
          <w:b w:val="false"/>
          <w:bCs w:val="false"/>
          <w:i w:val="false"/>
          <w:iCs w:val="false"/>
          <w:color w:val="111111"/>
          <w:sz w:val="22"/>
          <w:szCs w:val="22"/>
        </w:rPr>
        <w:t xml:space="preserve">Why it matters for the system: if Phase 3 data hold through regulatory review, retatrutide represents a meaningful step beyond current options in terms of efficacy. The same considerations that apply to current GLP-1s — muscle loss risk, need for high protein and training, habit infrastructure building during the treatment window — will apply here with even greater importance given the larger weight loss magnitude. The muscle retention challenge scales with the intervention strength.</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Reddit discussion of retatrutide is the noisiest category in this document because the space is heavily contaminated by research-chemical culture and borderline promotional posts. The recurring positives from people who report using it: intense appetite suppression, reduced "food noise," and major weight-loss outcomes. The recurring negatives: GI issues, bloating, nausea, headaches, fatigue, and significant dose sensitivity. These side-effect profiles are broadly consistent with what Phase 3 data show and add texture to the adherence picture — this is not a smooth, comfortable intervention for everyone. The critical caveat: Reddit should not be used to validate safety, sourcing, or access for retatrutide. Anyone reporting use outside a clinical trial is obtaining an unapproved compound through unregulated channels, with no quality control. The community experience enriches the side-effect and adherence framing; it does not change the access and safety position.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GLP-1s are among the most powerful fat loss tools ever created — but they rent appetite control, they do not build it. For the right candidate (significantly overweight, hunger-driven failure history, committed to training and protein), they can be genuinely transformational. For the wrong candidate or wrong approach, they produce the Ozempic body, facial aging, muscle loss, and regain when stopped. Retatrutide is the most significant pipeline development in this category — triple agonism with Phase 3 data showing up to 28.7% body weight loss — but is not approved and not available outside clinical trials. The question that determines whether any GLP-1 is high ROI or a mistake: if the medication disappeared in six to twelve months, would you stay lean? If the answer is no, the habit infrastructure needs to be built during the treatment window — or the result is borrowed.</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GLP-1s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2026-04-09T15:31:57.140Z</dcterms:created>
  <dcterms:modified xsi:type="dcterms:W3CDTF">2026-04-09T15:31:57.140Z</dcterms:modified>
</cp:coreProperties>
</file>

<file path=docProps/custom.xml><?xml version="1.0" encoding="utf-8"?>
<Properties xmlns="http://schemas.openxmlformats.org/officeDocument/2006/custom-properties" xmlns:vt="http://schemas.openxmlformats.org/officeDocument/2006/docPropsVTypes"/>
</file>