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5E" w:sz="10" w:space="8"/>
        </w:pBdr>
        <w:spacing w:after="200" w:before="0"/>
      </w:pPr>
      <w:r>
        <w:rPr>
          <w:rFonts w:ascii="Arial" w:cs="Arial" w:eastAsia="Arial" w:hAnsi="Arial"/>
          <w:b/>
          <w:bCs/>
          <w:i w:val="false"/>
          <w:iCs w:val="false"/>
          <w:color w:val="1A3C5E"/>
          <w:sz w:val="36"/>
          <w:szCs w:val="36"/>
        </w:rPr>
        <w:t xml:space="preserve">Peptides</w:t>
      </w:r>
    </w:p>
    <w:p>
      <w:pPr>
        <w:spacing w:after="320" w:before="100"/>
        <w:jc w:val="left"/>
      </w:pPr>
      <w:r>
        <w:rPr>
          <w:rFonts w:ascii="Arial" w:cs="Arial" w:eastAsia="Arial" w:hAnsi="Arial"/>
          <w:b w:val="false"/>
          <w:bCs w:val="false"/>
          <w:i/>
          <w:iCs/>
          <w:color w:val="666666"/>
          <w:sz w:val="22"/>
          <w:szCs w:val="22"/>
        </w:rPr>
        <w:t xml:space="preserve">Niche tools with marginal gains — and why most people should not care yet</w:t>
      </w:r>
    </w:p>
    <w:p>
      <w:pPr>
        <w:pBdr>
          <w:bottom w:val="single" w:color="AABDD1" w:sz="4" w:space="4"/>
        </w:pBdr>
        <w:spacing w:after="120" w:before="360"/>
      </w:pPr>
      <w:r>
        <w:rPr>
          <w:rFonts w:ascii="Arial" w:cs="Arial" w:eastAsia="Arial" w:hAnsi="Arial"/>
          <w:b/>
          <w:bCs/>
          <w:i w:val="false"/>
          <w:iCs w:val="false"/>
          <w:color w:val="1A3C5E"/>
          <w:sz w:val="28"/>
          <w:szCs w:val="28"/>
        </w:rPr>
        <w:t xml:space="preserve">What Peptides Are</w:t>
      </w:r>
    </w:p>
    <w:p>
      <w:pPr>
        <w:spacing w:after="80" w:before="80"/>
        <w:jc w:val="left"/>
      </w:pPr>
      <w:r>
        <w:rPr>
          <w:rFonts w:ascii="Arial" w:cs="Arial" w:eastAsia="Arial" w:hAnsi="Arial"/>
          <w:b w:val="false"/>
          <w:bCs w:val="false"/>
          <w:i w:val="false"/>
          <w:iCs w:val="false"/>
          <w:color w:val="111111"/>
          <w:sz w:val="22"/>
          <w:szCs w:val="22"/>
        </w:rPr>
        <w:t xml:space="preserve">Peptides are short chains of amino acids that act as biological signals — more targeted than supplements, less established than traditional medications. In looksmax and biohacking circles they are used for fat loss, muscle growth, recovery, skin quality, and hormone modulation. Common ones discussed include BPC-157, CJC-1295, Ipamorelin, Melanotan II, and a growing number of others. Understanding what each category is actually doing — and what the evidence actually supports — prevents the most common mistake in this space, which is adding complexity instead of fixing fundamentals.</w:t>
      </w:r>
    </w:p>
    <w:p>
      <w:pPr>
        <w:pBdr>
          <w:bottom w:val="single" w:color="AABDD1" w:sz="4" w:space="4"/>
        </w:pBdr>
        <w:spacing w:after="120" w:before="360"/>
      </w:pPr>
      <w:r>
        <w:rPr>
          <w:rFonts w:ascii="Arial" w:cs="Arial" w:eastAsia="Arial" w:hAnsi="Arial"/>
          <w:b/>
          <w:bCs/>
          <w:i w:val="false"/>
          <w:iCs w:val="false"/>
          <w:color w:val="1A3C5E"/>
          <w:sz w:val="28"/>
          <w:szCs w:val="28"/>
        </w:rPr>
        <w:t xml:space="preserve">The Core POV</w:t>
      </w:r>
    </w:p>
    <w:p>
      <w:pPr>
        <w:spacing w:after="80" w:before="80"/>
        <w:jc w:val="left"/>
      </w:pPr>
      <w:r>
        <w:rPr>
          <w:rFonts w:ascii="Arial" w:cs="Arial" w:eastAsia="Arial" w:hAnsi="Arial"/>
          <w:b w:val="false"/>
          <w:bCs w:val="false"/>
          <w:i w:val="false"/>
          <w:iCs w:val="false"/>
          <w:color w:val="111111"/>
          <w:sz w:val="22"/>
          <w:szCs w:val="22"/>
        </w:rPr>
        <w:t xml:space="preserve">Peptides are advanced tools with marginal gains for most people, and disproportionate hype relative to their real-world impact. They are not beginner tools. They are not necessary for 95% of people. They are most often used as shortcuts before fundamentals have been addressed. When the foundation is already strong, a well-chosen peptide stack may produce a small additional edge. When the foundation is weak, the same stack produces no meaningful change.</w:t>
      </w:r>
    </w:p>
    <w:p>
      <w:pPr>
        <w:pBdr>
          <w:bottom w:val="single" w:color="AABDD1" w:sz="4" w:space="4"/>
        </w:pBdr>
        <w:spacing w:after="120" w:before="360"/>
      </w:pPr>
      <w:r>
        <w:rPr>
          <w:rFonts w:ascii="Arial" w:cs="Arial" w:eastAsia="Arial" w:hAnsi="Arial"/>
          <w:b/>
          <w:bCs/>
          <w:i w:val="false"/>
          <w:iCs w:val="false"/>
          <w:color w:val="1A3C5E"/>
          <w:sz w:val="28"/>
          <w:szCs w:val="28"/>
        </w:rPr>
        <w:t xml:space="preserve">The Full Peptide Landscape — Categories and What They Do</w:t>
      </w:r>
    </w:p>
    <w:p>
      <w:pPr>
        <w:spacing w:after="80" w:before="240"/>
      </w:pPr>
      <w:r>
        <w:rPr>
          <w:rFonts w:ascii="Arial" w:cs="Arial" w:eastAsia="Arial" w:hAnsi="Arial"/>
          <w:b/>
          <w:bCs/>
          <w:i w:val="false"/>
          <w:iCs w:val="false"/>
          <w:color w:val="2C5F8A"/>
          <w:sz w:val="24"/>
          <w:szCs w:val="24"/>
        </w:rPr>
        <w:t xml:space="preserve">Fat loss and metabolic peptides</w:t>
      </w:r>
    </w:p>
    <w:p>
      <w:pPr>
        <w:spacing w:after="80" w:before="80"/>
        <w:jc w:val="left"/>
      </w:pPr>
      <w:r>
        <w:rPr>
          <w:rFonts w:ascii="Arial" w:cs="Arial" w:eastAsia="Arial" w:hAnsi="Arial"/>
          <w:b w:val="false"/>
          <w:bCs w:val="false"/>
          <w:i w:val="false"/>
          <w:iCs w:val="false"/>
          <w:color w:val="111111"/>
          <w:sz w:val="22"/>
          <w:szCs w:val="22"/>
        </w:rPr>
        <w:t xml:space="preserve">GLP-1 receptor agonists — semaglutide and tirzepatide — are the most effective and best-evidenced compounds in this category by a wide margin. They produce documented, clinically significant fat loss and are covered in depth in the GLP-1 document. AOD-9604 is a fragment of the growth hormone molecule claimed to signal fat metabolism directly without broader GH effects. Evidence in humans is limited; it has been studied in some clinical contexts but has not established a meaningful track record outside experimental settings. It occasionally appears in advanced stacks as a complement to GLP-1 use.</w:t>
      </w:r>
    </w:p>
    <w:p>
      <w:pPr>
        <w:spacing w:after="80" w:before="240"/>
      </w:pPr>
      <w:r>
        <w:rPr>
          <w:rFonts w:ascii="Arial" w:cs="Arial" w:eastAsia="Arial" w:hAnsi="Arial"/>
          <w:b/>
          <w:bCs/>
          <w:i w:val="false"/>
          <w:iCs w:val="false"/>
          <w:color w:val="2C5F8A"/>
          <w:sz w:val="24"/>
          <w:szCs w:val="24"/>
        </w:rPr>
        <w:t xml:space="preserve">Growth hormone secretagogues — CJC-1295 and Ipamorelin</w:t>
      </w:r>
    </w:p>
    <w:p>
      <w:pPr>
        <w:spacing w:after="80" w:before="80"/>
        <w:jc w:val="left"/>
      </w:pPr>
      <w:r>
        <w:rPr>
          <w:rFonts w:ascii="Arial" w:cs="Arial" w:eastAsia="Arial" w:hAnsi="Arial"/>
          <w:b w:val="false"/>
          <w:bCs w:val="false"/>
          <w:i w:val="false"/>
          <w:iCs w:val="false"/>
          <w:color w:val="111111"/>
          <w:sz w:val="22"/>
          <w:szCs w:val="22"/>
        </w:rPr>
        <w:t xml:space="preserve">These peptides stimulate the pituitary to release more growth hormone naturally rather than introducing exogenous GH directly. CJC-1295 extends the GH release pulse; Ipamorelin produces a targeted GH spike with a relatively clean side effect profile compared to earlier secretagogues. Claimed effects include fat loss, improved recovery, and subtle skin improvement over time. The honest effect size for most users is mild — meaningful recovery improvement is probably the most consistent real-world report. They are not comparable to actual GH or anabolic compounds in impact. They are often stacked together as a combined protocol.</w:t>
      </w:r>
    </w:p>
    <w:p>
      <w:pPr>
        <w:spacing w:after="80" w:before="240"/>
      </w:pPr>
      <w:r>
        <w:rPr>
          <w:rFonts w:ascii="Arial" w:cs="Arial" w:eastAsia="Arial" w:hAnsi="Arial"/>
          <w:b/>
          <w:bCs/>
          <w:i w:val="false"/>
          <w:iCs w:val="false"/>
          <w:color w:val="2C5F8A"/>
          <w:sz w:val="24"/>
          <w:szCs w:val="24"/>
        </w:rPr>
        <w:t xml:space="preserve">Recovery and healing peptides</w:t>
      </w:r>
    </w:p>
    <w:p>
      <w:pPr>
        <w:spacing w:after="80" w:before="80"/>
        <w:jc w:val="left"/>
      </w:pPr>
      <w:r>
        <w:rPr>
          <w:rFonts w:ascii="Arial" w:cs="Arial" w:eastAsia="Arial" w:hAnsi="Arial"/>
          <w:b w:val="false"/>
          <w:bCs w:val="false"/>
          <w:i w:val="false"/>
          <w:iCs w:val="false"/>
          <w:color w:val="111111"/>
          <w:sz w:val="22"/>
          <w:szCs w:val="22"/>
        </w:rPr>
        <w:t xml:space="preserve">BPC-157 (Body Protection Compound) is the most widely discussed healing peptide. It has shown accelerated healing of tendons, ligaments, and gut tissue in animal studies, and anecdotal reports of injury recovery improvement are substantial and consistent enough to take seriously. Human controlled trial data remains limited. It is probably the most practically useful peptide for someone dealing with a specific injury or chronic inflammation issue. TB-500 (Thymosin Beta-4) works through a related mechanism, promoting cell migration and tissue repair, and is often paired with BPC-157 for injury protocols.</w:t>
      </w:r>
    </w:p>
    <w:p>
      <w:pPr>
        <w:spacing w:after="80" w:before="240"/>
      </w:pPr>
      <w:r>
        <w:rPr>
          <w:rFonts w:ascii="Arial" w:cs="Arial" w:eastAsia="Arial" w:hAnsi="Arial"/>
          <w:b/>
          <w:bCs/>
          <w:i w:val="false"/>
          <w:iCs w:val="false"/>
          <w:color w:val="2C5F8A"/>
          <w:sz w:val="24"/>
          <w:szCs w:val="24"/>
        </w:rPr>
        <w:t xml:space="preserve">Skin and anti-aging peptides</w:t>
      </w:r>
    </w:p>
    <w:p>
      <w:pPr>
        <w:spacing w:after="80" w:before="80"/>
        <w:jc w:val="left"/>
      </w:pPr>
      <w:r>
        <w:rPr>
          <w:rFonts w:ascii="Arial" w:cs="Arial" w:eastAsia="Arial" w:hAnsi="Arial"/>
          <w:b w:val="false"/>
          <w:bCs w:val="false"/>
          <w:i w:val="false"/>
          <w:iCs w:val="false"/>
          <w:color w:val="111111"/>
          <w:sz w:val="22"/>
          <w:szCs w:val="22"/>
        </w:rPr>
        <w:t xml:space="preserve">GHK-Cu (copper peptide) is one of the better-supported topical peptides, with evidence for collagen stimulation and skin quality improvement when applied directly. It is used in some skincare formulations as well as in injectable protocols in more aggressive anti-aging stacks. Effects are subtle and cumulative. Melanotan II increases melanin production for tanning purposes. It works, but side effects include nausea, darkening of moles, and unknown long-term risk. Purely cosmetic and not without meaningful risk.</w:t>
      </w:r>
    </w:p>
    <w:p>
      <w:pPr>
        <w:pBdr>
          <w:bottom w:val="single" w:color="AABDD1" w:sz="4" w:space="4"/>
        </w:pBdr>
        <w:spacing w:after="120" w:before="360"/>
      </w:pPr>
      <w:r>
        <w:rPr>
          <w:rFonts w:ascii="Arial" w:cs="Arial" w:eastAsia="Arial" w:hAnsi="Arial"/>
          <w:b/>
          <w:bCs/>
          <w:i w:val="false"/>
          <w:iCs w:val="false"/>
          <w:color w:val="1A3C5E"/>
          <w:sz w:val="28"/>
          <w:szCs w:val="28"/>
        </w:rPr>
        <w:t xml:space="preserve">The Stacking Approach — Advanced Protocols</w:t>
      </w:r>
    </w:p>
    <w:p>
      <w:pPr>
        <w:spacing w:after="80" w:before="80"/>
        <w:jc w:val="left"/>
      </w:pPr>
      <w:r>
        <w:rPr>
          <w:rFonts w:ascii="Arial" w:cs="Arial" w:eastAsia="Arial" w:hAnsi="Arial"/>
          <w:b w:val="false"/>
          <w:bCs w:val="false"/>
          <w:i w:val="false"/>
          <w:iCs w:val="false"/>
          <w:color w:val="111111"/>
          <w:sz w:val="22"/>
          <w:szCs w:val="22"/>
        </w:rPr>
        <w:t xml:space="preserve">In more sophisticated biohacking circles, these categories are layered together into multi-peptide protocols: a GLP-1 for fat loss, secretagogues for GH stimulation and recovery, BPC-157 for healing, and a copper peptide for skin. The reasoning is that each compound targets a different system, so combining them produces additive benefit with limited overlap in mechanism.</w:t>
      </w:r>
    </w:p>
    <w:p>
      <w:pPr>
        <w:spacing w:after="80" w:before="80"/>
        <w:jc w:val="left"/>
      </w:pPr>
      <w:r>
        <w:rPr>
          <w:rFonts w:ascii="Arial" w:cs="Arial" w:eastAsia="Arial" w:hAnsi="Arial"/>
          <w:b w:val="false"/>
          <w:bCs w:val="false"/>
          <w:i w:val="false"/>
          <w:iCs w:val="false"/>
          <w:color w:val="111111"/>
          <w:sz w:val="22"/>
          <w:szCs w:val="22"/>
        </w:rPr>
        <w:t xml:space="preserve">This reasoning is not wrong in principle. But the practical reality is important to hold onto: the visible transformation in people running these protocols still comes primarily from diet, GLP-1 use if applicable, and training. The additional peptides are providing marginal optimization on top of that foundation. Someone attributing their physical change to the BPC-157 and CJC-1295 stack when they are simultaneously running a GLP-1, lifting consistently, and eating controlled calories is misattributing the primary drivers.</w:t>
      </w:r>
    </w:p>
    <w:p>
      <w:pPr>
        <w:pBdr>
          <w:bottom w:val="single" w:color="AABDD1" w:sz="4" w:space="4"/>
        </w:pBdr>
        <w:spacing w:after="120" w:before="360"/>
      </w:pPr>
      <w:r>
        <w:rPr>
          <w:rFonts w:ascii="Arial" w:cs="Arial" w:eastAsia="Arial" w:hAnsi="Arial"/>
          <w:b/>
          <w:bCs/>
          <w:i w:val="false"/>
          <w:iCs w:val="false"/>
          <w:color w:val="1A3C5E"/>
          <w:sz w:val="28"/>
          <w:szCs w:val="28"/>
        </w:rPr>
        <w:t xml:space="preserve">The Real Problems</w:t>
      </w:r>
    </w:p>
    <w:p>
      <w:pPr>
        <w:spacing w:after="80" w:before="240"/>
      </w:pPr>
      <w:r>
        <w:rPr>
          <w:rFonts w:ascii="Arial" w:cs="Arial" w:eastAsia="Arial" w:hAnsi="Arial"/>
          <w:b/>
          <w:bCs/>
          <w:i w:val="false"/>
          <w:iCs w:val="false"/>
          <w:color w:val="2C5F8A"/>
          <w:sz w:val="24"/>
          <w:szCs w:val="24"/>
        </w:rPr>
        <w:t xml:space="preserve">Regulation and quality control</w:t>
      </w:r>
    </w:p>
    <w:p>
      <w:pPr>
        <w:spacing w:after="80" w:before="80"/>
        <w:jc w:val="left"/>
      </w:pPr>
      <w:r>
        <w:rPr>
          <w:rFonts w:ascii="Arial" w:cs="Arial" w:eastAsia="Arial" w:hAnsi="Arial"/>
          <w:b w:val="false"/>
          <w:bCs w:val="false"/>
          <w:i w:val="false"/>
          <w:iCs w:val="false"/>
          <w:color w:val="111111"/>
          <w:sz w:val="22"/>
          <w:szCs w:val="22"/>
        </w:rPr>
        <w:t xml:space="preserve">Most peptides are classified as research chemicals and are not FDA-approved for general cosmetic or performance use. They are sourced from online peptide vendors where purity and dosing consistency vary significantly between suppliers and even between batches from the same supplier. There is no practical way for a consumer to independently verify what they are injecting. This is not a theoretical risk — contaminated or misdosed research chemicals from unverified sources are a real and recurring problem in this space.</w:t>
      </w:r>
    </w:p>
    <w:p>
      <w:pPr>
        <w:spacing w:after="80" w:before="240"/>
      </w:pPr>
      <w:r>
        <w:rPr>
          <w:rFonts w:ascii="Arial" w:cs="Arial" w:eastAsia="Arial" w:hAnsi="Arial"/>
          <w:b/>
          <w:bCs/>
          <w:i w:val="false"/>
          <w:iCs w:val="false"/>
          <w:color w:val="2C5F8A"/>
          <w:sz w:val="24"/>
          <w:szCs w:val="24"/>
        </w:rPr>
        <w:t xml:space="preserve">Limited human data</w:t>
      </w:r>
    </w:p>
    <w:p>
      <w:pPr>
        <w:spacing w:after="80" w:before="80"/>
        <w:jc w:val="left"/>
      </w:pPr>
      <w:r>
        <w:rPr>
          <w:rFonts w:ascii="Arial" w:cs="Arial" w:eastAsia="Arial" w:hAnsi="Arial"/>
          <w:b w:val="false"/>
          <w:bCs w:val="false"/>
          <w:i w:val="false"/>
          <w:iCs w:val="false"/>
          <w:color w:val="111111"/>
          <w:sz w:val="22"/>
          <w:szCs w:val="22"/>
        </w:rPr>
        <w:t xml:space="preserve">The majority of peptide research that supports the claimed mechanisms is animal data. Some compounds have more promising human studies; many rely primarily on animal models and anecdotal reports. Using peptides for appearance and performance reasons means accepting that the risk profile is not well-characterized for long-term human use. This is an honest self-experiment, not an established protocol.</w:t>
      </w:r>
    </w:p>
    <w:p>
      <w:pPr>
        <w:spacing w:after="80" w:before="240"/>
      </w:pPr>
      <w:r>
        <w:rPr>
          <w:rFonts w:ascii="Arial" w:cs="Arial" w:eastAsia="Arial" w:hAnsi="Arial"/>
          <w:b/>
          <w:bCs/>
          <w:i w:val="false"/>
          <w:iCs w:val="false"/>
          <w:color w:val="2C5F8A"/>
          <w:sz w:val="24"/>
          <w:szCs w:val="24"/>
        </w:rPr>
        <w:t xml:space="preserve">Injection barrier and protocol complexity</w:t>
      </w:r>
    </w:p>
    <w:p>
      <w:pPr>
        <w:spacing w:after="80" w:before="80"/>
        <w:jc w:val="left"/>
      </w:pPr>
      <w:r>
        <w:rPr>
          <w:rFonts w:ascii="Arial" w:cs="Arial" w:eastAsia="Arial" w:hAnsi="Arial"/>
          <w:b w:val="false"/>
          <w:bCs w:val="false"/>
          <w:i w:val="false"/>
          <w:iCs w:val="false"/>
          <w:color w:val="111111"/>
          <w:sz w:val="22"/>
          <w:szCs w:val="22"/>
        </w:rPr>
        <w:t xml:space="preserve">Most peptides require subcutaneous injections, often multiple times per day. A full stack can involve four to six injections daily, each timed to specific contexts — fasted state, post-training, before bed. The monthly cost for a complete protocol including multiple compounds adds up significantly. This is a high-maintenance system, not a simple addition to a routine. The complexity itself is part of why the behavioral risk below matters so much.</w:t>
      </w:r>
    </w:p>
    <w:p>
      <w:pPr>
        <w:pBdr>
          <w:bottom w:val="single" w:color="AABDD1" w:sz="4" w:space="4"/>
        </w:pBdr>
        <w:spacing w:after="120" w:before="360"/>
      </w:pPr>
      <w:r>
        <w:rPr>
          <w:rFonts w:ascii="Arial" w:cs="Arial" w:eastAsia="Arial" w:hAnsi="Arial"/>
          <w:b/>
          <w:bCs/>
          <w:i w:val="false"/>
          <w:iCs w:val="false"/>
          <w:color w:val="1A3C5E"/>
          <w:sz w:val="28"/>
          <w:szCs w:val="28"/>
        </w:rPr>
        <w:t xml:space="preserve">The Behavioral Risk — The Most Underrated Problem</w:t>
      </w:r>
    </w:p>
    <w:p>
      <w:pPr>
        <w:spacing w:after="80" w:before="80"/>
        <w:jc w:val="left"/>
      </w:pPr>
      <w:r>
        <w:rPr>
          <w:rFonts w:ascii="Arial" w:cs="Arial" w:eastAsia="Arial" w:hAnsi="Arial"/>
          <w:b w:val="false"/>
          <w:bCs w:val="false"/>
          <w:i w:val="false"/>
          <w:iCs w:val="false"/>
          <w:color w:val="111111"/>
          <w:sz w:val="22"/>
          <w:szCs w:val="22"/>
        </w:rPr>
        <w:t xml:space="preserve">The biggest risk of deep engagement with peptide stacks is not physical — it is behavioral. The pattern is consistent: a person becomes focused on compound research, sourcing, and protocol optimization at the expense of the variables that actually move the needle. Chasing the next compound, refining the stack, troubleshooting peptide combinations — these activities create the feeling of productive optimization while the fundamentals remain unaddressed. Calorie tracking is tedious; reading about AOD-9604 is interesting. Training consistently is hard; designing an injection protocol feels like progress. The result is complexity instead of results.</w:t>
      </w:r>
    </w:p>
    <w:p>
      <w:pPr>
        <w:pBdr>
          <w:left w:val="single" w:color="BBBBBB" w:sz="8" w:space="10"/>
        </w:pBdr>
        <w:spacing w:after="100" w:before="100"/>
        <w:ind w:left="720"/>
      </w:pPr>
      <w:r>
        <w:rPr>
          <w:rFonts w:ascii="Arial" w:cs="Arial" w:eastAsia="Arial" w:hAnsi="Arial"/>
          <w:b w:val="false"/>
          <w:bCs w:val="false"/>
          <w:i/>
          <w:iCs/>
          <w:color w:val="444444"/>
          <w:sz w:val="22"/>
          <w:szCs w:val="22"/>
        </w:rPr>
        <w:t xml:space="preserve">Peptides do not replace discipline — they amplify whatever system you already have. A good system gets a small boost. A weak system gets no meaningful change.</w:t>
      </w:r>
    </w:p>
    <w:p>
      <w:pPr>
        <w:pBdr>
          <w:bottom w:val="single" w:color="AABDD1" w:sz="4" w:space="4"/>
        </w:pBdr>
        <w:spacing w:after="120" w:before="360"/>
      </w:pPr>
      <w:r>
        <w:rPr>
          <w:rFonts w:ascii="Arial" w:cs="Arial" w:eastAsia="Arial" w:hAnsi="Arial"/>
          <w:b/>
          <w:bCs/>
          <w:i w:val="false"/>
          <w:iCs w:val="false"/>
          <w:color w:val="1A3C5E"/>
          <w:sz w:val="28"/>
          <w:szCs w:val="28"/>
        </w:rPr>
        <w:t xml:space="preserve">Who Might Actually Benefit</w:t>
      </w:r>
    </w:p>
    <w:p>
      <w:pPr>
        <w:spacing w:after="80" w:before="80"/>
        <w:jc w:val="left"/>
      </w:pPr>
      <w:r>
        <w:rPr>
          <w:rFonts w:ascii="Arial" w:cs="Arial" w:eastAsia="Arial" w:hAnsi="Arial"/>
          <w:b w:val="false"/>
          <w:bCs w:val="false"/>
          <w:i w:val="false"/>
          <w:iCs w:val="false"/>
          <w:color w:val="111111"/>
          <w:sz w:val="22"/>
          <w:szCs w:val="22"/>
        </w:rPr>
        <w:t xml:space="preserve">The narrow legitimate use case is someone who is already lean, training consistently with a dialed-in program, eating controlled calories, sleeping well, and looking for a marginal additional edge in a specific area — typically injury recovery, where BPC-157 has the strongest practical case, or subtle body composition optimization as a complement to an already-strong fat loss protocol.</w:t>
      </w:r>
    </w:p>
    <w:p>
      <w:pPr>
        <w:pBdr>
          <w:bottom w:val="single" w:color="AABDD1" w:sz="4" w:space="4"/>
        </w:pBdr>
        <w:spacing w:after="120" w:before="360"/>
      </w:pPr>
      <w:r>
        <w:rPr>
          <w:rFonts w:ascii="Arial" w:cs="Arial" w:eastAsia="Arial" w:hAnsi="Arial"/>
          <w:b/>
          <w:bCs/>
          <w:i w:val="false"/>
          <w:iCs w:val="false"/>
          <w:color w:val="1A3C5E"/>
          <w:sz w:val="28"/>
          <w:szCs w:val="28"/>
        </w:rPr>
        <w:t xml:space="preserve">Who Should Not Touch Them</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Anyone new to structured training and nutrition — fix the foundation first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Anyone still carrying significant body fat — diet and training will outperform any peptide stack</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Anyone whose sleep, skin, or grooming is not already dialed in — address those first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Anyone who is not comfortable with self-injection and research chemical sourcing</w:t>
      </w:r>
    </w:p>
    <w:p>
      <w:pPr>
        <w:spacing w:after="80" w:before="80"/>
        <w:jc w:val="left"/>
      </w:pPr>
      <w:r>
        <w:rPr>
          <w:rFonts w:ascii="Arial" w:cs="Arial" w:eastAsia="Arial" w:hAnsi="Arial"/>
          <w:b w:val="false"/>
          <w:bCs w:val="false"/>
          <w:i w:val="false"/>
          <w:iCs w:val="false"/>
          <w:color w:val="111111"/>
          <w:sz w:val="22"/>
          <w:szCs w:val="22"/>
        </w:rPr>
        <w:t xml:space="preserve">That is most people asking about peptides.</w:t>
      </w:r>
    </w:p>
    <w:p>
      <w:pPr>
        <w:pBdr>
          <w:bottom w:val="single" w:color="AABDD1" w:sz="4" w:space="4"/>
        </w:pBdr>
        <w:spacing w:after="120" w:before="360"/>
      </w:pPr>
      <w:r>
        <w:rPr>
          <w:rFonts w:ascii="Arial" w:cs="Arial" w:eastAsia="Arial" w:hAnsi="Arial"/>
          <w:b/>
          <w:bCs/>
          <w:i w:val="false"/>
          <w:iCs w:val="false"/>
          <w:color w:val="1A3C5E"/>
          <w:sz w:val="28"/>
          <w:szCs w:val="28"/>
        </w:rPr>
        <w:t xml:space="preserve">Tier Placement</w:t>
      </w:r>
    </w:p>
    <w:p>
      <w:pPr>
        <w:pBdr>
          <w:left w:val="thick" w:color="1A3C5E" w:sz="16" w:space="10"/>
        </w:pBdr>
        <w:spacing w:after="180" w:before="180"/>
        <w:ind w:left="720"/>
      </w:pPr>
      <w:r>
        <w:rPr>
          <w:rFonts w:ascii="Arial" w:cs="Arial" w:eastAsia="Arial" w:hAnsi="Arial"/>
          <w:b/>
          <w:bCs/>
          <w:i w:val="false"/>
          <w:iCs w:val="false"/>
          <w:color w:val="1A3C5E"/>
          <w:sz w:val="22"/>
          <w:szCs w:val="22"/>
        </w:rPr>
        <w:t xml:space="preserve">Peptides are not a looksmax cheat code. They are a niche tool with limited upside and real uncertainty. GLP-1s are the only peptide-adjacent compounds with genuinely strong evidence for dramatic results — and they are prescription medications, not research chemicals. Everything else in this category is marginal optimization on top of a strong foundation, or a distraction from building one. Most people asking about peptides would get ten times better results from getting lean, fixing their hair, improving skin, and dressing better.</w:t>
      </w:r>
    </w:p>
    <w:sectPr>
      <w:headerReference w:type="default" r:id="rId7"/>
      <w:footerReference w:type="default" r:id="rId8"/>
      <w:headerReference w:type="first" r:id="rId10"/>
      <w:headerReference w:type="even" r:id="rId11"/>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right"/>
    </w:pPr>
    <w:r>
      <w:rPr>
        <w:rFonts w:ascii="Arial" w:cs="Arial" w:eastAsia="Arial" w:hAnsi="Arial"/>
        <w:b w:val="false"/>
        <w:bCs w:val="false"/>
        <w:i w:val="false"/>
        <w:iCs w:val="false"/>
        <w:color w:val="AAAAAA"/>
        <w:sz w:val="18"/>
        <w:szCs w:val="18"/>
      </w:rPr>
      <w:t xml:space="preserve">Peptides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pPr>
    <w:r>
      <w:rPr>
        <w:rFonts w:ascii="Arial" w:cs="Arial" w:eastAsia="Arial" w:hAnsi="Arial"/>
        <w:b w:val="false"/>
        <w:bCs w:val="false"/>
        <w:i w:val="false"/>
        <w:iCs w:val="false"/>
        <w:color w:val="AAAAAA"/>
        <w:sz w:val="18"/>
        <w:szCs w:val="18"/>
      </w:rPr>
      <w:t>Cleanmaxxing  |  POV Series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2026-04-07T15:49:02.504Z</dcterms:created>
  <dcterms:modified xsi:type="dcterms:W3CDTF">2026-04-07T15:49:02.504Z</dcterms:modified>
</cp:coreProperties>
</file>

<file path=docProps/custom.xml><?xml version="1.0" encoding="utf-8"?>
<Properties xmlns="http://schemas.openxmlformats.org/officeDocument/2006/custom-properties" xmlns:vt="http://schemas.openxmlformats.org/officeDocument/2006/docPropsVTypes"/>
</file>