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Cleanmaxxing With Medical Conditions</w:t>
      </w:r>
    </w:p>
    <w:p>
      <w:pPr>
        <w:spacing w:after="320" w:before="100"/>
        <w:jc w:val="left"/>
      </w:pPr>
      <w:r>
        <w:rPr>
          <w:rFonts w:ascii="Arial" w:cs="Arial" w:eastAsia="Arial" w:hAnsi="Arial"/>
          <w:b w:val="false"/>
          <w:bCs w:val="false"/>
          <w:i/>
          <w:iCs/>
          <w:color w:val="666666"/>
          <w:sz w:val="22"/>
          <w:szCs w:val="22"/>
        </w:rPr>
        <w:t xml:space="preserve">Modifier overlays for diabetes, joint issues, skin conditions, thyroid dysfunction, and ADHD</w:t>
      </w:r>
    </w:p>
    <w:p>
      <w:pPr>
        <w:pBdr>
          <w:bottom w:val="single" w:color="AABDD1" w:sz="4" w:space="4"/>
        </w:pBdr>
        <w:spacing w:after="120" w:before="360"/>
      </w:pPr>
      <w:r>
        <w:rPr>
          <w:rFonts w:ascii="Arial" w:cs="Arial" w:eastAsia="Arial" w:hAnsi="Arial"/>
          <w:b/>
          <w:bCs/>
          <w:i w:val="false"/>
          <w:iCs w:val="false"/>
          <w:color w:val="1A3C5E"/>
          <w:sz w:val="28"/>
          <w:szCs w:val="28"/>
        </w:rPr>
        <w:t xml:space="preserve">How to Use This Document</w:t>
      </w:r>
    </w:p>
    <w:p>
      <w:pPr>
        <w:spacing w:after="80" w:before="80"/>
        <w:jc w:val="left"/>
      </w:pPr>
      <w:r>
        <w:rPr>
          <w:rFonts w:ascii="Arial" w:cs="Arial" w:eastAsia="Arial" w:hAnsi="Arial"/>
          <w:b w:val="false"/>
          <w:bCs w:val="false"/>
          <w:i w:val="false"/>
          <w:iCs w:val="false"/>
          <w:color w:val="111111"/>
          <w:sz w:val="22"/>
          <w:szCs w:val="22"/>
        </w:rPr>
        <w:t xml:space="preserve">This document does not replace medical guidance for any condition. What it does is address how specific medical conditions change the cleanmaxxing priority stack, which existing POV docs need to be read differently, and where physician involvement is required before acting on general system advice. The goal is to be a navigation resource for people with conditions — not a condition management resource.</w:t>
      </w:r>
    </w:p>
    <w:p>
      <w:pPr>
        <w:spacing w:after="80" w:before="80"/>
        <w:jc w:val="left"/>
      </w:pPr>
      <w:r>
        <w:rPr>
          <w:rFonts w:ascii="Arial" w:cs="Arial" w:eastAsia="Arial" w:hAnsi="Arial"/>
          <w:b w:val="false"/>
          <w:bCs w:val="false"/>
          <w:i w:val="false"/>
          <w:iCs w:val="false"/>
          <w:color w:val="111111"/>
          <w:sz w:val="22"/>
          <w:szCs w:val="22"/>
        </w:rPr>
        <w:t xml:space="preserve">Each section follows the same structure: what the condition changes about the system, what stays the same, and what requires medical oversight before proceeding. These are modifier overlays on the existing 40-document system, not standalone guides.</w:t>
      </w:r>
    </w:p>
    <w:p>
      <w:pPr>
        <w:pBdr>
          <w:bottom w:val="single" w:color="AABDD1" w:sz="4" w:space="4"/>
        </w:pBdr>
        <w:spacing w:after="120" w:before="360"/>
      </w:pPr>
      <w:r>
        <w:rPr>
          <w:rFonts w:ascii="Arial" w:cs="Arial" w:eastAsia="Arial" w:hAnsi="Arial"/>
          <w:b/>
          <w:bCs/>
          <w:i w:val="false"/>
          <w:iCs w:val="false"/>
          <w:color w:val="1A3C5E"/>
          <w:sz w:val="28"/>
          <w:szCs w:val="28"/>
        </w:rPr>
        <w:t xml:space="preserve">Type 2 Diabetes and Insulin Resistance</w:t>
      </w:r>
    </w:p>
    <w:p>
      <w:pPr>
        <w:spacing w:after="80" w:before="240"/>
      </w:pPr>
      <w:r>
        <w:rPr>
          <w:rFonts w:ascii="Arial" w:cs="Arial" w:eastAsia="Arial" w:hAnsi="Arial"/>
          <w:b/>
          <w:bCs/>
          <w:i w:val="false"/>
          <w:iCs w:val="false"/>
          <w:color w:val="2C5F8A"/>
          <w:sz w:val="24"/>
          <w:szCs w:val="24"/>
        </w:rPr>
        <w:t xml:space="preserve">What changes</w:t>
      </w:r>
    </w:p>
    <w:p>
      <w:pPr>
        <w:spacing w:after="80" w:before="80"/>
        <w:jc w:val="left"/>
      </w:pPr>
      <w:r>
        <w:rPr>
          <w:rFonts w:ascii="Arial" w:cs="Arial" w:eastAsia="Arial" w:hAnsi="Arial"/>
          <w:b w:val="false"/>
          <w:bCs w:val="false"/>
          <w:i w:val="false"/>
          <w:iCs w:val="false"/>
          <w:color w:val="111111"/>
          <w:sz w:val="22"/>
          <w:szCs w:val="22"/>
        </w:rPr>
        <w:t xml:space="preserve">Body composition is simultaneously more important and more complex. Getting lean is the highest-leverage intervention for insulin resistance — fat loss, particularly visceral fat reduction, directly improves insulin sensitivity in a way that compounds with every other variable in the system. The priority stack does not fundamentally change; it becomes more urgent. Body fat reduction is not just aesthetically valuable here — it is functionally therapeutic.</w:t>
      </w:r>
    </w:p>
    <w:p>
      <w:pPr>
        <w:spacing w:after="80" w:before="80"/>
        <w:jc w:val="left"/>
      </w:pPr>
      <w:r>
        <w:rPr>
          <w:rFonts w:ascii="Arial" w:cs="Arial" w:eastAsia="Arial" w:hAnsi="Arial"/>
          <w:b w:val="false"/>
          <w:bCs w:val="false"/>
          <w:i w:val="false"/>
          <w:iCs w:val="false"/>
          <w:color w:val="111111"/>
          <w:sz w:val="22"/>
          <w:szCs w:val="22"/>
        </w:rPr>
        <w:t xml:space="preserve">Diet strategy requires more precision. The macro flexibility principle in Doc 20 (35-40% protein, remainder flexible) still holds, but carbohydrate quality and timing matter more for someone with insulin resistance than for a metabolically healthy person. Refined carbohydrates and high-glycemic foods produce more pronounced blood sugar swings. The age-adjusted lower-carb approach in Doc 22 — protein-anchored meals, pasta and bread in moderation, carbohydrates from vegetables and sauces — is particularly well-suited to this population. Berberine (Doc 05) has a meaningful evidence base for blood sugar management in this context and is worth considering.</w:t>
      </w:r>
    </w:p>
    <w:p>
      <w:pPr>
        <w:spacing w:after="80" w:before="80"/>
        <w:jc w:val="left"/>
      </w:pPr>
      <w:r>
        <w:rPr>
          <w:rFonts w:ascii="Arial" w:cs="Arial" w:eastAsia="Arial" w:hAnsi="Arial"/>
          <w:b w:val="false"/>
          <w:bCs w:val="false"/>
          <w:i w:val="false"/>
          <w:iCs w:val="false"/>
          <w:color w:val="111111"/>
          <w:sz w:val="22"/>
          <w:szCs w:val="22"/>
        </w:rPr>
        <w:t xml:space="preserve">GLP-1 medications (Doc 02) move from Conditional Tier 1 to essentially first-line consideration for overweight individuals with Type 2 diabetes or significant insulin resistance. Semaglutide and tirzepatide are FDA-approved for Type 2 diabetes management and have the strongest evidence base in exactly this population. The conversation with a physician is not optional here — it is the right first step.</w:t>
      </w:r>
    </w:p>
    <w:p>
      <w:pPr>
        <w:spacing w:after="80" w:before="80"/>
        <w:jc w:val="left"/>
      </w:pPr>
      <w:r>
        <w:rPr>
          <w:rFonts w:ascii="Arial" w:cs="Arial" w:eastAsia="Arial" w:hAnsi="Arial"/>
          <w:b w:val="false"/>
          <w:bCs w:val="false"/>
          <w:i w:val="false"/>
          <w:iCs w:val="false"/>
          <w:color w:val="111111"/>
          <w:sz w:val="22"/>
          <w:szCs w:val="22"/>
        </w:rPr>
        <w:t xml:space="preserve">Retatrutide (Doc 02) is particularly relevant pipeline information for this population given the Phase 3 data in a diabetes cohort. Not available outside clinical trials, but worth being aware of.</w:t>
      </w:r>
    </w:p>
    <w:p>
      <w:pPr>
        <w:spacing w:after="80" w:before="80"/>
        <w:jc w:val="left"/>
      </w:pPr>
      <w:r>
        <w:rPr>
          <w:rFonts w:ascii="Arial" w:cs="Arial" w:eastAsia="Arial" w:hAnsi="Arial"/>
          <w:b w:val="false"/>
          <w:bCs w:val="false"/>
          <w:i w:val="false"/>
          <w:iCs w:val="false"/>
          <w:color w:val="111111"/>
          <w:sz w:val="22"/>
          <w:szCs w:val="22"/>
        </w:rPr>
        <w:t xml:space="preserve">Supplements requiring caution: creatine is generally safe but blood glucose monitoring is advisable when starting. Stimulant-based products including high caffeine intake can affect insulin sensitivity and blood pressure. Fat burners (Doc 36) are particularly inadvisable given cardiovascular risk overlap.</w:t>
      </w:r>
    </w:p>
    <w:p>
      <w:pPr>
        <w:spacing w:after="80" w:before="240"/>
      </w:pPr>
      <w:r>
        <w:rPr>
          <w:rFonts w:ascii="Arial" w:cs="Arial" w:eastAsia="Arial" w:hAnsi="Arial"/>
          <w:b/>
          <w:bCs/>
          <w:i w:val="false"/>
          <w:iCs w:val="false"/>
          <w:color w:val="2C5F8A"/>
          <w:sz w:val="24"/>
          <w:szCs w:val="24"/>
        </w:rPr>
        <w:t xml:space="preserve">What stays the same</w:t>
      </w:r>
    </w:p>
    <w:p>
      <w:pPr>
        <w:spacing w:after="80" w:before="80"/>
        <w:jc w:val="left"/>
      </w:pPr>
      <w:r>
        <w:rPr>
          <w:rFonts w:ascii="Arial" w:cs="Arial" w:eastAsia="Arial" w:hAnsi="Arial"/>
          <w:b w:val="false"/>
          <w:bCs w:val="false"/>
          <w:i w:val="false"/>
          <w:iCs w:val="false"/>
          <w:color w:val="111111"/>
          <w:sz w:val="22"/>
          <w:szCs w:val="22"/>
        </w:rPr>
        <w:t xml:space="preserve">Resistance training remains S-tier — muscle mass improves insulin sensitivity independently of fat loss, and the training principles in Doc 19 apply fully. Sleep is non-negotiable and its hormonal effects are even more consequential in this population. Skin quality, grooming, and the behavioral layer are entirely unaffected by diabetes status.</w:t>
      </w:r>
    </w:p>
    <w:p>
      <w:pPr>
        <w:spacing w:after="80" w:before="240"/>
      </w:pPr>
      <w:r>
        <w:rPr>
          <w:rFonts w:ascii="Arial" w:cs="Arial" w:eastAsia="Arial" w:hAnsi="Arial"/>
          <w:b/>
          <w:bCs/>
          <w:i w:val="false"/>
          <w:iCs w:val="false"/>
          <w:color w:val="2C5F8A"/>
          <w:sz w:val="24"/>
          <w:szCs w:val="24"/>
        </w:rPr>
        <w:t xml:space="preserve">Physician involvement required before</w:t>
      </w:r>
    </w:p>
    <w:p>
      <w:pPr>
        <w:spacing w:after="80" w:before="80"/>
        <w:jc w:val="left"/>
      </w:pPr>
      <w:r>
        <w:rPr>
          <w:rFonts w:ascii="Arial" w:cs="Arial" w:eastAsia="Arial" w:hAnsi="Arial"/>
          <w:b w:val="false"/>
          <w:bCs w:val="false"/>
          <w:i w:val="false"/>
          <w:iCs w:val="false"/>
          <w:color w:val="111111"/>
          <w:sz w:val="22"/>
          <w:szCs w:val="22"/>
        </w:rPr>
        <w:t xml:space="preserve">Starting GLP-1 medications or any appetite-modifying pharmaceutical. Aggressive calorie restriction (more than 750-1000 calories below maintenance) — hypoglycemia risk is real, particularly for anyone on insulin or sulfonylureas. Starting creatine if on metformin or other glucose-modifying medications. Any significant shift in carbohydrate intake if on insulin.</w:t>
      </w:r>
    </w:p>
    <w:p>
      <w:pPr>
        <w:pBdr>
          <w:bottom w:val="single" w:color="AABDD1" w:sz="4" w:space="4"/>
        </w:pBdr>
        <w:spacing w:after="120" w:before="360"/>
      </w:pPr>
      <w:r>
        <w:rPr>
          <w:rFonts w:ascii="Arial" w:cs="Arial" w:eastAsia="Arial" w:hAnsi="Arial"/>
          <w:b/>
          <w:bCs/>
          <w:i w:val="false"/>
          <w:iCs w:val="false"/>
          <w:color w:val="1A3C5E"/>
          <w:sz w:val="28"/>
          <w:szCs w:val="28"/>
        </w:rPr>
        <w:t xml:space="preserve">Chronic Joint Issues and Previous Injuries</w:t>
      </w:r>
    </w:p>
    <w:p>
      <w:pPr>
        <w:spacing w:after="80" w:before="240"/>
      </w:pPr>
      <w:r>
        <w:rPr>
          <w:rFonts w:ascii="Arial" w:cs="Arial" w:eastAsia="Arial" w:hAnsi="Arial"/>
          <w:b/>
          <w:bCs/>
          <w:i w:val="false"/>
          <w:iCs w:val="false"/>
          <w:color w:val="2C5F8A"/>
          <w:sz w:val="24"/>
          <w:szCs w:val="24"/>
        </w:rPr>
        <w:t xml:space="preserve">What changes</w:t>
      </w:r>
    </w:p>
    <w:p>
      <w:pPr>
        <w:spacing w:after="80" w:before="80"/>
        <w:jc w:val="left"/>
      </w:pPr>
      <w:r>
        <w:rPr>
          <w:rFonts w:ascii="Arial" w:cs="Arial" w:eastAsia="Arial" w:hAnsi="Arial"/>
          <w:b w:val="false"/>
          <w:bCs w:val="false"/>
          <w:i w:val="false"/>
          <w:iCs w:val="false"/>
          <w:color w:val="111111"/>
          <w:sz w:val="22"/>
          <w:szCs w:val="22"/>
        </w:rPr>
        <w:t xml:space="preserve">Exercise selection becomes the primary variable in training rather than a secondary consideration. The age-tiered training framework in Doc 19 applies, but the 40+ modifications become mandatory rather than advisory regardless of actual age. Ego lifting is not just suboptimal — it is actively contraindicated. The governing principle shifts from stimulus-to-fatigue ratio to stimulus-to-injury-risk ratio.</w:t>
      </w:r>
    </w:p>
    <w:p>
      <w:pPr>
        <w:spacing w:after="80" w:before="80"/>
        <w:jc w:val="left"/>
      </w:pPr>
      <w:r>
        <w:rPr>
          <w:rFonts w:ascii="Arial" w:cs="Arial" w:eastAsia="Arial" w:hAnsi="Arial"/>
          <w:b w:val="false"/>
          <w:bCs w:val="false"/>
          <w:i w:val="false"/>
          <w:iCs w:val="false"/>
          <w:color w:val="111111"/>
          <w:sz w:val="22"/>
          <w:szCs w:val="22"/>
        </w:rPr>
        <w:t xml:space="preserve">The exercise swap hierarchy from Doc 19 becomes a hard framework rather than a suggestion: trap bar over straight bar deadlift, machine and cable pressing over barbell bench, hack squat or leg press over back squat, cable rows over heavy bent-over rows. Any movement that produces joint pain — not muscle fatigue, but joint pain — is removed from the program without negotiation. The principle stated in the strength training doc applies here with particular force: if an exercise hurts joints, it is gone. Not modified. Replaced.</w:t>
      </w:r>
    </w:p>
    <w:p>
      <w:pPr>
        <w:spacing w:after="80" w:before="80"/>
        <w:jc w:val="left"/>
      </w:pPr>
      <w:r>
        <w:rPr>
          <w:rFonts w:ascii="Arial" w:cs="Arial" w:eastAsia="Arial" w:hAnsi="Arial"/>
          <w:b w:val="false"/>
          <w:bCs w:val="false"/>
          <w:i w:val="false"/>
          <w:iCs w:val="false"/>
          <w:color w:val="111111"/>
          <w:sz w:val="22"/>
          <w:szCs w:val="22"/>
        </w:rPr>
        <w:t xml:space="preserve">Recovery tools (Doc 34) move from optional to standard. Sauna for circulation and recovery, cold exposure for acute inflammation management, and mobility work for joint health are not polish here — they are maintenance infrastructure. Peptides BPC-157 and TB-500 (Doc 04, Doc 40) have the most consistent community evidence for injury-specific applications in this system and are worth understanding if injury recovery is ongoing.</w:t>
      </w:r>
    </w:p>
    <w:p>
      <w:pPr>
        <w:spacing w:after="80" w:before="80"/>
        <w:jc w:val="left"/>
      </w:pPr>
      <w:r>
        <w:rPr>
          <w:rFonts w:ascii="Arial" w:cs="Arial" w:eastAsia="Arial" w:hAnsi="Arial"/>
          <w:b w:val="false"/>
          <w:bCs w:val="false"/>
          <w:i w:val="false"/>
          <w:iCs w:val="false"/>
          <w:color w:val="111111"/>
          <w:sz w:val="22"/>
          <w:szCs w:val="22"/>
        </w:rPr>
        <w:t xml:space="preserve">Body composition management changes in emphasis: getting lean is even more important for joint health than it is for aesthetics, because excess body weight directly increases mechanical load on joints. The looksmaxxing and joint health goals align perfectly here — lean is better for both.</w:t>
      </w:r>
    </w:p>
    <w:p>
      <w:pPr>
        <w:spacing w:after="80" w:before="240"/>
      </w:pPr>
      <w:r>
        <w:rPr>
          <w:rFonts w:ascii="Arial" w:cs="Arial" w:eastAsia="Arial" w:hAnsi="Arial"/>
          <w:b/>
          <w:bCs/>
          <w:i w:val="false"/>
          <w:iCs w:val="false"/>
          <w:color w:val="2C5F8A"/>
          <w:sz w:val="24"/>
          <w:szCs w:val="24"/>
        </w:rPr>
        <w:t xml:space="preserve">What stays the same</w:t>
      </w:r>
    </w:p>
    <w:p>
      <w:pPr>
        <w:spacing w:after="80" w:before="80"/>
        <w:jc w:val="left"/>
      </w:pPr>
      <w:r>
        <w:rPr>
          <w:rFonts w:ascii="Arial" w:cs="Arial" w:eastAsia="Arial" w:hAnsi="Arial"/>
          <w:b w:val="false"/>
          <w:bCs w:val="false"/>
          <w:i w:val="false"/>
          <w:iCs w:val="false"/>
          <w:color w:val="111111"/>
          <w:sz w:val="22"/>
          <w:szCs w:val="22"/>
        </w:rPr>
        <w:t xml:space="preserve">Hypertrophy remains achievable — the muscle growth stimulus does not require joint-loading exercises. The full upper body and many lower body hypertrophy goals are achievable through machine, cable, and controlled dumbbell work. The aesthetic outcomes of the system are fully attainable with injury-adapted programming. Skin, grooming, style, and the behavioral layer are entirely unaffected.</w:t>
      </w:r>
    </w:p>
    <w:p>
      <w:pPr>
        <w:spacing w:after="80" w:before="240"/>
      </w:pPr>
      <w:r>
        <w:rPr>
          <w:rFonts w:ascii="Arial" w:cs="Arial" w:eastAsia="Arial" w:hAnsi="Arial"/>
          <w:b/>
          <w:bCs/>
          <w:i w:val="false"/>
          <w:iCs w:val="false"/>
          <w:color w:val="2C5F8A"/>
          <w:sz w:val="24"/>
          <w:szCs w:val="24"/>
        </w:rPr>
        <w:t xml:space="preserve">Physician involvement required before</w:t>
      </w:r>
    </w:p>
    <w:p>
      <w:pPr>
        <w:spacing w:after="80" w:before="80"/>
        <w:jc w:val="left"/>
      </w:pPr>
      <w:r>
        <w:rPr>
          <w:rFonts w:ascii="Arial" w:cs="Arial" w:eastAsia="Arial" w:hAnsi="Arial"/>
          <w:b w:val="false"/>
          <w:bCs w:val="false"/>
          <w:i w:val="false"/>
          <w:iCs w:val="false"/>
          <w:color w:val="111111"/>
          <w:sz w:val="22"/>
          <w:szCs w:val="22"/>
        </w:rPr>
        <w:t xml:space="preserve">Beginning any training program following acute injury — clearance from an orthopedist or sports medicine physician establishes what is safe. Training through any movement that produces sharp, joint-localized, or neurological pain. Using peptides for injury recovery — sourcing, dosing, and quality control require informed decision-making. Any form of corticosteroid injection management alongside a training program.</w:t>
      </w:r>
    </w:p>
    <w:p>
      <w:pPr>
        <w:pBdr>
          <w:bottom w:val="single" w:color="AABDD1" w:sz="4" w:space="4"/>
        </w:pBdr>
        <w:spacing w:after="120" w:before="360"/>
      </w:pPr>
      <w:r>
        <w:rPr>
          <w:rFonts w:ascii="Arial" w:cs="Arial" w:eastAsia="Arial" w:hAnsi="Arial"/>
          <w:b/>
          <w:bCs/>
          <w:i w:val="false"/>
          <w:iCs w:val="false"/>
          <w:color w:val="1A3C5E"/>
          <w:sz w:val="28"/>
          <w:szCs w:val="28"/>
        </w:rPr>
        <w:t xml:space="preserve">Common Skin Conditions — Eczema, Psoriasis, Rosacea, Seborrheic Dermatitis</w:t>
      </w:r>
    </w:p>
    <w:p>
      <w:pPr>
        <w:spacing w:after="80" w:before="240"/>
      </w:pPr>
      <w:r>
        <w:rPr>
          <w:rFonts w:ascii="Arial" w:cs="Arial" w:eastAsia="Arial" w:hAnsi="Arial"/>
          <w:b/>
          <w:bCs/>
          <w:i w:val="false"/>
          <w:iCs w:val="false"/>
          <w:color w:val="2C5F8A"/>
          <w:sz w:val="24"/>
          <w:szCs w:val="24"/>
        </w:rPr>
        <w:t xml:space="preserve">What changes</w:t>
      </w:r>
    </w:p>
    <w:p>
      <w:pPr>
        <w:spacing w:after="80" w:before="80"/>
        <w:jc w:val="left"/>
      </w:pPr>
      <w:r>
        <w:rPr>
          <w:rFonts w:ascii="Arial" w:cs="Arial" w:eastAsia="Arial" w:hAnsi="Arial"/>
          <w:b w:val="false"/>
          <w:bCs w:val="false"/>
          <w:i w:val="false"/>
          <w:iCs w:val="false"/>
          <w:color w:val="111111"/>
          <w:sz w:val="22"/>
          <w:szCs w:val="22"/>
        </w:rPr>
        <w:t xml:space="preserve">The skincare framework in Doc 07 applies, but product selection and ingredient tolerance change significantly. The "keep it simple" default becomes even more important — fragrance-free, minimal-ingredient products reduce irritation risk. Patch testing before introducing any new active is mandatory rather than advisable.</w:t>
      </w:r>
    </w:p>
    <w:p>
      <w:pPr>
        <w:spacing w:after="80" w:before="80"/>
        <w:jc w:val="left"/>
      </w:pPr>
      <w:r>
        <w:rPr>
          <w:rFonts w:ascii="Arial" w:cs="Arial" w:eastAsia="Arial" w:hAnsi="Arial"/>
          <w:b w:val="false"/>
          <w:bCs w:val="false"/>
          <w:i w:val="false"/>
          <w:iCs w:val="false"/>
          <w:color w:val="111111"/>
          <w:sz w:val="22"/>
          <w:szCs w:val="22"/>
        </w:rPr>
        <w:t xml:space="preserve">Eczema: the skin barrier is compromised, meaning standard actives including retinoids and vitamin C can cause significant irritation even at low concentrations. Moisturization and barrier repair take priority over active treatment. Ceramide-based moisturizers are the foundation. Retinoids, if used, require a slow introduction at lower frequencies than standard recommendations suggest. Fragrance, alcohol-based toners, and harsh cleansers are contraindicated.</w:t>
      </w:r>
    </w:p>
    <w:p>
      <w:pPr>
        <w:spacing w:after="80" w:before="80"/>
        <w:jc w:val="left"/>
      </w:pPr>
      <w:r>
        <w:rPr>
          <w:rFonts w:ascii="Arial" w:cs="Arial" w:eastAsia="Arial" w:hAnsi="Arial"/>
          <w:b w:val="false"/>
          <w:bCs w:val="false"/>
          <w:i w:val="false"/>
          <w:iCs w:val="false"/>
          <w:color w:val="111111"/>
          <w:sz w:val="22"/>
          <w:szCs w:val="22"/>
        </w:rPr>
        <w:t xml:space="preserve">Psoriasis: a systemic inflammatory condition with skin manifestations. The gut health framework in Doc 35 is particularly relevant — systemic inflammation management through diet, fiber, and elimination of gut disruptors has documented effects on psoriasis severity. Sun exposure (moderate, controlled) can improve psoriasis lesions for some people — tanning advice in Doc 18 needs to be read carefully with this condition. Stress management from Doc 17 is directly relevant because stress is a known psoriasis trigger.</w:t>
      </w:r>
    </w:p>
    <w:p>
      <w:pPr>
        <w:spacing w:after="80" w:before="80"/>
        <w:jc w:val="left"/>
      </w:pPr>
      <w:r>
        <w:rPr>
          <w:rFonts w:ascii="Arial" w:cs="Arial" w:eastAsia="Arial" w:hAnsi="Arial"/>
          <w:b w:val="false"/>
          <w:bCs w:val="false"/>
          <w:i w:val="false"/>
          <w:iCs w:val="false"/>
          <w:color w:val="111111"/>
          <w:sz w:val="22"/>
          <w:szCs w:val="22"/>
        </w:rPr>
        <w:t xml:space="preserve">Rosacea: heat, UV, spicy food, alcohol, and certain skincare actives are common triggers. The alcohol section of Doc 24 is particularly high-stakes here — alcohol triggers rosacea flares through vasodilation and inflammation. Tanning (Doc 18) requires significant caution as UV is a primary rosacea trigger. Retinoids can be used but require careful low-concentration introduction. SPF becomes even more non-negotiable than the standard recommendation.</w:t>
      </w:r>
    </w:p>
    <w:p>
      <w:pPr>
        <w:spacing w:after="80" w:before="80"/>
        <w:jc w:val="left"/>
      </w:pPr>
      <w:r>
        <w:rPr>
          <w:rFonts w:ascii="Arial" w:cs="Arial" w:eastAsia="Arial" w:hAnsi="Arial"/>
          <w:b w:val="false"/>
          <w:bCs w:val="false"/>
          <w:i w:val="false"/>
          <w:iCs w:val="false"/>
          <w:color w:val="111111"/>
          <w:sz w:val="22"/>
          <w:szCs w:val="22"/>
        </w:rPr>
        <w:t xml:space="preserve">Seborrheic dermatitis: affects the scalp and sometimes the face (eyebrows, nasolabial folds, ears). The hair washing frequency section of Doc 10 is directly relevant — more frequent washing with medicated shampoo (ketoconazole or zinc pyrithione) is appropriate during active flares. Standard cosmetic shampoos do not address the Malassezia yeast underlying the condition.</w:t>
      </w:r>
    </w:p>
    <w:p>
      <w:pPr>
        <w:spacing w:after="80" w:before="240"/>
      </w:pPr>
      <w:r>
        <w:rPr>
          <w:rFonts w:ascii="Arial" w:cs="Arial" w:eastAsia="Arial" w:hAnsi="Arial"/>
          <w:b/>
          <w:bCs/>
          <w:i w:val="false"/>
          <w:iCs w:val="false"/>
          <w:color w:val="2C5F8A"/>
          <w:sz w:val="24"/>
          <w:szCs w:val="24"/>
        </w:rPr>
        <w:t xml:space="preserve">What stays the same</w:t>
      </w:r>
    </w:p>
    <w:p>
      <w:pPr>
        <w:spacing w:after="80" w:before="80"/>
        <w:jc w:val="left"/>
      </w:pPr>
      <w:r>
        <w:rPr>
          <w:rFonts w:ascii="Arial" w:cs="Arial" w:eastAsia="Arial" w:hAnsi="Arial"/>
          <w:b w:val="false"/>
          <w:bCs w:val="false"/>
          <w:i w:val="false"/>
          <w:iCs w:val="false"/>
          <w:color w:val="111111"/>
          <w:sz w:val="22"/>
          <w:szCs w:val="22"/>
        </w:rPr>
        <w:t xml:space="preserve">Body composition, training, sleep, and the behavioral layer are unaffected by skin conditions. The priority stack from Doc 15 holds. Grooming goals remain the same — the execution adapts to the condition.</w:t>
      </w:r>
    </w:p>
    <w:p>
      <w:pPr>
        <w:spacing w:after="80" w:before="240"/>
      </w:pPr>
      <w:r>
        <w:rPr>
          <w:rFonts w:ascii="Arial" w:cs="Arial" w:eastAsia="Arial" w:hAnsi="Arial"/>
          <w:b/>
          <w:bCs/>
          <w:i w:val="false"/>
          <w:iCs w:val="false"/>
          <w:color w:val="2C5F8A"/>
          <w:sz w:val="24"/>
          <w:szCs w:val="24"/>
        </w:rPr>
        <w:t xml:space="preserve">Physician involvement required before</w:t>
      </w:r>
    </w:p>
    <w:p>
      <w:pPr>
        <w:spacing w:after="80" w:before="80"/>
        <w:jc w:val="left"/>
      </w:pPr>
      <w:r>
        <w:rPr>
          <w:rFonts w:ascii="Arial" w:cs="Arial" w:eastAsia="Arial" w:hAnsi="Arial"/>
          <w:b w:val="false"/>
          <w:bCs w:val="false"/>
          <w:i w:val="false"/>
          <w:iCs w:val="false"/>
          <w:color w:val="111111"/>
          <w:sz w:val="22"/>
          <w:szCs w:val="22"/>
        </w:rPr>
        <w:t xml:space="preserve">Starting isotretinoin (Accutane) with any of these conditions — the drying effects interact significantly. Using topical steroids or immunomodulators alongside cosmetic actives. Pursuing laser or microneedling treatments while active flares are present. Any systemic treatment for psoriasis — biologics and systemic medications require dermatologist management.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Hypothyroidism and Thyroid Dysfunction</w:t>
      </w:r>
    </w:p>
    <w:p>
      <w:pPr>
        <w:spacing w:after="80" w:before="240"/>
      </w:pPr>
      <w:r>
        <w:rPr>
          <w:rFonts w:ascii="Arial" w:cs="Arial" w:eastAsia="Arial" w:hAnsi="Arial"/>
          <w:b/>
          <w:bCs/>
          <w:i w:val="false"/>
          <w:iCs w:val="false"/>
          <w:color w:val="2C5F8A"/>
          <w:sz w:val="24"/>
          <w:szCs w:val="24"/>
        </w:rPr>
        <w:t xml:space="preserve">What changes</w:t>
      </w:r>
    </w:p>
    <w:p>
      <w:pPr>
        <w:spacing w:after="80" w:before="80"/>
        <w:jc w:val="left"/>
      </w:pPr>
      <w:r>
        <w:rPr>
          <w:rFonts w:ascii="Arial" w:cs="Arial" w:eastAsia="Arial" w:hAnsi="Arial"/>
          <w:b w:val="false"/>
          <w:bCs w:val="false"/>
          <w:i w:val="false"/>
          <w:iCs w:val="false"/>
          <w:color w:val="111111"/>
          <w:sz w:val="22"/>
          <w:szCs w:val="22"/>
        </w:rPr>
        <w:t xml:space="preserve">Body composition becomes harder to shift and the feedback from effort is less reliable. Hypothyroidism slows metabolism, reduces energy, impairs recovery, contributes to hair thinning and loss, and can cause skin dryness and puffiness — all variables that directly intersect with cleanmaxxing goals. The critical point: many of these effects are reversible with adequate thyroid hormone replacement, and an undertreated or undiagnosed thyroid condition will make the cleanmaxxing system feel like it is not working when the real bottleneck is hormonal.</w:t>
      </w:r>
    </w:p>
    <w:p>
      <w:pPr>
        <w:spacing w:after="80" w:before="80"/>
        <w:jc w:val="left"/>
      </w:pPr>
      <w:r>
        <w:rPr>
          <w:rFonts w:ascii="Arial" w:cs="Arial" w:eastAsia="Arial" w:hAnsi="Arial"/>
          <w:b w:val="false"/>
          <w:bCs w:val="false"/>
          <w:i w:val="false"/>
          <w:iCs w:val="false"/>
          <w:color w:val="111111"/>
          <w:sz w:val="22"/>
          <w:szCs w:val="22"/>
        </w:rPr>
        <w:t xml:space="preserve">Hair loss (Doc 08) takes on a different character with thyroid dysfunction. Hair thinning from hypothyroidism differs from androgenetic alopecia and requires different management — finasteride and minoxidil address DHT-driven loss; they do not address thyroid-driven diffuse thinning. Diagnosing the cause before treating is essential. Treating thyroid hormone levels is the first-line intervention for thyroid-related hair loss.</w:t>
      </w:r>
    </w:p>
    <w:p>
      <w:pPr>
        <w:spacing w:after="80" w:before="80"/>
        <w:jc w:val="left"/>
      </w:pPr>
      <w:r>
        <w:rPr>
          <w:rFonts w:ascii="Arial" w:cs="Arial" w:eastAsia="Arial" w:hAnsi="Arial"/>
          <w:b w:val="false"/>
          <w:bCs w:val="false"/>
          <w:i w:val="false"/>
          <w:iCs w:val="false"/>
          <w:color w:val="111111"/>
          <w:sz w:val="22"/>
          <w:szCs w:val="22"/>
        </w:rPr>
        <w:t xml:space="preserve">The energy and recovery variables in the training framework are more constrained. Pushing volume and intensity when thyroid function is inadequate produces more fatigue and slower recovery than the system predicts. Deload frequency may need to increase. Sleep becomes even more non-negotiable as the hormonal recovery capacity is reduced.</w:t>
      </w:r>
    </w:p>
    <w:p>
      <w:pPr>
        <w:spacing w:after="80" w:before="80"/>
        <w:jc w:val="left"/>
      </w:pPr>
      <w:r>
        <w:rPr>
          <w:rFonts w:ascii="Arial" w:cs="Arial" w:eastAsia="Arial" w:hAnsi="Arial"/>
          <w:b w:val="false"/>
          <w:bCs w:val="false"/>
          <w:i w:val="false"/>
          <w:iCs w:val="false"/>
          <w:color w:val="111111"/>
          <w:sz w:val="22"/>
          <w:szCs w:val="22"/>
        </w:rPr>
        <w:t xml:space="preserve">Testosterone optimization (Doc 03) has a relevant intersection: hypothyroidism can suppress testosterone levels as a downstream effect. Addressing thyroid function often improves testosterone without direct hormonal intervention — which is the correct sequence before pursuing TRT.</w:t>
      </w:r>
    </w:p>
    <w:p>
      <w:pPr>
        <w:spacing w:after="80" w:before="240"/>
      </w:pPr>
      <w:r>
        <w:rPr>
          <w:rFonts w:ascii="Arial" w:cs="Arial" w:eastAsia="Arial" w:hAnsi="Arial"/>
          <w:b/>
          <w:bCs/>
          <w:i w:val="false"/>
          <w:iCs w:val="false"/>
          <w:color w:val="2C5F8A"/>
          <w:sz w:val="24"/>
          <w:szCs w:val="24"/>
        </w:rPr>
        <w:t xml:space="preserve">What stays the same</w:t>
      </w:r>
    </w:p>
    <w:p>
      <w:pPr>
        <w:spacing w:after="80" w:before="80"/>
        <w:jc w:val="left"/>
      </w:pPr>
      <w:r>
        <w:rPr>
          <w:rFonts w:ascii="Arial" w:cs="Arial" w:eastAsia="Arial" w:hAnsi="Arial"/>
          <w:b w:val="false"/>
          <w:bCs w:val="false"/>
          <w:i w:val="false"/>
          <w:iCs w:val="false"/>
          <w:color w:val="111111"/>
          <w:sz w:val="22"/>
          <w:szCs w:val="22"/>
        </w:rPr>
        <w:t xml:space="preserve">Once thyroid hormone levels are adequately managed, the cleanmaxxing system applies normally. The priority stack is unchanged. Skin, grooming, style, and behavioral layer work applies in full. The system works — but the biological substrate needs to be functional first.</w:t>
      </w:r>
    </w:p>
    <w:p>
      <w:pPr>
        <w:spacing w:after="80" w:before="240"/>
      </w:pPr>
      <w:r>
        <w:rPr>
          <w:rFonts w:ascii="Arial" w:cs="Arial" w:eastAsia="Arial" w:hAnsi="Arial"/>
          <w:b/>
          <w:bCs/>
          <w:i w:val="false"/>
          <w:iCs w:val="false"/>
          <w:color w:val="2C5F8A"/>
          <w:sz w:val="24"/>
          <w:szCs w:val="24"/>
        </w:rPr>
        <w:t xml:space="preserve">Physician involvement required before</w:t>
      </w:r>
    </w:p>
    <w:p>
      <w:pPr>
        <w:spacing w:after="80" w:before="80"/>
        <w:jc w:val="left"/>
      </w:pPr>
      <w:r>
        <w:rPr>
          <w:rFonts w:ascii="Arial" w:cs="Arial" w:eastAsia="Arial" w:hAnsi="Arial"/>
          <w:b w:val="false"/>
          <w:bCs w:val="false"/>
          <w:i w:val="false"/>
          <w:iCs w:val="false"/>
          <w:color w:val="111111"/>
          <w:sz w:val="22"/>
          <w:szCs w:val="22"/>
        </w:rPr>
        <w:t xml:space="preserve">Everything thyroid-related requires physician involvement — this is not a condition to self-manage. TSH, free T4, and free T3 testing establishes baseline. Levothyroxine dosing requires medical oversight and regular monitoring. TRT should not be pursued without ruling out thyroid dysfunction as a contributing factor to low testosterone.</w:t>
      </w:r>
    </w:p>
    <w:p>
      <w:pPr>
        <w:pBdr>
          <w:bottom w:val="single" w:color="AABDD1" w:sz="4" w:space="4"/>
        </w:pBdr>
        <w:spacing w:after="120" w:before="360"/>
      </w:pPr>
      <w:r>
        <w:rPr>
          <w:rFonts w:ascii="Arial" w:cs="Arial" w:eastAsia="Arial" w:hAnsi="Arial"/>
          <w:b/>
          <w:bCs/>
          <w:i w:val="false"/>
          <w:iCs w:val="false"/>
          <w:color w:val="1A3C5E"/>
          <w:sz w:val="28"/>
          <w:szCs w:val="28"/>
        </w:rPr>
        <w:t xml:space="preserve">ADHD and Stimulant Medication</w:t>
      </w:r>
    </w:p>
    <w:p>
      <w:pPr>
        <w:spacing w:after="80" w:before="240"/>
      </w:pPr>
      <w:r>
        <w:rPr>
          <w:rFonts w:ascii="Arial" w:cs="Arial" w:eastAsia="Arial" w:hAnsi="Arial"/>
          <w:b/>
          <w:bCs/>
          <w:i w:val="false"/>
          <w:iCs w:val="false"/>
          <w:color w:val="2C5F8A"/>
          <w:sz w:val="24"/>
          <w:szCs w:val="24"/>
        </w:rPr>
        <w:t xml:space="preserve">What changes</w:t>
      </w:r>
    </w:p>
    <w:p>
      <w:pPr>
        <w:spacing w:after="80" w:before="80"/>
        <w:jc w:val="left"/>
      </w:pPr>
      <w:r>
        <w:rPr>
          <w:rFonts w:ascii="Arial" w:cs="Arial" w:eastAsia="Arial" w:hAnsi="Arial"/>
          <w:b w:val="false"/>
          <w:bCs w:val="false"/>
          <w:i w:val="false"/>
          <w:iCs w:val="false"/>
          <w:color w:val="111111"/>
          <w:sz w:val="22"/>
          <w:szCs w:val="22"/>
        </w:rPr>
        <w:t xml:space="preserve">The amphetamines document (Doc 01) covers looksmaxxing misuse of stimulants without ADHD. For men with diagnosed ADHD who are on prescribed stimulant medication, the framework is different. Prescribed Adderall or similar medications at therapeutic doses under physician supervision are not in the avoid tier — they are a legitimate medical treatment. The relevant considerations are the interaction effects with the cleanmaxxing system.</w:t>
      </w:r>
    </w:p>
    <w:p>
      <w:pPr>
        <w:spacing w:after="80" w:before="80"/>
        <w:jc w:val="left"/>
      </w:pPr>
      <w:r>
        <w:rPr>
          <w:rFonts w:ascii="Arial" w:cs="Arial" w:eastAsia="Arial" w:hAnsi="Arial"/>
          <w:b w:val="false"/>
          <w:bCs w:val="false"/>
          <w:i w:val="false"/>
          <w:iCs w:val="false"/>
          <w:color w:val="111111"/>
          <w:sz w:val="22"/>
          <w:szCs w:val="22"/>
        </w:rPr>
        <w:t xml:space="preserve">Appetite suppression from stimulants creates a real risk of inadequate caloric intake, insufficient protein, and muscle loss during fat loss phases. The protein-first principle from Doc 21 becomes more important, not less. Structured meal timing — eating at consistent times even when appetite signals are blunted — helps ensure nutritional adequacy. The 35-40% protein anchor from Doc 20 should be hit regardless of whether hunger is present.</w:t>
      </w:r>
    </w:p>
    <w:p>
      <w:pPr>
        <w:spacing w:after="80" w:before="80"/>
        <w:jc w:val="left"/>
      </w:pPr>
      <w:r>
        <w:rPr>
          <w:rFonts w:ascii="Arial" w:cs="Arial" w:eastAsia="Arial" w:hAnsi="Arial"/>
          <w:b w:val="false"/>
          <w:bCs w:val="false"/>
          <w:i w:val="false"/>
          <w:iCs w:val="false"/>
          <w:color w:val="111111"/>
          <w:sz w:val="22"/>
          <w:szCs w:val="22"/>
        </w:rPr>
        <w:t xml:space="preserve">Sleep is the most significant interaction concern. Stimulants taken too late in the day predictably impair sleep quality and duration. The sleep framework in Doc 17 requires careful timing management — earlier dosing, strict cutoff times, and compensating with the environmental sleep optimization tools in that document.</w:t>
      </w:r>
    </w:p>
    <w:p>
      <w:pPr>
        <w:spacing w:after="80" w:before="80"/>
        <w:jc w:val="left"/>
      </w:pPr>
      <w:r>
        <w:rPr>
          <w:rFonts w:ascii="Arial" w:cs="Arial" w:eastAsia="Arial" w:hAnsi="Arial"/>
          <w:b w:val="false"/>
          <w:bCs w:val="false"/>
          <w:i w:val="false"/>
          <w:iCs w:val="false"/>
          <w:color w:val="111111"/>
          <w:sz w:val="22"/>
          <w:szCs w:val="22"/>
        </w:rPr>
        <w:t xml:space="preserve">Electrolytes (Doc 05) become more important with stimulant use, which can increase fluid loss and electrolyte depletion, contributing to the flat, depleted look that the electrolytes section addresses.</w:t>
      </w:r>
    </w:p>
    <w:p>
      <w:pPr>
        <w:spacing w:after="80" w:before="240"/>
      </w:pPr>
      <w:r>
        <w:rPr>
          <w:rFonts w:ascii="Arial" w:cs="Arial" w:eastAsia="Arial" w:hAnsi="Arial"/>
          <w:b/>
          <w:bCs/>
          <w:i w:val="false"/>
          <w:iCs w:val="false"/>
          <w:color w:val="2C5F8A"/>
          <w:sz w:val="24"/>
          <w:szCs w:val="24"/>
        </w:rPr>
        <w:t xml:space="preserve">What stays the same</w:t>
      </w:r>
    </w:p>
    <w:p>
      <w:pPr>
        <w:spacing w:after="80" w:before="80"/>
        <w:jc w:val="left"/>
      </w:pPr>
      <w:r>
        <w:rPr>
          <w:rFonts w:ascii="Arial" w:cs="Arial" w:eastAsia="Arial" w:hAnsi="Arial"/>
          <w:b w:val="false"/>
          <w:bCs w:val="false"/>
          <w:i w:val="false"/>
          <w:iCs w:val="false"/>
          <w:color w:val="111111"/>
          <w:sz w:val="22"/>
          <w:szCs w:val="22"/>
        </w:rPr>
        <w:t xml:space="preserve">The full cleanmaxxing system applies. ADHD with appropriate treatment does not change the priority stack, the tier list, or any of the appearance interventions. The behavioral consistency layer in Doc 14 — which benefits from better executive function — may actually be more accessible with effective ADHD treatment than without it.</w:t>
      </w:r>
    </w:p>
    <w:p>
      <w:pPr>
        <w:spacing w:after="80" w:before="240"/>
      </w:pPr>
      <w:r>
        <w:rPr>
          <w:rFonts w:ascii="Arial" w:cs="Arial" w:eastAsia="Arial" w:hAnsi="Arial"/>
          <w:b/>
          <w:bCs/>
          <w:i w:val="false"/>
          <w:iCs w:val="false"/>
          <w:color w:val="2C5F8A"/>
          <w:sz w:val="24"/>
          <w:szCs w:val="24"/>
        </w:rPr>
        <w:t xml:space="preserve">Physician involvement required before</w:t>
      </w:r>
    </w:p>
    <w:p>
      <w:pPr>
        <w:spacing w:after="80" w:before="80"/>
        <w:jc w:val="left"/>
      </w:pPr>
      <w:r>
        <w:rPr>
          <w:rFonts w:ascii="Arial" w:cs="Arial" w:eastAsia="Arial" w:hAnsi="Arial"/>
          <w:b w:val="false"/>
          <w:bCs w:val="false"/>
          <w:i w:val="false"/>
          <w:iCs w:val="false"/>
          <w:color w:val="111111"/>
          <w:sz w:val="22"/>
          <w:szCs w:val="22"/>
        </w:rPr>
        <w:t xml:space="preserve">Any changes to stimulant dosing or timing. Combining stimulants with fat burners, pre-workouts, or other stimulant-containing supplements — the cardiovascular load compounds. Adding any weight loss medication including GLP-1s without physician awareness of stimulant medication.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This Document Does Not Cover</w:t>
      </w:r>
    </w:p>
    <w:p>
      <w:pPr>
        <w:spacing w:after="80" w:before="80"/>
        <w:jc w:val="left"/>
      </w:pPr>
      <w:r>
        <w:rPr>
          <w:rFonts w:ascii="Arial" w:cs="Arial" w:eastAsia="Arial" w:hAnsi="Arial"/>
          <w:b w:val="false"/>
          <w:bCs w:val="false"/>
          <w:i w:val="false"/>
          <w:iCs w:val="false"/>
          <w:color w:val="111111"/>
          <w:sz w:val="22"/>
          <w:szCs w:val="22"/>
        </w:rPr>
        <w:t xml:space="preserve">Conditions with high enough variance or specialist requirement that a general modifier overlay would be more misleading than helpful: limb differences and amputation (adaptive fitness requires a physiatrist or certified adaptive fitness specialist), Type 1 diabetes (insulin management complexity is beyond the scope of a looksmaxxing overlay), active cancer or post-treatment recovery, severe cardiovascular disease, and psychiatric conditions beyond ADHD. For these, the honest answer is that the cleanmaxxing system's general principles remain valid where they apply, and a specialist familiar with the condition is the right partner for the specific adaptations required.</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Medical conditions change how the cleanmaxxing system is navigated, not whether it applies. The priority stack holds across all the conditions covered here — body composition, sleep, skin, and the behavioral layer remain the core. What changes is the sequence of interventions, the physician involvement required before acting, and the tolerance for specific approaches. The system works best when the biological substrate is being managed — undertreated thyroid dysfunction, uncontrolled blood sugar, or active inflammatory flares will make any appearance system feel like it is not working. Address the medical foundation first. The cleanmaxxing system does the rest.</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Cleanmaxxing With Medical Conditions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2026-04-11T03:55:01.085Z</dcterms:created>
  <dcterms:modified xsi:type="dcterms:W3CDTF">2026-04-11T03:55:01.085Z</dcterms:modified>
</cp:coreProperties>
</file>

<file path=docProps/custom.xml><?xml version="1.0" encoding="utf-8"?>
<Properties xmlns="http://schemas.openxmlformats.org/officeDocument/2006/custom-properties" xmlns:vt="http://schemas.openxmlformats.org/officeDocument/2006/docPropsVTypes"/>
</file>