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Nicotine &amp; Vaping</w:t>
      </w:r>
    </w:p>
    <w:p>
      <w:pPr>
        <w:spacing w:after="320" w:before="100"/>
        <w:jc w:val="left"/>
      </w:pPr>
      <w:r>
        <w:rPr>
          <w:rFonts w:ascii="Arial" w:cs="Arial" w:eastAsia="Arial" w:hAnsi="Arial"/>
          <w:b w:val="false"/>
          <w:bCs w:val="false"/>
          <w:i/>
          <w:iCs/>
          <w:color w:val="666666"/>
          <w:sz w:val="22"/>
          <w:szCs w:val="22"/>
        </w:rPr>
        <w:t xml:space="preserve">Evidence by delivery method, the appearance timeline, and an operational quitting framework</w:t>
      </w:r>
    </w:p>
    <w:p>
      <w:pPr>
        <w:pBdr>
          <w:bottom w:val="single" w:color="AABDD1" w:sz="4" w:space="4"/>
        </w:pBdr>
        <w:spacing w:after="120" w:before="360"/>
      </w:pPr>
      <w:r>
        <w:rPr>
          <w:rFonts w:ascii="Arial" w:cs="Arial" w:eastAsia="Arial" w:hAnsi="Arial"/>
          <w:b/>
          <w:bCs/>
          <w:i w:val="false"/>
          <w:iCs w:val="false"/>
          <w:color w:val="1A3C5E"/>
          <w:sz w:val="28"/>
          <w:szCs w:val="28"/>
        </w:rPr>
        <w:t xml:space="preserve">One of the Most Common Silent Sabotages</w:t>
      </w:r>
    </w:p>
    <w:p>
      <w:pPr>
        <w:spacing w:after="80" w:before="80"/>
        <w:jc w:val="left"/>
      </w:pPr>
      <w:r>
        <w:rPr>
          <w:rFonts w:ascii="Arial" w:cs="Arial" w:eastAsia="Arial" w:hAnsi="Arial"/>
          <w:b w:val="false"/>
          <w:bCs w:val="false"/>
          <w:i w:val="false"/>
          <w:iCs w:val="false"/>
          <w:color w:val="111111"/>
          <w:sz w:val="22"/>
          <w:szCs w:val="22"/>
        </w:rPr>
        <w:t xml:space="preserve">Nicotine is a silent sabotage in looksmaxxing because the damage accumulates slowly enough to rationalize but broadly enough to affect face, teeth, cardiovascular capacity, recovery, and long-term skin quality. This is not a lecture about quitting. It is a precise account of what each delivery method costs in appearance and performance terms — with the evidence distinguished carefully between what is well-established and what is still emerging.</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Each Delivery Method Does — Evidence by Category</w:t>
      </w:r>
    </w:p>
    <w:p>
      <w:pPr>
        <w:spacing w:after="80" w:before="240"/>
      </w:pPr>
      <w:r>
        <w:rPr>
          <w:rFonts w:ascii="Arial" w:cs="Arial" w:eastAsia="Arial" w:hAnsi="Arial"/>
          <w:b/>
          <w:bCs/>
          <w:i w:val="false"/>
          <w:iCs w:val="false"/>
          <w:color w:val="2C5F8A"/>
          <w:sz w:val="24"/>
          <w:szCs w:val="24"/>
        </w:rPr>
        <w:t xml:space="preserve">Cigarettes — strongest and most documented evidence</w:t>
      </w:r>
    </w:p>
    <w:p>
      <w:pPr>
        <w:spacing w:after="80" w:before="80"/>
        <w:jc w:val="left"/>
      </w:pPr>
      <w:r>
        <w:rPr>
          <w:rFonts w:ascii="Arial" w:cs="Arial" w:eastAsia="Arial" w:hAnsi="Arial"/>
          <w:b w:val="false"/>
          <w:bCs w:val="false"/>
          <w:i w:val="false"/>
          <w:iCs w:val="false"/>
          <w:color w:val="111111"/>
          <w:sz w:val="22"/>
          <w:szCs w:val="22"/>
        </w:rPr>
        <w:t xml:space="preserve">Cigarettes deliver nicotine alongside thousands of combustion byproducts including carbon monoxide, tar, formaldehyde, and free radicals. The appearance consequences are among the most well-documented in dermatology and are causally established: smoker's face (premature perioral and periocular wrinkling, skin laxity, dull complexion) is a documented clinical entity, not a correlation. Mechanisms are clear — oxidative stress from free radicals destroys collagen and elastin directly, vasoconstriction from nicotine reduces blood flow and impairs skin oxygenation and cellular turnover, and carbon monoxide competes with oxygen in the blood. Periodontal disease (gum recession, bone loss, tooth loss) is causally linked to smoking in the dental literature. Cardiorespiratory impairment is well-established and dose-dependent. Wound healing impairment is established well enough that surgeons routinely require cessation before elective procedures. These are not probabilistic associations — they are understood mechanisms with strong epidemiological support.</w:t>
      </w:r>
    </w:p>
    <w:p>
      <w:pPr>
        <w:spacing w:after="80" w:before="240"/>
      </w:pPr>
      <w:r>
        <w:rPr>
          <w:rFonts w:ascii="Arial" w:cs="Arial" w:eastAsia="Arial" w:hAnsi="Arial"/>
          <w:b/>
          <w:bCs/>
          <w:i w:val="false"/>
          <w:iCs w:val="false"/>
          <w:color w:val="2C5F8A"/>
          <w:sz w:val="24"/>
          <w:szCs w:val="24"/>
        </w:rPr>
        <w:t xml:space="preserve">Vapes (e-cigarettes) — real but less documented evidence</w:t>
      </w:r>
    </w:p>
    <w:p>
      <w:pPr>
        <w:spacing w:after="80" w:before="80"/>
        <w:jc w:val="left"/>
      </w:pPr>
      <w:r>
        <w:rPr>
          <w:rFonts w:ascii="Arial" w:cs="Arial" w:eastAsia="Arial" w:hAnsi="Arial"/>
          <w:b w:val="false"/>
          <w:bCs w:val="false"/>
          <w:i w:val="false"/>
          <w:iCs w:val="false"/>
          <w:color w:val="111111"/>
          <w:sz w:val="22"/>
          <w:szCs w:val="22"/>
        </w:rPr>
        <w:t xml:space="preserve">Vapes deliver nicotine with far fewer combustion byproducts than cigarettes. The well-established effects are those attributable to nicotine itself, which apply regardless of delivery method: vasoconstriction reducing peripheral blood flow (including skin), elevated heart rate and blood pressure, impaired wound healing through vascular mechanisms, and potential for nicotine dependence with similar intensity to cigarettes depending on the product. The less-established territory: the long-term skin aging effects of vaping specifically are not yet documented with the same depth as cigarettes simply because the technology is newer and the longitudinal data does not yet exist. The aerosol from vaping introduces compounds into the lungs that are still being studied. The correct framing is that vaping almost certainly harms appearance and performance through the nicotine-mediated mechanisms, carries real vascular and pulmonary risk, and is substantially less harmful than cigarettes — not that it is safe. "Less bad" is accurate and important. "Safe" is not.</w:t>
      </w:r>
    </w:p>
    <w:p>
      <w:pPr>
        <w:spacing w:after="80" w:before="240"/>
      </w:pPr>
      <w:r>
        <w:rPr>
          <w:rFonts w:ascii="Arial" w:cs="Arial" w:eastAsia="Arial" w:hAnsi="Arial"/>
          <w:b/>
          <w:bCs/>
          <w:i w:val="false"/>
          <w:iCs w:val="false"/>
          <w:color w:val="2C5F8A"/>
          <w:sz w:val="24"/>
          <w:szCs w:val="24"/>
        </w:rPr>
        <w:t xml:space="preserve">Nicotine pouches and snus — most limited appearance data</w:t>
      </w:r>
    </w:p>
    <w:p>
      <w:pPr>
        <w:spacing w:after="80" w:before="80"/>
        <w:jc w:val="left"/>
      </w:pPr>
      <w:r>
        <w:rPr>
          <w:rFonts w:ascii="Arial" w:cs="Arial" w:eastAsia="Arial" w:hAnsi="Arial"/>
          <w:b w:val="false"/>
          <w:bCs w:val="false"/>
          <w:i w:val="false"/>
          <w:iCs w:val="false"/>
          <w:color w:val="111111"/>
          <w:sz w:val="22"/>
          <w:szCs w:val="22"/>
        </w:rPr>
        <w:t xml:space="preserve">Pouches and snus eliminate inhalation entirely, removing the pulmonary and most cardiovascular consequences of smoke and aerosol. The systemic nicotine absorption and its associated vascular effects (vasoconstriction, circulation impairment) remain to a degree depending on the product's nicotine delivery rate. The oral health concerns shift to direct tissue contact: snus is associated with localized gum recession at the placement site, gum disease, and elevated oral cancer risk in epidemiological data. Pouches have a shorter track record. For appearance purposes, pouches are probably the lowest-risk delivery method currently available. They are not consequence-free, and they maintain nicotine dependence.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Visible Consequences — What to Expect</w:t>
      </w:r>
    </w:p>
    <w:p>
      <w:pPr>
        <w:spacing w:after="80" w:before="240"/>
      </w:pPr>
      <w:r>
        <w:rPr>
          <w:rFonts w:ascii="Arial" w:cs="Arial" w:eastAsia="Arial" w:hAnsi="Arial"/>
          <w:b/>
          <w:bCs/>
          <w:i w:val="false"/>
          <w:iCs w:val="false"/>
          <w:color w:val="2C5F8A"/>
          <w:sz w:val="24"/>
          <w:szCs w:val="24"/>
        </w:rPr>
        <w:t xml:space="preserve">Skin and face</w:t>
      </w:r>
    </w:p>
    <w:p>
      <w:pPr>
        <w:spacing w:after="80" w:before="80"/>
        <w:jc w:val="left"/>
      </w:pPr>
      <w:r>
        <w:rPr>
          <w:rFonts w:ascii="Arial" w:cs="Arial" w:eastAsia="Arial" w:hAnsi="Arial"/>
          <w:b w:val="false"/>
          <w:bCs w:val="false"/>
          <w:i w:val="false"/>
          <w:iCs w:val="false"/>
          <w:color w:val="111111"/>
          <w:sz w:val="22"/>
          <w:szCs w:val="22"/>
        </w:rPr>
        <w:t xml:space="preserve">Smoking: premature wrinkling particularly around the mouth (smoker's lines from repeated pursing) and eyes, skin laxity from collagen and elastin destruction, dull and uneven complexion from impaired circulation, slower healing of any skin damage. These are partially reversible after quitting but long-term heavy smoking produces structural changes that do not fully reverse. Vaping: the nicotine-mediated circulatory effects impair skin oxygenation and collagen synthesis — the same mechanism as cigarettes, at potentially lower intensity depending on the device and usage pattern. The long-term magnitude relative to cigarettes is not yet fully established. Pouches: primarily systemic effects; local skin effects are less established than for inhaled products.</w:t>
      </w:r>
    </w:p>
    <w:p>
      <w:pPr>
        <w:spacing w:after="80" w:before="240"/>
      </w:pPr>
      <w:r>
        <w:rPr>
          <w:rFonts w:ascii="Arial" w:cs="Arial" w:eastAsia="Arial" w:hAnsi="Arial"/>
          <w:b/>
          <w:bCs/>
          <w:i w:val="false"/>
          <w:iCs w:val="false"/>
          <w:color w:val="2C5F8A"/>
          <w:sz w:val="24"/>
          <w:szCs w:val="24"/>
        </w:rPr>
        <w:t xml:space="preserve">Teeth and gum health</w:t>
      </w:r>
    </w:p>
    <w:p>
      <w:pPr>
        <w:spacing w:after="80" w:before="80"/>
        <w:jc w:val="left"/>
      </w:pPr>
      <w:r>
        <w:rPr>
          <w:rFonts w:ascii="Arial" w:cs="Arial" w:eastAsia="Arial" w:hAnsi="Arial"/>
          <w:b w:val="false"/>
          <w:bCs w:val="false"/>
          <w:i w:val="false"/>
          <w:iCs w:val="false"/>
          <w:color w:val="111111"/>
          <w:sz w:val="22"/>
          <w:szCs w:val="22"/>
        </w:rPr>
        <w:t xml:space="preserve">Smoking produces direct staining from tar and nicotine deposits, gum disease from impaired immune response and reduced blood flow, and elevated tooth loss risk from periodontal disease progression. These are directly visible cosmetic and health consequences. Vaping does not stain teeth comparably but is not neutral for gum health — nicotine-induced vasoconstriction reduces blood flow to gum tissue, impairing the immune response that protects against periodontal disease. Snus causes localized gum recession at the placement site and carries elevated oral cancer risk. This is the strongest cosmetic case against all nicotine delivery methods because the consequences are immediately and permanently visible.</w:t>
      </w:r>
    </w:p>
    <w:p>
      <w:pPr>
        <w:spacing w:after="80" w:before="240"/>
      </w:pPr>
      <w:r>
        <w:rPr>
          <w:rFonts w:ascii="Arial" w:cs="Arial" w:eastAsia="Arial" w:hAnsi="Arial"/>
          <w:b/>
          <w:bCs/>
          <w:i w:val="false"/>
          <w:iCs w:val="false"/>
          <w:color w:val="2C5F8A"/>
          <w:sz w:val="24"/>
          <w:szCs w:val="24"/>
        </w:rPr>
        <w:t xml:space="preserve">Cardiorespiratory and training capacity</w:t>
      </w:r>
    </w:p>
    <w:p>
      <w:pPr>
        <w:spacing w:after="80" w:before="80"/>
        <w:jc w:val="left"/>
      </w:pPr>
      <w:r>
        <w:rPr>
          <w:rFonts w:ascii="Arial" w:cs="Arial" w:eastAsia="Arial" w:hAnsi="Arial"/>
          <w:b w:val="false"/>
          <w:bCs w:val="false"/>
          <w:i w:val="false"/>
          <w:iCs w:val="false"/>
          <w:color w:val="111111"/>
          <w:sz w:val="22"/>
          <w:szCs w:val="22"/>
        </w:rPr>
        <w:t xml:space="preserve">Smoking: well-established significant impairment. VO2 max reduction, reduced exercise tolerance, earlier fatigue onset, slower recovery. The magnitude is substantial — heavy smokers are training at meaningfully lower capacity than their genetic baseline. Vaping: nicotine acutely increases heart rate and blood pressure, and there is evidence of reduced exercise tolerance in vapers compared to non-users, though the magnitude appears less than heavy smoking. The training capacity impairment is real. Pouches: primarily the acute nicotine cardiovascular effects (heart rate, blood pressure elevation) without the pulmonary component of inhaled products.</w:t>
      </w:r>
    </w:p>
    <w:p>
      <w:pPr>
        <w:pBdr>
          <w:bottom w:val="single" w:color="AABDD1" w:sz="4" w:space="4"/>
        </w:pBdr>
        <w:spacing w:after="120" w:before="360"/>
      </w:pPr>
      <w:r>
        <w:rPr>
          <w:rFonts w:ascii="Arial" w:cs="Arial" w:eastAsia="Arial" w:hAnsi="Arial"/>
          <w:b/>
          <w:bCs/>
          <w:i w:val="false"/>
          <w:iCs w:val="false"/>
          <w:color w:val="1A3C5E"/>
          <w:sz w:val="28"/>
          <w:szCs w:val="28"/>
        </w:rPr>
        <w:t xml:space="preserve">Harm Reduction Is Not Appearance Optimization</w:t>
      </w:r>
    </w:p>
    <w:p>
      <w:pPr>
        <w:spacing w:after="80" w:before="80"/>
        <w:jc w:val="left"/>
      </w:pPr>
      <w:r>
        <w:rPr>
          <w:rFonts w:ascii="Arial" w:cs="Arial" w:eastAsia="Arial" w:hAnsi="Arial"/>
          <w:b w:val="false"/>
          <w:bCs w:val="false"/>
          <w:i w:val="false"/>
          <w:iCs w:val="false"/>
          <w:color w:val="111111"/>
          <w:sz w:val="22"/>
          <w:szCs w:val="22"/>
        </w:rPr>
        <w:t xml:space="preserve">Switching from cigarettes to vapes, or from vapes to pouches, is a genuine harm reduction step with documented health benefits. It is not the same as quitting, and it should not be framed as equivalent for appearance purposes. The nicotine-specific appearance costs — vascular impairment, circulation reduction, collagen synthesis impairment — continue at any delivery method as long as nicotine intake continues. Harm reduction is a legitimate and valuable step toward better health and appearance outcomes. It is a step, not an arrival.</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Improves After Quitting — A Retrievable Timeline</w:t>
      </w:r>
    </w:p>
    <w:p>
      <w:pPr>
        <w:spacing w:after="80" w:before="80"/>
        <w:jc w:val="left"/>
      </w:pPr>
      <w:r>
        <w:rPr>
          <w:rFonts w:ascii="Arial" w:cs="Arial" w:eastAsia="Arial" w:hAnsi="Arial"/>
          <w:b w:val="false"/>
          <w:bCs w:val="false"/>
          <w:i w:val="false"/>
          <w:iCs w:val="false"/>
          <w:color w:val="111111"/>
          <w:sz w:val="22"/>
          <w:szCs w:val="22"/>
        </w:rPr>
        <w:t xml:space="preserve">This timeline is based on established cigarette cessation data. The vaping cessation timeline is similar for nicotine-mediated effects but the skin and pulmonary recovery data is less precisely established.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48-72 hours: carbon monoxide clears the bloodstream, oxygen-carrying capacity improves, circulation begins to recover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1-2 weeks: skin circulation noticeably improved, early facial depuffing and improved color tone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2-4 weeks: continued skin tone improvement, breath quality better, sense of smell and taste improving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1-3 months: cardiorespiratory capacity meaningfully improved, training endurance and recovery better, lung function improving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3-6 months: skin quality substantially improved — texture, tone, and complexion all show measurable change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6 months-1 year: gum health improving with good dental hygiene, wound healing closer to non-smoker baseline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1-2 years: the appearance age gap between a former smoker and a non-smoker narrows significantly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Long-term: some structural changes from heavy long-term smoking (deep wrinkling, significant laxity) are not fully reversible — partial improvement but not complete return to baseline</w:t>
      </w:r>
    </w:p>
    <w:p>
      <w:pPr>
        <w:pBdr>
          <w:bottom w:val="single" w:color="AABDD1" w:sz="4" w:space="4"/>
        </w:pBdr>
        <w:spacing w:after="120" w:before="360"/>
      </w:pPr>
      <w:r>
        <w:rPr>
          <w:rFonts w:ascii="Arial" w:cs="Arial" w:eastAsia="Arial" w:hAnsi="Arial"/>
          <w:b/>
          <w:bCs/>
          <w:i w:val="false"/>
          <w:iCs w:val="false"/>
          <w:color w:val="1A3C5E"/>
          <w:sz w:val="28"/>
          <w:szCs w:val="28"/>
        </w:rPr>
        <w:t xml:space="preserve">Quitting — Operational Framework</w:t>
      </w:r>
    </w:p>
    <w:p>
      <w:pPr>
        <w:spacing w:after="80" w:before="80"/>
        <w:jc w:val="left"/>
      </w:pPr>
      <w:r>
        <w:rPr>
          <w:rFonts w:ascii="Arial" w:cs="Arial" w:eastAsia="Arial" w:hAnsi="Arial"/>
          <w:b w:val="false"/>
          <w:bCs w:val="false"/>
          <w:i w:val="false"/>
          <w:iCs w:val="false"/>
          <w:color w:val="111111"/>
          <w:sz w:val="22"/>
          <w:szCs w:val="22"/>
        </w:rPr>
        <w:t xml:space="preserve">The appearance-based motivation for quitting is a legitimate and effective motivational anchor. Use it. The quitting tools with the strongest evidence: varenicline (Champix/Chantix) is the prescription medication with the highest quit rates in clinical trials — discuss with a physician. Nicotine replacement therapy (patches, gum, lozenges) reduces withdrawal symptoms and doubles quit rates compared to no support. Combination NRT (patch plus short-acting form) is more effective than single NRT alone. Behavioral support and cessation counseling adds benefit on top of pharmacotherapy. Exercise as a craving management tool has consistent evidence — even a 5-minute walk reduces acute craving intensity.</w:t>
      </w:r>
    </w:p>
    <w:p>
      <w:pPr>
        <w:spacing w:after="80" w:before="80"/>
        <w:jc w:val="left"/>
      </w:pPr>
      <w:r>
        <w:rPr>
          <w:rFonts w:ascii="Arial" w:cs="Arial" w:eastAsia="Arial" w:hAnsi="Arial"/>
          <w:b w:val="false"/>
          <w:bCs w:val="false"/>
          <w:i w:val="false"/>
          <w:iCs w:val="false"/>
          <w:color w:val="111111"/>
          <w:sz w:val="22"/>
          <w:szCs w:val="22"/>
        </w:rPr>
        <w:t xml:space="preserve">The dual-use trap: using a vape as a "quitting tool" while continuing to use cigarettes occasionally produces dual-use rather than cessation in a significant proportion of attempts. If using vaping as a quit aid, the goal needs to be defined and time-limited — step down nicotine concentration and step down usage frequency on a schedule, with a concrete quit date for vaping as well.</w:t>
      </w:r>
    </w:p>
    <w:p>
      <w:pPr>
        <w:spacing w:after="80" w:before="80"/>
        <w:jc w:val="left"/>
      </w:pPr>
      <w:r>
        <w:rPr>
          <w:rFonts w:ascii="Arial" w:cs="Arial" w:eastAsia="Arial" w:hAnsi="Arial"/>
          <w:b w:val="false"/>
          <w:bCs w:val="false"/>
          <w:i w:val="false"/>
          <w:iCs w:val="false"/>
          <w:color w:val="111111"/>
          <w:sz w:val="22"/>
          <w:szCs w:val="22"/>
        </w:rPr>
        <w:t xml:space="preserve">For the appearance-focused framing: the training capacity gains from quitting typically appear within one to three months and are among the earliest motivating changes. Skin improvements at three to six months are consistently noticeable. These timelines are worth knowing before starting because the first two to four weeks involve withdrawal and do not yet show the appearance payoff — understanding the timeline prevents quitting during the window before benefits become visible.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Nicotine is not a neutral appearance variable at any delivery method. Cigarettes carry the strongest and most documented appearance costs — premature skin aging, periodontal disease, and cardiorespiratory impairment are causally established. Vaping carries real but less fully documented appearance costs, primarily through nicotine-mediated vascular mechanisms. Pouches carry the least appearance risk among current options and are not consequence-free. Quitting produces real, progressive appearance improvements following a predictable timeline — training capacity within months, skin quality within three to six months, with some long-term structural changes from heavy smoking not fully reversible.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Nicotine &amp; Vaping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2026-04-11T20:09:40.329Z</dcterms:created>
  <dcterms:modified xsi:type="dcterms:W3CDTF">2026-04-11T20:09:40.329Z</dcterms:modified>
</cp:coreProperties>
</file>

<file path=docProps/custom.xml><?xml version="1.0" encoding="utf-8"?>
<Properties xmlns="http://schemas.openxmlformats.org/officeDocument/2006/custom-properties" xmlns:vt="http://schemas.openxmlformats.org/officeDocument/2006/docPropsVTypes"/>
</file>