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Peptide Deep Dive: Tesamorelin, CJC-1295/Ipamorelin, and AOD-9604</w:t>
      </w:r>
    </w:p>
    <w:p>
      <w:pPr>
        <w:spacing w:after="320" w:before="100"/>
        <w:jc w:val="left"/>
      </w:pPr>
      <w:r>
        <w:rPr>
          <w:rFonts w:ascii="Arial" w:cs="Arial" w:eastAsia="Arial" w:hAnsi="Arial"/>
          <w:b w:val="false"/>
          <w:bCs w:val="false"/>
          <w:i/>
          <w:iCs/>
          <w:color w:val="666666"/>
          <w:sz w:val="22"/>
          <w:szCs w:val="22"/>
        </w:rPr>
        <w:t xml:space="preserve">Clinical mechanisms, evidence, protocols, and how to think about each compound</w:t>
      </w:r>
    </w:p>
    <w:p>
      <w:pPr>
        <w:pBdr>
          <w:bottom w:val="single" w:color="AABDD1" w:sz="4" w:space="4"/>
        </w:pBdr>
        <w:spacing w:after="120" w:before="360"/>
      </w:pPr>
      <w:r>
        <w:rPr>
          <w:rFonts w:ascii="Arial" w:cs="Arial" w:eastAsia="Arial" w:hAnsi="Arial"/>
          <w:b/>
          <w:bCs/>
          <w:i w:val="false"/>
          <w:iCs w:val="false"/>
          <w:color w:val="1A3C5E"/>
          <w:sz w:val="28"/>
          <w:szCs w:val="28"/>
        </w:rPr>
        <w:t xml:space="preserve">Why These Three</w:t>
      </w:r>
    </w:p>
    <w:p>
      <w:pPr>
        <w:spacing w:after="80" w:before="80"/>
        <w:jc w:val="left"/>
      </w:pPr>
      <w:r>
        <w:rPr>
          <w:rFonts w:ascii="Arial" w:cs="Arial" w:eastAsia="Arial" w:hAnsi="Arial"/>
          <w:b w:val="false"/>
          <w:bCs w:val="false"/>
          <w:i w:val="false"/>
          <w:iCs w:val="false"/>
          <w:color w:val="111111"/>
          <w:sz w:val="22"/>
          <w:szCs w:val="22"/>
        </w:rPr>
        <w:t xml:space="preserve">The broader peptide landscape is covered in Doc 04. This document goes deeper on three specific compounds that have emerged as the most clinically relevant for body composition and metabolic goals in the looksmaxxing context: tesamorelin for visceral fat reduction, CJC-1295 combined with ipamorelin as the most commonly prescribed GH-stimulating stack, and AOD-9604 as a targeted lipolytic agent without the IGF-1 burden of full growth hormone. Each has a distinct mechanism, a meaningfully different evidence base, and a different patient profile. Understanding the distinctions prevents misapplication.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Tesamorelin — The Only GHRH Analog With FDA Backing</w:t>
      </w:r>
    </w:p>
    <w:p>
      <w:pPr>
        <w:spacing w:after="80" w:before="240"/>
      </w:pPr>
      <w:r>
        <w:rPr>
          <w:rFonts w:ascii="Arial" w:cs="Arial" w:eastAsia="Arial" w:hAnsi="Arial"/>
          <w:b/>
          <w:bCs/>
          <w:i w:val="false"/>
          <w:iCs w:val="false"/>
          <w:color w:val="2C5F8A"/>
          <w:sz w:val="24"/>
          <w:szCs w:val="24"/>
        </w:rPr>
        <w:t xml:space="preserve">What it is and how it works</w:t>
      </w:r>
    </w:p>
    <w:p>
      <w:pPr>
        <w:spacing w:after="80" w:before="80"/>
        <w:jc w:val="left"/>
      </w:pPr>
      <w:r>
        <w:rPr>
          <w:rFonts w:ascii="Arial" w:cs="Arial" w:eastAsia="Arial" w:hAnsi="Arial"/>
          <w:b w:val="false"/>
          <w:bCs w:val="false"/>
          <w:i w:val="false"/>
          <w:iCs w:val="false"/>
          <w:color w:val="111111"/>
          <w:sz w:val="22"/>
          <w:szCs w:val="22"/>
        </w:rPr>
        <w:t xml:space="preserve">Tesamorelin is a synthetic analog of growth hormone-releasing hormone (GHRH) with a trans-3-hexenoic acid modification that makes it more stable and longer-acting than natural GHRH. It was FDA-approved in 2010 under the brand name Egrifta for HIV-associated lipodystrophy — excess visceral fat accumulation — and has since been prescribed off-label for visceral fat reduction and body composition in the broader population. Search volume in the US grew forty-nine percent in six months through early 2026, reflecting broader consumer awareness of peptide-based fat loss approaches.</w:t>
      </w:r>
    </w:p>
    <w:p>
      <w:pPr>
        <w:spacing w:after="80" w:before="80"/>
        <w:jc w:val="left"/>
      </w:pPr>
      <w:r>
        <w:rPr>
          <w:rFonts w:ascii="Arial" w:cs="Arial" w:eastAsia="Arial" w:hAnsi="Arial"/>
          <w:b w:val="false"/>
          <w:bCs w:val="false"/>
          <w:i w:val="false"/>
          <w:iCs w:val="false"/>
          <w:color w:val="111111"/>
          <w:sz w:val="22"/>
          <w:szCs w:val="22"/>
        </w:rPr>
        <w:t xml:space="preserve">The mechanism operates at the hypothalamic-pituitary axis level. Tesamorelin binds to GHRH receptors on somatotroph cells in the anterior pituitary, triggering a pulsatile release of endogenous growth hormone that mimics the natural GH secretion pattern. That GH pulse then stimulates the liver to produce IGF-1, which mediates the downstream effects on body composition. Critically, this is upstream stimulation, not direct GH administration — the body produces the hormone through its normal feedback system rather than receiving it exogenously.</w:t>
      </w:r>
    </w:p>
    <w:p>
      <w:pPr>
        <w:spacing w:after="80" w:before="240"/>
      </w:pPr>
      <w:r>
        <w:rPr>
          <w:rFonts w:ascii="Arial" w:cs="Arial" w:eastAsia="Arial" w:hAnsi="Arial"/>
          <w:b/>
          <w:bCs/>
          <w:i w:val="false"/>
          <w:iCs w:val="false"/>
          <w:color w:val="2C5F8A"/>
          <w:sz w:val="24"/>
          <w:szCs w:val="24"/>
        </w:rPr>
        <w:t xml:space="preserve">Why it targets visceral fat specifically</w:t>
      </w:r>
    </w:p>
    <w:p>
      <w:pPr>
        <w:spacing w:after="80" w:before="80"/>
        <w:jc w:val="left"/>
      </w:pPr>
      <w:r>
        <w:rPr>
          <w:rFonts w:ascii="Arial" w:cs="Arial" w:eastAsia="Arial" w:hAnsi="Arial"/>
          <w:b w:val="false"/>
          <w:bCs w:val="false"/>
          <w:i w:val="false"/>
          <w:iCs w:val="false"/>
          <w:color w:val="111111"/>
          <w:sz w:val="22"/>
          <w:szCs w:val="22"/>
        </w:rPr>
        <w:t xml:space="preserve">Visceral adipocytes express more GH receptors than subcutaneous fat cells and are more responsive to lipolysis signals. When tesamorelin increases GH output, visceral fat cells break down preferentially. Subcutaneous fat is less affected, which means patients often see meaningful waist circumference reduction without the generalized lean-and-deflated appearance that comes from caloric restriction.</w:t>
      </w:r>
    </w:p>
    <w:p>
      <w:pPr>
        <w:spacing w:after="80" w:before="240"/>
      </w:pPr>
      <w:r>
        <w:rPr>
          <w:rFonts w:ascii="Arial" w:cs="Arial" w:eastAsia="Arial" w:hAnsi="Arial"/>
          <w:b/>
          <w:bCs/>
          <w:i w:val="false"/>
          <w:iCs w:val="false"/>
          <w:color w:val="2C5F8A"/>
          <w:sz w:val="24"/>
          <w:szCs w:val="24"/>
        </w:rPr>
        <w:t xml:space="preserve">What the clinical research shows</w:t>
      </w:r>
    </w:p>
    <w:p>
      <w:pPr>
        <w:spacing w:after="80" w:before="80"/>
        <w:jc w:val="left"/>
      </w:pPr>
      <w:r>
        <w:rPr>
          <w:rFonts w:ascii="Arial" w:cs="Arial" w:eastAsia="Arial" w:hAnsi="Arial"/>
          <w:b w:val="false"/>
          <w:bCs w:val="false"/>
          <w:i w:val="false"/>
          <w:iCs w:val="false"/>
          <w:color w:val="111111"/>
          <w:sz w:val="22"/>
          <w:szCs w:val="22"/>
        </w:rPr>
        <w:t xml:space="preserve">The evidence base for tesamorelin is stronger than most peptides because of its FDA approval pathway. The pivotal 2010 New England Journal of Medicine trial by Falutz et al. demonstrated an 18% reduction in visceral adipose tissue over 26 weeks compared to placebo, measured by CT imaging — a harder endpoint than BMI or waist circumference. Critically, fat returned to baseline within 26 weeks of discontinuation, confirming the effect requires continued use to maintain. A 2012 JAMA Internal Medicine study found significant improvements in executive function and verbal memory in adults over 60 on tesamorelin versus placebo — a finding that has made it relevant to longevity medicine beyond its body composition application.</w:t>
      </w:r>
    </w:p>
    <w:p>
      <w:pPr>
        <w:spacing w:after="80" w:before="240"/>
      </w:pPr>
      <w:r>
        <w:rPr>
          <w:rFonts w:ascii="Arial" w:cs="Arial" w:eastAsia="Arial" w:hAnsi="Arial"/>
          <w:b/>
          <w:bCs/>
          <w:i w:val="false"/>
          <w:iCs w:val="false"/>
          <w:color w:val="2C5F8A"/>
          <w:sz w:val="24"/>
          <w:szCs w:val="24"/>
        </w:rPr>
        <w:t xml:space="preserve">Dosing and protocol</w:t>
      </w:r>
    </w:p>
    <w:p>
      <w:pPr>
        <w:spacing w:after="80" w:before="80"/>
        <w:jc w:val="left"/>
      </w:pPr>
      <w:r>
        <w:rPr>
          <w:rFonts w:ascii="Arial" w:cs="Arial" w:eastAsia="Arial" w:hAnsi="Arial"/>
          <w:b w:val="false"/>
          <w:bCs w:val="false"/>
          <w:i w:val="false"/>
          <w:iCs w:val="false"/>
          <w:color w:val="111111"/>
          <w:sz w:val="22"/>
          <w:szCs w:val="22"/>
        </w:rPr>
        <w:t xml:space="preserve">The FDA-approved dose is 2mg subcutaneous daily. Off-label clinical practice ranges from 1mg to 2mg daily depending on baseline IGF-1, tolerance, and goals. Injection sites are rotated across the abdomen, thighs, or upper arms. Most patients begin noticing changes in abdominal circumference between weeks 8 and 12. Imaging-confirmed visceral fat reductions typically appear by week 16 to 26. Unlike GLP-1 agents, changes are compositional rather than scale-weight driven — patients may not lose significant total weight but will show meaningful waist reduction.</w:t>
      </w:r>
    </w:p>
    <w:p>
      <w:pPr>
        <w:spacing w:after="80" w:before="240"/>
      </w:pPr>
      <w:r>
        <w:rPr>
          <w:rFonts w:ascii="Arial" w:cs="Arial" w:eastAsia="Arial" w:hAnsi="Arial"/>
          <w:b/>
          <w:bCs/>
          <w:i w:val="false"/>
          <w:iCs w:val="false"/>
          <w:color w:val="2C5F8A"/>
          <w:sz w:val="24"/>
          <w:szCs w:val="24"/>
        </w:rPr>
        <w:t xml:space="preserve">Who it is and is not for</w:t>
      </w:r>
    </w:p>
    <w:p>
      <w:pPr>
        <w:spacing w:after="80" w:before="80"/>
        <w:jc w:val="left"/>
      </w:pPr>
      <w:r>
        <w:rPr>
          <w:rFonts w:ascii="Arial" w:cs="Arial" w:eastAsia="Arial" w:hAnsi="Arial"/>
          <w:b w:val="false"/>
          <w:bCs w:val="false"/>
          <w:i w:val="false"/>
          <w:iCs w:val="false"/>
          <w:color w:val="111111"/>
          <w:sz w:val="22"/>
          <w:szCs w:val="22"/>
        </w:rPr>
        <w:t xml:space="preserve">Best candidates: adults carrying excess visceral fat relative to overall body composition, particularly those who carry midsection fat despite reasonable diet and exercise, patients with documented age-related GH decline (confirmed with IGF-1 labs), and those focused on metabolic risk reduction rather than scale weight. Contraindicated in patients with active malignancy, pituitary disorders affecting GHRH pathways, pregnancy, or disrupted hypothalamic-pituitary function from surgery or radiation. Patients with glucose intolerance or uncontrolled diabetes require careful monitoring because elevated GH affects insulin sensitivity.</w:t>
      </w:r>
    </w:p>
    <w:p>
      <w:pPr>
        <w:spacing w:after="80" w:before="240"/>
      </w:pPr>
      <w:r>
        <w:rPr>
          <w:rFonts w:ascii="Arial" w:cs="Arial" w:eastAsia="Arial" w:hAnsi="Arial"/>
          <w:b/>
          <w:bCs/>
          <w:i w:val="false"/>
          <w:iCs w:val="false"/>
          <w:color w:val="2C5F8A"/>
          <w:sz w:val="24"/>
          <w:szCs w:val="24"/>
        </w:rPr>
        <w:t xml:space="preserve">Required monitoring</w:t>
      </w:r>
    </w:p>
    <w:p>
      <w:pPr>
        <w:spacing w:after="80" w:before="80"/>
        <w:jc w:val="left"/>
      </w:pPr>
      <w:r>
        <w:rPr>
          <w:rFonts w:ascii="Arial" w:cs="Arial" w:eastAsia="Arial" w:hAnsi="Arial"/>
          <w:b w:val="false"/>
          <w:bCs w:val="false"/>
          <w:i w:val="false"/>
          <w:iCs w:val="false"/>
          <w:color w:val="111111"/>
          <w:sz w:val="22"/>
          <w:szCs w:val="22"/>
        </w:rPr>
        <w:t xml:space="preserve">Baseline labs before initiation: IGF-1, fasting glucose, HbA1c, lipid panel, and comprehensive metabolic panel. Imaging or serial waist circumference measurement to establish a quantitative baseline. IGF-1 rechecked at 8 to 12 weeks to confirm the dose is producing a response within the upper-normal range. Glucose tolerance re-evaluated at the same point. Monthly or bimonthly provider check-ins ongoing.</w:t>
      </w:r>
    </w:p>
    <w:p>
      <w:pPr>
        <w:pBdr>
          <w:bottom w:val="single" w:color="AABDD1" w:sz="4" w:space="4"/>
        </w:pBdr>
        <w:spacing w:after="120" w:before="360"/>
      </w:pPr>
      <w:r>
        <w:rPr>
          <w:rFonts w:ascii="Arial" w:cs="Arial" w:eastAsia="Arial" w:hAnsi="Arial"/>
          <w:b/>
          <w:bCs/>
          <w:i w:val="false"/>
          <w:iCs w:val="false"/>
          <w:color w:val="1A3C5E"/>
          <w:sz w:val="28"/>
          <w:szCs w:val="28"/>
        </w:rPr>
        <w:t xml:space="preserve">CJC-1295 / Ipamorelin — The Most Common Clinical GH Stack</w:t>
      </w:r>
    </w:p>
    <w:p>
      <w:pPr>
        <w:spacing w:after="80" w:before="240"/>
      </w:pPr>
      <w:r>
        <w:rPr>
          <w:rFonts w:ascii="Arial" w:cs="Arial" w:eastAsia="Arial" w:hAnsi="Arial"/>
          <w:b/>
          <w:bCs/>
          <w:i w:val="false"/>
          <w:iCs w:val="false"/>
          <w:color w:val="2C5F8A"/>
          <w:sz w:val="24"/>
          <w:szCs w:val="24"/>
        </w:rPr>
        <w:t xml:space="preserve">What each peptide does and why they are combined</w:t>
      </w:r>
    </w:p>
    <w:p>
      <w:pPr>
        <w:spacing w:after="80" w:before="80"/>
        <w:jc w:val="left"/>
      </w:pPr>
      <w:r>
        <w:rPr>
          <w:rFonts w:ascii="Arial" w:cs="Arial" w:eastAsia="Arial" w:hAnsi="Arial"/>
          <w:b w:val="false"/>
          <w:bCs w:val="false"/>
          <w:i w:val="false"/>
          <w:iCs w:val="false"/>
          <w:color w:val="111111"/>
          <w:sz w:val="22"/>
          <w:szCs w:val="22"/>
        </w:rPr>
        <w:t xml:space="preserve">CJC-1295 (no DAC) is a GHRH analog that binds to GHRH receptors and extends each GH pulse. The "no DAC" designation means this version lacks the Drug Affinity Complex, giving it a shorter half-life that produces a more physiologically normal pulse rather than sustained elevation. Ipamorelin is a selective growth hormone secretagogue that activates ghrelin receptors (GHS-R1a), triggering a clean GH pulse without raising cortisol or prolactin. A study in the European Journal of Endocrinology confirmed that ipamorelin produces dose-dependent GH release with no effect on ACTH or cortisol — an important distinction from older secretagogues that came with mood and appetite side effects.</w:t>
      </w:r>
    </w:p>
    <w:p>
      <w:pPr>
        <w:spacing w:after="80" w:before="80"/>
        <w:jc w:val="left"/>
      </w:pPr>
      <w:r>
        <w:rPr>
          <w:rFonts w:ascii="Arial" w:cs="Arial" w:eastAsia="Arial" w:hAnsi="Arial"/>
          <w:b w:val="false"/>
          <w:bCs w:val="false"/>
          <w:i w:val="false"/>
          <w:iCs w:val="false"/>
          <w:color w:val="111111"/>
          <w:sz w:val="22"/>
          <w:szCs w:val="22"/>
        </w:rPr>
        <w:t xml:space="preserve">The combination amplifies the GH pulse through dual receptor activation: CJC-1295 at the GHRH receptor, ipamorelin at the ghrelin receptor. This produces a stronger, longer GH pulse than either peptide alone. The combined benefits span multiple systems: fat metabolism, musculoskeletal repair, collagen synthesis, and sleep architecture. Patients on the stack frequently report improved sleep quality within the first two weeks, often before body composition changes become visible.</w:t>
      </w:r>
    </w:p>
    <w:p>
      <w:pPr>
        <w:spacing w:after="80" w:before="240"/>
      </w:pPr>
      <w:r>
        <w:rPr>
          <w:rFonts w:ascii="Arial" w:cs="Arial" w:eastAsia="Arial" w:hAnsi="Arial"/>
          <w:b/>
          <w:bCs/>
          <w:i w:val="false"/>
          <w:iCs w:val="false"/>
          <w:color w:val="2C5F8A"/>
          <w:sz w:val="24"/>
          <w:szCs w:val="24"/>
        </w:rPr>
        <w:t xml:space="preserve">The dosing escalation protocol</w:t>
      </w:r>
    </w:p>
    <w:p>
      <w:pPr>
        <w:spacing w:after="80" w:before="80"/>
        <w:jc w:val="left"/>
      </w:pPr>
      <w:r>
        <w:rPr>
          <w:rFonts w:ascii="Arial" w:cs="Arial" w:eastAsia="Arial" w:hAnsi="Arial"/>
          <w:b w:val="false"/>
          <w:bCs w:val="false"/>
          <w:i w:val="false"/>
          <w:iCs w:val="false"/>
          <w:color w:val="111111"/>
          <w:sz w:val="22"/>
          <w:szCs w:val="22"/>
        </w:rPr>
        <w:t xml:space="preserve">The standard protocol starts at 0.6mg daily in week one and escalates by 0.2mg per week over the first two months. Month one (initiation phase) runs from 0.6mg in week one up to 1.2mg by week four — allowing the hypothalamic-pituitary axis to adjust gradually. Month two (escalation phase) continues from 1.4mg up to the maintenance dose of 2.0mg by week four. Month three and beyond holds at 2.0mg daily. When restarting after an off-cycle, patients return directly to 2.0mg — the escalation phases are only required during the first cycle.</w:t>
      </w:r>
    </w:p>
    <w:p>
      <w:pPr>
        <w:spacing w:after="80" w:before="240"/>
      </w:pPr>
      <w:r>
        <w:rPr>
          <w:rFonts w:ascii="Arial" w:cs="Arial" w:eastAsia="Arial" w:hAnsi="Arial"/>
          <w:b/>
          <w:bCs/>
          <w:i w:val="false"/>
          <w:iCs w:val="false"/>
          <w:color w:val="2C5F8A"/>
          <w:sz w:val="24"/>
          <w:szCs w:val="24"/>
        </w:rPr>
        <w:t xml:space="preserve">Timing and cycling</w:t>
      </w:r>
    </w:p>
    <w:p>
      <w:pPr>
        <w:spacing w:after="80" w:before="80"/>
        <w:jc w:val="left"/>
      </w:pPr>
      <w:r>
        <w:rPr>
          <w:rFonts w:ascii="Arial" w:cs="Arial" w:eastAsia="Arial" w:hAnsi="Arial"/>
          <w:b w:val="false"/>
          <w:bCs w:val="false"/>
          <w:i w:val="false"/>
          <w:iCs w:val="false"/>
          <w:color w:val="111111"/>
          <w:sz w:val="22"/>
          <w:szCs w:val="22"/>
        </w:rPr>
        <w:t xml:space="preserve">Best administered before bedtime, at least two hours after the last meal. GH releases its largest natural pulse during the first phase of deep sleep — administering the peptide at night aligns with this rhythm. Food intake triggers insulin release, which blunts the GH response; the two-hour fasting window is non-negotiable. The weekly schedule follows five days on, two days off to prevent receptor desensitization and allow pituitary reset. A full cycle runs one to three months on, followed by two to three months off to prevent pituitary downregulation and maintain long-term responsiveness.</w:t>
      </w:r>
    </w:p>
    <w:p>
      <w:pPr>
        <w:spacing w:after="80" w:before="240"/>
      </w:pPr>
      <w:r>
        <w:rPr>
          <w:rFonts w:ascii="Arial" w:cs="Arial" w:eastAsia="Arial" w:hAnsi="Arial"/>
          <w:b/>
          <w:bCs/>
          <w:i w:val="false"/>
          <w:iCs w:val="false"/>
          <w:color w:val="2C5F8A"/>
          <w:sz w:val="24"/>
          <w:szCs w:val="24"/>
        </w:rPr>
        <w:t xml:space="preserve">Side effects</w:t>
      </w:r>
    </w:p>
    <w:p>
      <w:pPr>
        <w:spacing w:after="80" w:before="80"/>
        <w:jc w:val="left"/>
      </w:pPr>
      <w:r>
        <w:rPr>
          <w:rFonts w:ascii="Arial" w:cs="Arial" w:eastAsia="Arial" w:hAnsi="Arial"/>
          <w:b w:val="false"/>
          <w:bCs w:val="false"/>
          <w:i w:val="false"/>
          <w:iCs w:val="false"/>
          <w:color w:val="111111"/>
          <w:sz w:val="22"/>
          <w:szCs w:val="22"/>
        </w:rPr>
        <w:t xml:space="preserve">Generally mild and transient, particularly when the graduated dosing protocol is followed. Most commonly reported: mild injection site reactions (redness, itching), occasional headache during the first week, slight water retention in hands or feet during the escalation phase, mild tingling or numbness in extremities related to fluid shifts, and increased sleepiness at bedtime — which most users consider a benefit. Serious adverse events are rare under medical supervision. Persistent joint pain, significant edema, or blood glucose changes warrant provider contact.</w:t>
      </w:r>
    </w:p>
    <w:p>
      <w:pPr>
        <w:spacing w:after="80" w:before="240"/>
      </w:pPr>
      <w:r>
        <w:rPr>
          <w:rFonts w:ascii="Arial" w:cs="Arial" w:eastAsia="Arial" w:hAnsi="Arial"/>
          <w:b/>
          <w:bCs/>
          <w:i w:val="false"/>
          <w:iCs w:val="false"/>
          <w:color w:val="2C5F8A"/>
          <w:sz w:val="24"/>
          <w:szCs w:val="24"/>
        </w:rPr>
        <w:t xml:space="preserve">Ipamorelin vs. sermorelin</w:t>
      </w:r>
    </w:p>
    <w:p>
      <w:pPr>
        <w:spacing w:after="80" w:before="80"/>
        <w:jc w:val="left"/>
      </w:pPr>
      <w:r>
        <w:rPr>
          <w:rFonts w:ascii="Arial" w:cs="Arial" w:eastAsia="Arial" w:hAnsi="Arial"/>
          <w:b w:val="false"/>
          <w:bCs w:val="false"/>
          <w:i w:val="false"/>
          <w:iCs w:val="false"/>
          <w:color w:val="111111"/>
          <w:sz w:val="22"/>
          <w:szCs w:val="22"/>
        </w:rPr>
        <w:t xml:space="preserve">Sermorelin binds to the same GHRH receptor as CJC-1295 but has a ten to twenty minute half-life, limiting its GH pulse duration. It can also stimulate cortisol and prolactin. Ipamorelin acts on the ghrelin receptor with high selectivity, producing a GH pulse without affecting cortisol or appetite hormones. Users who have switched from sermorelin to ipamorelin consistently report fewer side effects including reduced flushing and water retention. The CJC-1295/ipamorelin combination yields a stronger GH pulse than sermorelin alone through the dual-pathway mechanism.</w:t>
      </w:r>
    </w:p>
    <w:p>
      <w:pPr>
        <w:pBdr>
          <w:bottom w:val="single" w:color="AABDD1" w:sz="4" w:space="4"/>
        </w:pBdr>
        <w:spacing w:after="120" w:before="360"/>
      </w:pPr>
      <w:r>
        <w:rPr>
          <w:rFonts w:ascii="Arial" w:cs="Arial" w:eastAsia="Arial" w:hAnsi="Arial"/>
          <w:b/>
          <w:bCs/>
          <w:i w:val="false"/>
          <w:iCs w:val="false"/>
          <w:color w:val="1A3C5E"/>
          <w:sz w:val="28"/>
          <w:szCs w:val="28"/>
        </w:rPr>
        <w:t xml:space="preserve">AOD-9604 — Targeted Lipolysis Without IGF-1 Burden</w:t>
      </w:r>
    </w:p>
    <w:p>
      <w:pPr>
        <w:spacing w:after="80" w:before="240"/>
      </w:pPr>
      <w:r>
        <w:rPr>
          <w:rFonts w:ascii="Arial" w:cs="Arial" w:eastAsia="Arial" w:hAnsi="Arial"/>
          <w:b/>
          <w:bCs/>
          <w:i w:val="false"/>
          <w:iCs w:val="false"/>
          <w:color w:val="2C5F8A"/>
          <w:sz w:val="24"/>
          <w:szCs w:val="24"/>
        </w:rPr>
        <w:t xml:space="preserve">What it is</w:t>
      </w:r>
    </w:p>
    <w:p>
      <w:pPr>
        <w:spacing w:after="80" w:before="80"/>
        <w:jc w:val="left"/>
      </w:pPr>
      <w:r>
        <w:rPr>
          <w:rFonts w:ascii="Arial" w:cs="Arial" w:eastAsia="Arial" w:hAnsi="Arial"/>
          <w:b w:val="false"/>
          <w:bCs w:val="false"/>
          <w:i w:val="false"/>
          <w:iCs w:val="false"/>
          <w:color w:val="111111"/>
          <w:sz w:val="22"/>
          <w:szCs w:val="22"/>
        </w:rPr>
        <w:t xml:space="preserve">AOD-9604 is a synthetic fragment of human growth hormone, specifically amino acids 176 through 191 of the hGH sequence, with a single N-terminus modification for stability. Developed in the 1990s at Monash University in Melbourne, the goal was to isolate the fat-burning portion of growth hormone and deliver those effects without the risks that come with full HGH administration. The result is a 16-amino acid peptide that stimulates lipolysis through beta-3 adrenergic receptors on fat cells without triggering IGF-1 elevation, insulin resistance, or the growth-promoting effects that make full HGH problematic for long-term metabolic use.</w:t>
      </w:r>
    </w:p>
    <w:p>
      <w:pPr>
        <w:spacing w:after="80" w:before="240"/>
      </w:pPr>
      <w:r>
        <w:rPr>
          <w:rFonts w:ascii="Arial" w:cs="Arial" w:eastAsia="Arial" w:hAnsi="Arial"/>
          <w:b/>
          <w:bCs/>
          <w:i w:val="false"/>
          <w:iCs w:val="false"/>
          <w:color w:val="2C5F8A"/>
          <w:sz w:val="24"/>
          <w:szCs w:val="24"/>
        </w:rPr>
        <w:t xml:space="preserve">How it works at the molecular level</w:t>
      </w:r>
    </w:p>
    <w:p>
      <w:pPr>
        <w:spacing w:after="80" w:before="80"/>
        <w:jc w:val="left"/>
      </w:pPr>
      <w:r>
        <w:rPr>
          <w:rFonts w:ascii="Arial" w:cs="Arial" w:eastAsia="Arial" w:hAnsi="Arial"/>
          <w:b w:val="false"/>
          <w:bCs w:val="false"/>
          <w:i w:val="false"/>
          <w:iCs w:val="false"/>
          <w:color w:val="111111"/>
          <w:sz w:val="22"/>
          <w:szCs w:val="22"/>
        </w:rPr>
        <w:t xml:space="preserve">AOD-9604 binds to beta-3 adrenergic receptors on adipocytes. Activation triggers two complementary processes: it accelerates lipolysis (the breakdown of stored triglycerides into free fatty acids) while simultaneously inhibiting lipogenesis (the conversion of glucose and other substrates into new fat stores). The net result is a shift toward fat oxidation rather than fat storage. Crucially, this happens without IGF-1 stimulation — meaning the risks associated with full HGH at therapeutic doses (insulin resistance, fluid retention, cell proliferation) are not part of the AOD-9604 risk profile. Rodent knockout models where beta-3 adrenergic receptors were removed confirmed the receptor-specific mechanism.</w:t>
      </w:r>
    </w:p>
    <w:p>
      <w:pPr>
        <w:spacing w:after="80" w:before="240"/>
      </w:pPr>
      <w:r>
        <w:rPr>
          <w:rFonts w:ascii="Arial" w:cs="Arial" w:eastAsia="Arial" w:hAnsi="Arial"/>
          <w:b/>
          <w:bCs/>
          <w:i w:val="false"/>
          <w:iCs w:val="false"/>
          <w:color w:val="2C5F8A"/>
          <w:sz w:val="24"/>
          <w:szCs w:val="24"/>
        </w:rPr>
        <w:t xml:space="preserve">The clinical trial history — honest assessment</w:t>
      </w:r>
    </w:p>
    <w:p>
      <w:pPr>
        <w:spacing w:after="80" w:before="80"/>
        <w:jc w:val="left"/>
      </w:pPr>
      <w:r>
        <w:rPr>
          <w:rFonts w:ascii="Arial" w:cs="Arial" w:eastAsia="Arial" w:hAnsi="Arial"/>
          <w:b w:val="false"/>
          <w:bCs w:val="false"/>
          <w:i w:val="false"/>
          <w:iCs w:val="false"/>
          <w:color w:val="111111"/>
          <w:sz w:val="22"/>
          <w:szCs w:val="22"/>
        </w:rPr>
        <w:t xml:space="preserve">Six Phase I and Phase II clinical trials were conducted by Metabolic Pharmaceuticals Ltd., enrolling approximately 900 participants across oral, intravenous, and subcutaneous administration routes. The safety findings were consistent across all six: no serious adverse events, no immunogenic responses, no IGF-1 changes, no glucose or insulin disruption. The most clinically relevant efficacy data came from a 12-week randomized double-blind placebo-controlled study where participants receiving 1mg daily lost approximately 2.6kg compared to 0.8kg in the placebo group — a statistically significant finding. The follow-up pivotal trial failed to replicate statistically significant weight loss in the primary endpoint, which led the company to halt formal drug development in 2007. AOD-9604 is not FDA-approved as a pharmaceutical drug. It received GRAS (Generally Recognized as Safe) status as a food ingredient, which is a separate regulatory category. It remains an investigational peptide.</w:t>
      </w:r>
    </w:p>
    <w:p>
      <w:pPr>
        <w:spacing w:after="80" w:before="240"/>
      </w:pPr>
      <w:r>
        <w:rPr>
          <w:rFonts w:ascii="Arial" w:cs="Arial" w:eastAsia="Arial" w:hAnsi="Arial"/>
          <w:b/>
          <w:bCs/>
          <w:i w:val="false"/>
          <w:iCs w:val="false"/>
          <w:color w:val="2C5F8A"/>
          <w:sz w:val="24"/>
          <w:szCs w:val="24"/>
        </w:rPr>
        <w:t xml:space="preserve">AOD-9604 vs. semaglutide — not the same tool</w:t>
      </w:r>
    </w:p>
    <w:p>
      <w:pPr>
        <w:spacing w:after="80" w:before="80"/>
        <w:jc w:val="left"/>
      </w:pPr>
      <w:r>
        <w:rPr>
          <w:rFonts w:ascii="Arial" w:cs="Arial" w:eastAsia="Arial" w:hAnsi="Arial"/>
          <w:b w:val="false"/>
          <w:bCs w:val="false"/>
          <w:i w:val="false"/>
          <w:iCs w:val="false"/>
          <w:color w:val="111111"/>
          <w:sz w:val="22"/>
          <w:szCs w:val="22"/>
        </w:rPr>
        <w:t xml:space="preserve">Semaglutide works primarily through appetite suppression via GLP-1 receptors in the brain and gut. AOD-9604 works through direct activation of fat cell receptors, bypassing appetite signaling entirely. GLP-1 medications frequently produce nausea, constipation, and in some patients meaningful lean mass loss alongside fat loss. AOD-9604 clinical trials showed a tolerability profile statistically indistinguishable from placebo, and its fat-cell-specific mechanism does not appear to affect muscle mass. These are mechanistically different tools for different patient profiles — not alternatives to the same mechanism. Semaglutide is FDA-approved; AOD-9604 is not. Any responsible clinical discussion starts with that distinction.</w:t>
      </w:r>
    </w:p>
    <w:p>
      <w:pPr>
        <w:spacing w:after="80" w:before="240"/>
      </w:pPr>
      <w:r>
        <w:rPr>
          <w:rFonts w:ascii="Arial" w:cs="Arial" w:eastAsia="Arial" w:hAnsi="Arial"/>
          <w:b/>
          <w:bCs/>
          <w:i w:val="false"/>
          <w:iCs w:val="false"/>
          <w:color w:val="2C5F8A"/>
          <w:sz w:val="24"/>
          <w:szCs w:val="24"/>
        </w:rPr>
        <w:t xml:space="preserve">Standard protocol</w:t>
      </w:r>
    </w:p>
    <w:p>
      <w:pPr>
        <w:spacing w:after="80" w:before="80"/>
        <w:jc w:val="left"/>
      </w:pPr>
      <w:r>
        <w:rPr>
          <w:rFonts w:ascii="Arial" w:cs="Arial" w:eastAsia="Arial" w:hAnsi="Arial"/>
          <w:b w:val="false"/>
          <w:bCs w:val="false"/>
          <w:i w:val="false"/>
          <w:iCs w:val="false"/>
          <w:color w:val="111111"/>
          <w:sz w:val="22"/>
          <w:szCs w:val="22"/>
        </w:rPr>
        <w:t xml:space="preserve">The standard research protocol is 300mcg per day subcutaneous in a fasted state, typically thirty minutes before food or exercise. Cycle length is typically 8 to 12 weeks on, followed by a four-week rest period. The 300mcg dose is below the 1mg/day used in the efficacy trials, meaning the effect size at standard protocol doses may be more modest than the trial results suggest. Most investigational protocol reports note measurable body composition changes at 4 to 6 weeks on a consistent daily protocol. AOD-9604 is not a rapid intervention — its effect is gradual and appears most pronounced when combined with a mild caloric deficit and regular exercise, as the free fatty acids liberated by lipolysis need to be oxidized rather than re-stored.</w:t>
      </w:r>
    </w:p>
    <w:p>
      <w:pPr>
        <w:spacing w:after="80" w:before="240"/>
      </w:pPr>
      <w:r>
        <w:rPr>
          <w:rFonts w:ascii="Arial" w:cs="Arial" w:eastAsia="Arial" w:hAnsi="Arial"/>
          <w:b/>
          <w:bCs/>
          <w:i w:val="false"/>
          <w:iCs w:val="false"/>
          <w:color w:val="2C5F8A"/>
          <w:sz w:val="24"/>
          <w:szCs w:val="24"/>
        </w:rPr>
        <w:t xml:space="preserve">Who it is for and stacking</w:t>
      </w:r>
    </w:p>
    <w:p>
      <w:pPr>
        <w:spacing w:after="80" w:before="80"/>
        <w:jc w:val="left"/>
      </w:pPr>
      <w:r>
        <w:rPr>
          <w:rFonts w:ascii="Arial" w:cs="Arial" w:eastAsia="Arial" w:hAnsi="Arial"/>
          <w:b w:val="false"/>
          <w:bCs w:val="false"/>
          <w:i w:val="false"/>
          <w:iCs w:val="false"/>
          <w:color w:val="111111"/>
          <w:sz w:val="22"/>
          <w:szCs w:val="22"/>
        </w:rPr>
        <w:t xml:space="preserve">Best candidates: patients with stubborn localized fat deposits that have not responded to diet and exercise, patients who cannot tolerate GLP-1 medications, active patients with reasonable baseline metabolic health who want a targeted lipolytic complement to training and nutrition, and patients already on a peptide protocol who want to add a fat-targeting element. Not appropriate as a standalone weight loss strategy for significant obesity or active metabolic syndrome. The most commonly referenced research stack is AOD-9604 with CJC-1295/ipamorelin, creating a context where lipolysis and GH-stimulated protein synthesis are occurring simultaneously — theoretically allowing fat loss and lean mass preservation in parallel. AOD-9604 with GHK-Cu is used when skin quality or tissue repair is also a goal alongside fat reduction.</w:t>
      </w:r>
    </w:p>
    <w:p>
      <w:pPr>
        <w:pBdr>
          <w:bottom w:val="single" w:color="AABDD1" w:sz="4" w:space="4"/>
        </w:pBdr>
        <w:spacing w:after="120" w:before="360"/>
      </w:pPr>
      <w:r>
        <w:rPr>
          <w:rFonts w:ascii="Arial" w:cs="Arial" w:eastAsia="Arial" w:hAnsi="Arial"/>
          <w:b/>
          <w:bCs/>
          <w:i w:val="false"/>
          <w:iCs w:val="false"/>
          <w:color w:val="1A3C5E"/>
          <w:sz w:val="28"/>
          <w:szCs w:val="28"/>
        </w:rPr>
        <w:t xml:space="preserve">Comparison Across All Three</w:t>
      </w:r>
    </w:p>
    <w:p>
      <w:pPr>
        <w:spacing w:after="0" w:before="12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0"/>
        <w:gridCol w:w="2100"/>
        <w:gridCol w:w="2100"/>
        <w:gridCol w:w="21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Tesamorelin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CJC-1295 / Ipamorelin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AOD-9604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Mechanism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GHRH analog → pulsatile GH → IGF-1 → visceral fat lipolysis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Dual GH stimulation (GHRH + ghrelin receptors) → GH 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Beta-3 adrenergic receptor activation → direct lipolysis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Primary goal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Visceral fat reduction, cognitive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Body recomposition, sleep, recovery, lean mass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Targeted fat loss without IGF-1 burden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FDA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Approved (Egrifta) for HIV lipodystrophy; off-label for general 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Not approved; investigational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Not approved; GRAS food ingredient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Evidence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Strongest — pivotal RCTs, NEJM and JAMA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Moderate — mechanism well-supported, limited large RCTs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Moderate — 6 Phase I/II trials, pivotal trial inconclusive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IGF-1 effect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elevated IGF-1 is part of the mechanism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elevated IGF-1 is part of the mechanism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 — bypasses IGF-1 pathway entirely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Supervision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prescription, baseline labs, ongoing 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provider-guided dosing and 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investigational; provider oversight essential</w:t>
            </w:r>
          </w:p>
        </w:tc>
      </w:tr>
    </w:tbl>
    <w:p>
      <w:pPr>
        <w:spacing w:after="0" w:before="120"/>
      </w:pPr>
      <w:r>
        <w:t xml:space="preserve"/>
      </w:r>
    </w:p>
    <w:p>
      <w:pPr>
        <w:pBdr>
          <w:bottom w:val="single" w:color="AABDD1" w:sz="4" w:space="4"/>
        </w:pBdr>
        <w:spacing w:after="120" w:before="360"/>
      </w:pPr>
      <w:r>
        <w:rPr>
          <w:rFonts w:ascii="Arial" w:cs="Arial" w:eastAsia="Arial" w:hAnsi="Arial"/>
          <w:b/>
          <w:bCs/>
          <w:i w:val="false"/>
          <w:iCs w:val="false"/>
          <w:color w:val="1A3C5E"/>
          <w:sz w:val="28"/>
          <w:szCs w:val="28"/>
        </w:rPr>
        <w:t xml:space="preserve">The Cleanmaxxing Position on These Three</w:t>
      </w:r>
    </w:p>
    <w:p>
      <w:pPr>
        <w:spacing w:after="80" w:before="80"/>
        <w:jc w:val="left"/>
      </w:pPr>
      <w:r>
        <w:rPr>
          <w:rFonts w:ascii="Arial" w:cs="Arial" w:eastAsia="Arial" w:hAnsi="Arial"/>
          <w:b w:val="false"/>
          <w:bCs w:val="false"/>
          <w:i w:val="false"/>
          <w:iCs w:val="false"/>
          <w:color w:val="111111"/>
          <w:sz w:val="22"/>
          <w:szCs w:val="22"/>
        </w:rPr>
        <w:t xml:space="preserve">All three compounds sit in the pharmacological and advanced tier of the system — high commitment, real risk, and meaningful benefit when used correctly. The distinction between them matters practically. Tesamorelin has the strongest evidence base and the only FDA approval in this category, making it the most defensible choice for visceral fat reduction when medical oversight is in place. CJC-1295/ipamorelin is the most broadly applicable GH-stimulating stack for general body recomposition, sleep quality, and recovery when the fundamentals are already solid. AOD-9604 is the most targeted fat-loss tool with the cleanest safety profile at the molecular level, but its efficacy evidence is thinner and it is not a substitute for the foundation work that actually moves the needle.</w:t>
      </w:r>
    </w:p>
    <w:p>
      <w:pPr>
        <w:spacing w:after="80" w:before="80"/>
        <w:jc w:val="left"/>
      </w:pPr>
      <w:r>
        <w:rPr>
          <w:rFonts w:ascii="Arial" w:cs="Arial" w:eastAsia="Arial" w:hAnsi="Arial"/>
          <w:b w:val="false"/>
          <w:bCs w:val="false"/>
          <w:i w:val="false"/>
          <w:iCs w:val="false"/>
          <w:color w:val="111111"/>
          <w:sz w:val="22"/>
          <w:szCs w:val="22"/>
        </w:rPr>
        <w:t xml:space="preserve">None of these replace body composition fundamentals. The men who report the best outcomes from peptide protocols are without exception those who had their training, nutrition, and sleep already dialed in before adding pharmacological support. Peptides amplify a working system. They do not rescue a broken one.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Tesamorelin, CJC-1295/ipamorelin, and AOD-9604 are the three compounds most worth understanding for body composition goals in the looksmaxxing context. Each has a distinct mechanism, a different evidence base, and a different patient profile. Supervision, baseline labs, and honest expectations are non-negotiable across all three. The foundation comes first.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Peptide Deep Dive: Tesamorelin, CJC-1295/Ipamorelin, and AOD-9604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2026-04-08T13:33:12.990Z</dcterms:created>
  <dcterms:modified xsi:type="dcterms:W3CDTF">2026-04-08T13:33:12.990Z</dcterms:modified>
</cp:coreProperties>
</file>

<file path=docProps/custom.xml><?xml version="1.0" encoding="utf-8"?>
<Properties xmlns="http://schemas.openxmlformats.org/officeDocument/2006/custom-properties" xmlns:vt="http://schemas.openxmlformats.org/officeDocument/2006/docPropsVTypes"/>
</file>