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trat-dabonnement-psm2s"/>
    <w:p>
      <w:pPr>
        <w:pStyle w:val="Heading1"/>
      </w:pPr>
      <w:r>
        <w:t xml:space="preserve">CONTRAT D’ABONNEMENT PSM2S</w:t>
      </w:r>
    </w:p>
    <w:bookmarkStart w:id="22" w:name="entre-les-soussignés"/>
    <w:p>
      <w:pPr>
        <w:pStyle w:val="Heading2"/>
      </w:pPr>
      <w:r>
        <w:t xml:space="preserve">Entre les soussignés</w:t>
      </w:r>
    </w:p>
    <w:bookmarkStart w:id="20" w:name="le-fournisseur"/>
    <w:p>
      <w:pPr>
        <w:pStyle w:val="Heading3"/>
      </w:pPr>
      <w:r>
        <w:t xml:space="preserve">Le Fournisseur</w:t>
      </w:r>
    </w:p>
    <w:p>
      <w:pPr>
        <w:pStyle w:val="FirstParagraph"/>
      </w:pPr>
      <w:r>
        <w:t xml:space="preserve">PBCI Conseils</w:t>
      </w:r>
    </w:p>
    <w:p>
      <w:pPr>
        <w:pStyle w:val="BodyText"/>
      </w:pPr>
      <w:r>
        <w:t xml:space="preserve">(ci-après dénommé « le Fournisseur »)</w:t>
      </w:r>
    </w:p>
    <w:p>
      <w:pPr>
        <w:pStyle w:val="BodyText"/>
      </w:pPr>
      <w:r>
        <w:t xml:space="preserve">D’une part,</w:t>
      </w:r>
    </w:p>
    <w:bookmarkEnd w:id="20"/>
    <w:bookmarkStart w:id="21" w:name="le-client"/>
    <w:p>
      <w:pPr>
        <w:pStyle w:val="Heading3"/>
      </w:pPr>
      <w:r>
        <w:t xml:space="preserve">Le Client</w:t>
      </w:r>
    </w:p>
    <w:p>
      <w:pPr>
        <w:pStyle w:val="FirstParagraph"/>
      </w:pPr>
      <w:r>
        <w:t xml:space="preserve">[Nom de l’organisme]</w:t>
      </w:r>
    </w:p>
    <w:p>
      <w:pPr>
        <w:pStyle w:val="BodyText"/>
      </w:pPr>
      <w:r>
        <w:t xml:space="preserve">[Adresse]</w:t>
      </w:r>
    </w:p>
    <w:p>
      <w:pPr>
        <w:pStyle w:val="BodyText"/>
      </w:pPr>
      <w:r>
        <w:t xml:space="preserve">[Représenté par]</w:t>
      </w:r>
    </w:p>
    <w:p>
      <w:pPr>
        <w:pStyle w:val="BodyText"/>
      </w:pPr>
      <w:r>
        <w:t xml:space="preserve">(ci-après dénommé « le Client »)</w:t>
      </w:r>
    </w:p>
    <w:p>
      <w:pPr>
        <w:pStyle w:val="BodyText"/>
      </w:pPr>
      <w:r>
        <w:t xml:space="preserve">D’autre part,</w:t>
      </w:r>
    </w:p>
    <w:p>
      <w:pPr>
        <w:pStyle w:val="BodyText"/>
      </w:pPr>
      <w:r>
        <w:t xml:space="preserve">Il a été convenu ce qui suit :</w:t>
      </w:r>
    </w:p>
    <w:bookmarkEnd w:id="21"/>
    <w:bookmarkEnd w:id="22"/>
    <w:bookmarkEnd w:id="23"/>
    <w:bookmarkStart w:id="24" w:name="article-1-objet"/>
    <w:p>
      <w:pPr>
        <w:pStyle w:val="Heading1"/>
      </w:pPr>
      <w:r>
        <w:t xml:space="preserve">Article 1 – Objet</w:t>
      </w:r>
    </w:p>
    <w:p>
      <w:pPr>
        <w:pStyle w:val="FirstParagraph"/>
      </w:pPr>
      <w:r>
        <w:t xml:space="preserve">Le présent contrat a pour objet la mise à disposition de la plateforme logicielle PSM2S, solution SaaS dédiée à la gestion de la sécurité, de la maintenance et de la conformité réglementaire des établissements recevant du public (ERP), notamment dans le secteur médico-social.</w:t>
      </w:r>
    </w:p>
    <w:p>
      <w:pPr>
        <w:pStyle w:val="BodyText"/>
      </w:pPr>
      <w:r>
        <w:t xml:space="preserve">La solution comprend notamment :</w:t>
      </w:r>
    </w:p>
    <w:p>
      <w:pPr>
        <w:pStyle w:val="Compact"/>
        <w:numPr>
          <w:ilvl w:val="0"/>
          <w:numId w:val="1001"/>
        </w:numPr>
      </w:pPr>
      <w:r>
        <w:t xml:space="preserve">le registre de sécurité numérique ;</w:t>
      </w:r>
    </w:p>
    <w:p>
      <w:pPr>
        <w:pStyle w:val="Compact"/>
        <w:numPr>
          <w:ilvl w:val="0"/>
          <w:numId w:val="1001"/>
        </w:numPr>
      </w:pPr>
      <w:r>
        <w:t xml:space="preserve">le suivi des contrôles réglementaires ;</w:t>
      </w:r>
    </w:p>
    <w:p>
      <w:pPr>
        <w:pStyle w:val="Compact"/>
        <w:numPr>
          <w:ilvl w:val="0"/>
          <w:numId w:val="1001"/>
        </w:numPr>
      </w:pPr>
      <w:r>
        <w:t xml:space="preserve">la gestion des interventions et de la maintenance ;</w:t>
      </w:r>
    </w:p>
    <w:p>
      <w:pPr>
        <w:pStyle w:val="Compact"/>
        <w:numPr>
          <w:ilvl w:val="0"/>
          <w:numId w:val="1001"/>
        </w:numPr>
      </w:pPr>
      <w:r>
        <w:t xml:space="preserve">la gestion documentaire associée ;</w:t>
      </w:r>
    </w:p>
    <w:p>
      <w:pPr>
        <w:pStyle w:val="Compact"/>
        <w:numPr>
          <w:ilvl w:val="0"/>
          <w:numId w:val="1001"/>
        </w:numPr>
      </w:pPr>
      <w:r>
        <w:t xml:space="preserve">les tableaux de bord de pilotage.</w:t>
      </w:r>
    </w:p>
    <w:bookmarkEnd w:id="24"/>
    <w:bookmarkStart w:id="25" w:name="article-2-périmètre"/>
    <w:p>
      <w:pPr>
        <w:pStyle w:val="Heading1"/>
      </w:pPr>
      <w:r>
        <w:t xml:space="preserve">Article 2 – Périmètre</w:t>
      </w:r>
    </w:p>
    <w:p>
      <w:pPr>
        <w:pStyle w:val="FirstParagraph"/>
      </w:pPr>
      <w:r>
        <w:t xml:space="preserve">Le présent contrat couvre :</w:t>
      </w:r>
    </w:p>
    <w:p>
      <w:pPr>
        <w:pStyle w:val="BodyText"/>
      </w:pPr>
      <w:r>
        <w:t xml:space="preserve">Nombre d’établissements : ______</w:t>
      </w:r>
    </w:p>
    <w:p>
      <w:pPr>
        <w:pStyle w:val="BodyText"/>
      </w:pPr>
      <w:r>
        <w:t xml:space="preserve">Nombre de registres de sécurité : ______</w:t>
      </w:r>
    </w:p>
    <w:p>
      <w:pPr>
        <w:pStyle w:val="BodyText"/>
      </w:pPr>
      <w:r>
        <w:t xml:space="preserve">Les établissements concernés sont listés en annexe ou sur le bon de commande associé.</w:t>
      </w:r>
    </w:p>
    <w:bookmarkEnd w:id="25"/>
    <w:bookmarkStart w:id="26" w:name="article-3-accès-au-service"/>
    <w:p>
      <w:pPr>
        <w:pStyle w:val="Heading1"/>
      </w:pPr>
      <w:r>
        <w:t xml:space="preserve">Article 3 – Accès au service</w:t>
      </w:r>
    </w:p>
    <w:p>
      <w:pPr>
        <w:pStyle w:val="FirstParagraph"/>
      </w:pPr>
      <w:r>
        <w:t xml:space="preserve">Le Fournisseur met à disposition du Client un accès à la plateforme PSM2S via Internet.</w:t>
      </w:r>
    </w:p>
    <w:p>
      <w:pPr>
        <w:pStyle w:val="BodyText"/>
      </w:pPr>
      <w:r>
        <w:t xml:space="preserve">Les comptes utilisateurs sont illimités.</w:t>
      </w:r>
    </w:p>
    <w:p>
      <w:pPr>
        <w:pStyle w:val="BodyText"/>
      </w:pPr>
      <w:r>
        <w:t xml:space="preserve">Le Client est responsable de l’administration des comptes utilisateurs au sein de son organisation.</w:t>
      </w:r>
    </w:p>
    <w:bookmarkEnd w:id="26"/>
    <w:bookmarkStart w:id="27" w:name="article-4-hébergement-et-sauvegardes"/>
    <w:p>
      <w:pPr>
        <w:pStyle w:val="Heading1"/>
      </w:pPr>
      <w:r>
        <w:t xml:space="preserve">Article 4 – Hébergement et sauvegardes</w:t>
      </w:r>
    </w:p>
    <w:p>
      <w:pPr>
        <w:pStyle w:val="FirstParagraph"/>
      </w:pPr>
      <w:r>
        <w:t xml:space="preserve">La plateforme est hébergée en France auprès d’un prestataire d’hébergement professionnel.</w:t>
      </w:r>
    </w:p>
    <w:p>
      <w:pPr>
        <w:pStyle w:val="BodyText"/>
      </w:pPr>
      <w:r>
        <w:t xml:space="preserve">Le Fournisseur met en œuvre des sauvegardes automatiques quotidiennes.</w:t>
      </w:r>
    </w:p>
    <w:p>
      <w:pPr>
        <w:pStyle w:val="BodyText"/>
      </w:pPr>
      <w:r>
        <w:t xml:space="preserve">Les sauvegardes sont conservées sur une période glissante de sept (7) jours.</w:t>
      </w:r>
    </w:p>
    <w:bookmarkEnd w:id="27"/>
    <w:bookmarkStart w:id="28" w:name="article-5-support"/>
    <w:p>
      <w:pPr>
        <w:pStyle w:val="Heading1"/>
      </w:pPr>
      <w:r>
        <w:t xml:space="preserve">Article 5 – Support</w:t>
      </w:r>
    </w:p>
    <w:p>
      <w:pPr>
        <w:pStyle w:val="FirstParagraph"/>
      </w:pPr>
      <w:r>
        <w:t xml:space="preserve">Le support est assuré exclusivement par courrier électronique.</w:t>
      </w:r>
    </w:p>
    <w:p>
      <w:pPr>
        <w:pStyle w:val="BodyText"/>
      </w:pPr>
      <w:r>
        <w:t xml:space="preserve">Les demandes de support sont traitées dans les meilleurs délais pendant les jours ouvrés.</w:t>
      </w:r>
    </w:p>
    <w:p>
      <w:pPr>
        <w:pStyle w:val="BodyText"/>
      </w:pPr>
      <w:r>
        <w:t xml:space="preserve">Le support couvre :</w:t>
      </w:r>
    </w:p>
    <w:p>
      <w:pPr>
        <w:pStyle w:val="Compact"/>
        <w:numPr>
          <w:ilvl w:val="0"/>
          <w:numId w:val="1002"/>
        </w:numPr>
      </w:pPr>
      <w:r>
        <w:t xml:space="preserve">l’assistance à l’utilisation ;</w:t>
      </w:r>
    </w:p>
    <w:p>
      <w:pPr>
        <w:pStyle w:val="Compact"/>
        <w:numPr>
          <w:ilvl w:val="0"/>
          <w:numId w:val="1002"/>
        </w:numPr>
      </w:pPr>
      <w:r>
        <w:t xml:space="preserve">le signalement d’anomalies ;</w:t>
      </w:r>
    </w:p>
    <w:p>
      <w:pPr>
        <w:pStyle w:val="Compact"/>
        <w:numPr>
          <w:ilvl w:val="0"/>
          <w:numId w:val="1002"/>
        </w:numPr>
      </w:pPr>
      <w:r>
        <w:t xml:space="preserve">les demandes liées à l’accès à la plateforme.</w:t>
      </w:r>
    </w:p>
    <w:bookmarkEnd w:id="28"/>
    <w:bookmarkStart w:id="29" w:name="article-6-maintenance"/>
    <w:p>
      <w:pPr>
        <w:pStyle w:val="Heading1"/>
      </w:pPr>
      <w:r>
        <w:t xml:space="preserve">Article 6 – Maintenance</w:t>
      </w:r>
    </w:p>
    <w:p>
      <w:pPr>
        <w:pStyle w:val="FirstParagraph"/>
      </w:pPr>
      <w:r>
        <w:t xml:space="preserve">Le Fournisseur assure la maintenance corrective et évolutive de la plateforme.</w:t>
      </w:r>
    </w:p>
    <w:p>
      <w:pPr>
        <w:pStyle w:val="BodyText"/>
      </w:pPr>
      <w:r>
        <w:t xml:space="preserve">Les mises à jour nécessaires au bon fonctionnement du service sont incluses dans l’abonnement.</w:t>
      </w:r>
    </w:p>
    <w:p>
      <w:pPr>
        <w:pStyle w:val="BodyText"/>
      </w:pPr>
      <w:r>
        <w:t xml:space="preserve">Le Fournisseur met en œuvre tous les moyens raisonnables pour assurer la disponibilité du service.</w:t>
      </w:r>
    </w:p>
    <w:bookmarkEnd w:id="29"/>
    <w:bookmarkStart w:id="30" w:name="article-7-conditions-financières"/>
    <w:p>
      <w:pPr>
        <w:pStyle w:val="Heading1"/>
      </w:pPr>
      <w:r>
        <w:t xml:space="preserve">Article 7 – Conditions financières</w:t>
      </w:r>
    </w:p>
    <w:p>
      <w:pPr>
        <w:pStyle w:val="FirstParagraph"/>
      </w:pPr>
      <w:r>
        <w:t xml:space="preserve">Le Client s’engage à régler :</w:t>
      </w:r>
    </w:p>
    <w:p>
      <w:pPr>
        <w:pStyle w:val="Compact"/>
        <w:numPr>
          <w:ilvl w:val="0"/>
          <w:numId w:val="1003"/>
        </w:numPr>
      </w:pPr>
      <w:r>
        <w:t xml:space="preserve">la redevance mensuelle d’abonnement ;</w:t>
      </w:r>
    </w:p>
    <w:p>
      <w:pPr>
        <w:pStyle w:val="Compact"/>
        <w:numPr>
          <w:ilvl w:val="0"/>
          <w:numId w:val="1003"/>
        </w:numPr>
      </w:pPr>
      <w:r>
        <w:t xml:space="preserve">les frais liés aux registres de sécurité ;</w:t>
      </w:r>
    </w:p>
    <w:p>
      <w:pPr>
        <w:pStyle w:val="Compact"/>
        <w:numPr>
          <w:ilvl w:val="0"/>
          <w:numId w:val="1003"/>
        </w:numPr>
      </w:pPr>
      <w:r>
        <w:t xml:space="preserve">le contrat annuel de maintenance selon les conditions figurant au bon de commande.</w:t>
      </w:r>
    </w:p>
    <w:p>
      <w:pPr>
        <w:pStyle w:val="FirstParagraph"/>
      </w:pPr>
      <w:r>
        <w:t xml:space="preserve">Les montants applicables sont ceux mentionnés dans le devis ou le bon de commande signé par le Client.</w:t>
      </w:r>
    </w:p>
    <w:bookmarkEnd w:id="30"/>
    <w:bookmarkStart w:id="31" w:name="article-8-modalités-de-paiement"/>
    <w:p>
      <w:pPr>
        <w:pStyle w:val="Heading1"/>
      </w:pPr>
      <w:r>
        <w:t xml:space="preserve">Article 8 – Modalités de paiement</w:t>
      </w:r>
    </w:p>
    <w:p>
      <w:pPr>
        <w:pStyle w:val="FirstParagraph"/>
      </w:pPr>
      <w:r>
        <w:t xml:space="preserve">Les sommes dues sont prélevées automatiquement selon la périodicité prévue au bon de commande.</w:t>
      </w:r>
    </w:p>
    <w:p>
      <w:pPr>
        <w:pStyle w:val="BodyText"/>
      </w:pPr>
      <w:r>
        <w:t xml:space="preserve">Tout rejet ou incident de paiement pourra entraîner la suspension de l’accès au service après mise en demeure restée sans effet.</w:t>
      </w:r>
    </w:p>
    <w:bookmarkEnd w:id="31"/>
    <w:bookmarkStart w:id="32" w:name="article-9-durée"/>
    <w:p>
      <w:pPr>
        <w:pStyle w:val="Heading1"/>
      </w:pPr>
      <w:r>
        <w:t xml:space="preserve">Article 9 – Durée</w:t>
      </w:r>
    </w:p>
    <w:p>
      <w:pPr>
        <w:pStyle w:val="FirstParagraph"/>
      </w:pPr>
      <w:r>
        <w:t xml:space="preserve">Le présent contrat est conclu pour une durée ferme de :</w:t>
      </w:r>
    </w:p>
    <w:p>
      <w:pPr>
        <w:pStyle w:val="BodyText"/>
      </w:pPr>
      <w:r>
        <w:t xml:space="preserve">□ 2 ans</w:t>
      </w:r>
    </w:p>
    <w:p>
      <w:pPr>
        <w:pStyle w:val="BodyText"/>
      </w:pPr>
      <w:r>
        <w:t xml:space="preserve">□ 3 ans</w:t>
      </w:r>
    </w:p>
    <w:p>
      <w:pPr>
        <w:pStyle w:val="BodyText"/>
      </w:pPr>
      <w:r>
        <w:t xml:space="preserve">□ 4 ans</w:t>
      </w:r>
    </w:p>
    <w:p>
      <w:pPr>
        <w:pStyle w:val="BodyText"/>
      </w:pPr>
      <w:r>
        <w:t xml:space="preserve">à compter de sa date de signature.</w:t>
      </w:r>
    </w:p>
    <w:bookmarkEnd w:id="32"/>
    <w:bookmarkStart w:id="33" w:name="article-10-renouvellement"/>
    <w:p>
      <w:pPr>
        <w:pStyle w:val="Heading1"/>
      </w:pPr>
      <w:r>
        <w:t xml:space="preserve">Article 10 – Renouvellement</w:t>
      </w:r>
    </w:p>
    <w:p>
      <w:pPr>
        <w:pStyle w:val="FirstParagraph"/>
      </w:pPr>
      <w:r>
        <w:t xml:space="preserve">À l’échéance du contrat, les parties pourront conclure un avenant ou un nouveau contrat.</w:t>
      </w:r>
    </w:p>
    <w:p>
      <w:pPr>
        <w:pStyle w:val="BodyText"/>
      </w:pPr>
      <w:r>
        <w:t xml:space="preserve">Le présent contrat ne fait pas l’objet d’une reconduction tacite.</w:t>
      </w:r>
    </w:p>
    <w:bookmarkEnd w:id="33"/>
    <w:bookmarkStart w:id="34" w:name="article-11-résiliation-anticipée"/>
    <w:p>
      <w:pPr>
        <w:pStyle w:val="Heading1"/>
      </w:pPr>
      <w:r>
        <w:t xml:space="preserve">Article 11 – Résiliation anticipée</w:t>
      </w:r>
    </w:p>
    <w:p>
      <w:pPr>
        <w:pStyle w:val="FirstParagraph"/>
      </w:pPr>
      <w:r>
        <w:t xml:space="preserve">En cas de résiliation anticipée à l’initiative du Client, pour un motif autre qu’un manquement grave du Fournisseur, l’ensemble des sommes restant dues jusqu’au terme du contrat deviennent immédiatement exigibles.</w:t>
      </w:r>
    </w:p>
    <w:bookmarkEnd w:id="34"/>
    <w:bookmarkStart w:id="35" w:name="article-12-restitution-des-données"/>
    <w:p>
      <w:pPr>
        <w:pStyle w:val="Heading1"/>
      </w:pPr>
      <w:r>
        <w:t xml:space="preserve">Article 12 – Restitution des données</w:t>
      </w:r>
    </w:p>
    <w:p>
      <w:pPr>
        <w:pStyle w:val="FirstParagraph"/>
      </w:pPr>
      <w:r>
        <w:t xml:space="preserve">À l’expiration du contrat, le Client peut demander l’export de ses données.</w:t>
      </w:r>
    </w:p>
    <w:p>
      <w:pPr>
        <w:pStyle w:val="BodyText"/>
      </w:pPr>
      <w:r>
        <w:t xml:space="preserve">Les exports pourront être fournis dans les formats suivants :</w:t>
      </w:r>
    </w:p>
    <w:p>
      <w:pPr>
        <w:pStyle w:val="Compact"/>
        <w:numPr>
          <w:ilvl w:val="0"/>
          <w:numId w:val="1004"/>
        </w:numPr>
      </w:pPr>
      <w:r>
        <w:t xml:space="preserve">PDF ;</w:t>
      </w:r>
    </w:p>
    <w:p>
      <w:pPr>
        <w:pStyle w:val="Compact"/>
        <w:numPr>
          <w:ilvl w:val="0"/>
          <w:numId w:val="1004"/>
        </w:numPr>
      </w:pPr>
      <w:r>
        <w:t xml:space="preserve">XLS ;</w:t>
      </w:r>
    </w:p>
    <w:p>
      <w:pPr>
        <w:pStyle w:val="Compact"/>
        <w:numPr>
          <w:ilvl w:val="0"/>
          <w:numId w:val="1004"/>
        </w:numPr>
      </w:pPr>
      <w:r>
        <w:t xml:space="preserve">CSV.</w:t>
      </w:r>
    </w:p>
    <w:p>
      <w:pPr>
        <w:pStyle w:val="FirstParagraph"/>
      </w:pPr>
      <w:r>
        <w:t xml:space="preserve">La demande devra être formulée dans un délai maximum de trente (30) jours suivant la fin du contrat.</w:t>
      </w:r>
    </w:p>
    <w:bookmarkEnd w:id="35"/>
    <w:bookmarkStart w:id="36" w:name="article-13-confidentialité"/>
    <w:p>
      <w:pPr>
        <w:pStyle w:val="Heading1"/>
      </w:pPr>
      <w:r>
        <w:t xml:space="preserve">Article 13 – Confidentialité</w:t>
      </w:r>
    </w:p>
    <w:p>
      <w:pPr>
        <w:pStyle w:val="FirstParagraph"/>
      </w:pPr>
      <w:r>
        <w:t xml:space="preserve">Chaque partie s’engage à préserver la confidentialité des informations techniques, commerciales ou organisationnelles obtenues dans le cadre de l’exécution du présent contrat.</w:t>
      </w:r>
    </w:p>
    <w:bookmarkEnd w:id="36"/>
    <w:bookmarkStart w:id="37" w:name="article-14-propriété-intellectuelle"/>
    <w:p>
      <w:pPr>
        <w:pStyle w:val="Heading1"/>
      </w:pPr>
      <w:r>
        <w:t xml:space="preserve">Article 14 – Propriété intellectuelle</w:t>
      </w:r>
    </w:p>
    <w:p>
      <w:pPr>
        <w:pStyle w:val="FirstParagraph"/>
      </w:pPr>
      <w:r>
        <w:t xml:space="preserve">PSM2S demeure la propriété exclusive de PBCI Conseils.</w:t>
      </w:r>
    </w:p>
    <w:p>
      <w:pPr>
        <w:pStyle w:val="BodyText"/>
      </w:pPr>
      <w:r>
        <w:t xml:space="preserve">Le présent contrat ne confère au Client qu’un droit d’utilisation non exclusif et non transférable pendant la durée du contrat.</w:t>
      </w:r>
    </w:p>
    <w:bookmarkEnd w:id="37"/>
    <w:bookmarkStart w:id="38" w:name="article-15-droit-applicable"/>
    <w:p>
      <w:pPr>
        <w:pStyle w:val="Heading1"/>
      </w:pPr>
      <w:r>
        <w:t xml:space="preserve">Article 15 – Droit applicable</w:t>
      </w:r>
    </w:p>
    <w:p>
      <w:pPr>
        <w:pStyle w:val="FirstParagraph"/>
      </w:pPr>
      <w:r>
        <w:t xml:space="preserve">Le présent contrat est soumis au droit français.</w:t>
      </w:r>
    </w:p>
    <w:p>
      <w:pPr>
        <w:pStyle w:val="BodyText"/>
      </w:pPr>
      <w:r>
        <w:t xml:space="preserve">Tout différend relatif à son interprétation ou à son exécution relèvera de la compétence des juridictions françaises.</w:t>
      </w:r>
    </w:p>
    <w:p>
      <w:pPr>
        <w:pStyle w:val="BodyText"/>
      </w:pPr>
      <w:r>
        <w:t xml:space="preserve">Fait à : __________________</w:t>
      </w:r>
    </w:p>
    <w:p>
      <w:pPr>
        <w:pStyle w:val="BodyText"/>
      </w:pPr>
      <w:r>
        <w:t xml:space="preserve">Le : __________________</w:t>
      </w:r>
    </w:p>
    <w:p>
      <w:pPr>
        <w:pStyle w:val="BodyText"/>
      </w:pPr>
      <w:r>
        <w:t xml:space="preserve">Pour le Client</w:t>
      </w:r>
    </w:p>
    <w:p>
      <w:pPr>
        <w:pStyle w:val="BodyText"/>
      </w:pPr>
      <w:r>
        <w:t xml:space="preserve">Nom :</w:t>
      </w:r>
      <w:r>
        <w:t xml:space="preserve"> </w:t>
      </w:r>
      <w:r>
        <w:t xml:space="preserve">Fonction :</w:t>
      </w:r>
      <w:r>
        <w:t xml:space="preserve"> </w:t>
      </w:r>
      <w:r>
        <w:t xml:space="preserve">Signature :</w:t>
      </w:r>
    </w:p>
    <w:p>
      <w:pPr>
        <w:pStyle w:val="BodyText"/>
      </w:pPr>
      <w:r>
        <w:t xml:space="preserve">Pour PBCI Conseils</w:t>
      </w:r>
    </w:p>
    <w:p>
      <w:pPr>
        <w:pStyle w:val="BodyText"/>
      </w:pPr>
      <w:r>
        <w:t xml:space="preserve">Nom :</w:t>
      </w:r>
      <w:r>
        <w:t xml:space="preserve"> </w:t>
      </w:r>
      <w:r>
        <w:t xml:space="preserve">Fonction :</w:t>
      </w:r>
      <w:r>
        <w:t xml:space="preserve"> </w:t>
      </w:r>
      <w:r>
        <w:t xml:space="preserve">Signature :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2026-06-12T08:00:33Z</dcterms:created>
  <dcterms:modified xsi:type="dcterms:W3CDTF">2026-06-12T08:00:33Z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