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nnexe-rgpd"/>
    <w:p>
      <w:pPr>
        <w:pStyle w:val="Heading1"/>
      </w:pPr>
      <w:r>
        <w:t xml:space="preserve">ANNEXE RGPD</w:t>
      </w:r>
    </w:p>
    <w:bookmarkEnd w:id="20"/>
    <w:bookmarkStart w:id="21" w:name="accord-de-sous-traitance-des-données-dpa"/>
    <w:p>
      <w:pPr>
        <w:pStyle w:val="Heading1"/>
      </w:pPr>
      <w:r>
        <w:t xml:space="preserve">ACCORD DE SOUS-TRAITANCE DES DONNÉES (DPA)</w:t>
      </w:r>
    </w:p>
    <w:bookmarkEnd w:id="21"/>
    <w:bookmarkStart w:id="22" w:name="psm2s"/>
    <w:p>
      <w:pPr>
        <w:pStyle w:val="Heading1"/>
      </w:pPr>
      <w:r>
        <w:t xml:space="preserve">PSM2S</w:t>
      </w:r>
    </w:p>
    <w:p>
      <w:pPr>
        <w:pStyle w:val="FirstParagraph"/>
      </w:pPr>
      <w:r>
        <w:t xml:space="preserve">Version 1.0</w:t>
      </w:r>
    </w:p>
    <w:p>
      <w:pPr>
        <w:pStyle w:val="BodyText"/>
      </w:pPr>
      <w:r>
        <w:t xml:space="preserve">Cette annexe fait partie intégrante du Contrat d’Abonnement PSM2S.</w:t>
      </w:r>
    </w:p>
    <w:p>
      <w:r>
        <w:pict>
          <v:rect style="width:0;height:1.5pt" o:hralign="center" o:hrstd="t" o:hr="t"/>
        </w:pict>
      </w:r>
    </w:p>
    <w:bookmarkEnd w:id="22"/>
    <w:bookmarkStart w:id="25" w:name="parties"/>
    <w:p>
      <w:pPr>
        <w:pStyle w:val="Heading1"/>
      </w:pPr>
      <w:r>
        <w:t xml:space="preserve">1. Parties</w:t>
      </w:r>
    </w:p>
    <w:bookmarkStart w:id="23" w:name="responsable-de-traitement"/>
    <w:p>
      <w:pPr>
        <w:pStyle w:val="Heading2"/>
      </w:pPr>
      <w:r>
        <w:t xml:space="preserve">Responsable de traitement</w:t>
      </w:r>
    </w:p>
    <w:p>
      <w:pPr>
        <w:pStyle w:val="FirstParagraph"/>
      </w:pPr>
      <w:r>
        <w:t xml:space="preserve">Le Client est responsable de traitement au sens du Règlement (UE) 2016/679 du 27 avril 2016 (RGPD).</w:t>
      </w:r>
    </w:p>
    <w:p>
      <w:pPr>
        <w:pStyle w:val="BodyText"/>
      </w:pPr>
      <w:r>
        <w:t xml:space="preserve">Il détermine les finalités et les moyens des traitements réalisés au sein de la plateforme PSM2S.</w:t>
      </w:r>
    </w:p>
    <w:bookmarkEnd w:id="23"/>
    <w:bookmarkStart w:id="24" w:name="sous-traitant"/>
    <w:p>
      <w:pPr>
        <w:pStyle w:val="Heading2"/>
      </w:pPr>
      <w:r>
        <w:t xml:space="preserve">Sous-traitant</w:t>
      </w:r>
    </w:p>
    <w:p>
      <w:pPr>
        <w:pStyle w:val="FirstParagraph"/>
      </w:pPr>
      <w:r>
        <w:t xml:space="preserve">PBCI Conseils agit en qualité de sous-traitant pour le compte du Client.</w:t>
      </w:r>
    </w:p>
    <w:p>
      <w:pPr>
        <w:pStyle w:val="BodyText"/>
      </w:pPr>
      <w:r>
        <w:t xml:space="preserve">PBCI Conseils traite les données uniquement sur instruction documentée du Client.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objet-du-traitement"/>
    <w:p>
      <w:pPr>
        <w:pStyle w:val="Heading1"/>
      </w:pPr>
      <w:r>
        <w:t xml:space="preserve">2. Objet du traitement</w:t>
      </w:r>
    </w:p>
    <w:p>
      <w:pPr>
        <w:pStyle w:val="FirstParagraph"/>
      </w:pPr>
      <w:r>
        <w:t xml:space="preserve">Le présent accord encadre les traitements réalisés par PBCI Conseils dans le cadre de l’hébergement et de l’exploitation de la plateforme PSM2S.</w:t>
      </w:r>
    </w:p>
    <w:p>
      <w:r>
        <w:pict>
          <v:rect style="width:0;height:1.5pt" o:hralign="center" o:hrstd="t" o:hr="t"/>
        </w:pict>
      </w:r>
    </w:p>
    <w:bookmarkEnd w:id="26"/>
    <w:bookmarkStart w:id="27" w:name="finalités-du-traitement"/>
    <w:p>
      <w:pPr>
        <w:pStyle w:val="Heading1"/>
      </w:pPr>
      <w:r>
        <w:t xml:space="preserve">3. Finalités du traitement</w:t>
      </w:r>
    </w:p>
    <w:p>
      <w:pPr>
        <w:pStyle w:val="FirstParagraph"/>
      </w:pPr>
      <w:r>
        <w:t xml:space="preserve">Les données sont traitées uniquement pour permettre :</w:t>
      </w:r>
    </w:p>
    <w:p>
      <w:pPr>
        <w:pStyle w:val="Compact"/>
        <w:numPr>
          <w:ilvl w:val="0"/>
          <w:numId w:val="1001"/>
        </w:numPr>
      </w:pPr>
      <w:r>
        <w:t xml:space="preserve">l’accès à la plateforme PSM2S ;</w:t>
      </w:r>
    </w:p>
    <w:p>
      <w:pPr>
        <w:pStyle w:val="Compact"/>
        <w:numPr>
          <w:ilvl w:val="0"/>
          <w:numId w:val="1001"/>
        </w:numPr>
      </w:pPr>
      <w:r>
        <w:t xml:space="preserve">l’authentification des utilisateurs ;</w:t>
      </w:r>
    </w:p>
    <w:p>
      <w:pPr>
        <w:pStyle w:val="Compact"/>
        <w:numPr>
          <w:ilvl w:val="0"/>
          <w:numId w:val="1001"/>
        </w:numPr>
      </w:pPr>
      <w:r>
        <w:t xml:space="preserve">la gestion des établissements ;</w:t>
      </w:r>
    </w:p>
    <w:p>
      <w:pPr>
        <w:pStyle w:val="Compact"/>
        <w:numPr>
          <w:ilvl w:val="0"/>
          <w:numId w:val="1001"/>
        </w:numPr>
      </w:pPr>
      <w:r>
        <w:t xml:space="preserve">la gestion des bâtiments ;</w:t>
      </w:r>
    </w:p>
    <w:p>
      <w:pPr>
        <w:pStyle w:val="Compact"/>
        <w:numPr>
          <w:ilvl w:val="0"/>
          <w:numId w:val="1001"/>
        </w:numPr>
      </w:pPr>
      <w:r>
        <w:t xml:space="preserve">la gestion des registres de sécurité ;</w:t>
      </w:r>
    </w:p>
    <w:p>
      <w:pPr>
        <w:pStyle w:val="Compact"/>
        <w:numPr>
          <w:ilvl w:val="0"/>
          <w:numId w:val="1001"/>
        </w:numPr>
      </w:pPr>
      <w:r>
        <w:t xml:space="preserve">la gestion des contrôles réglementaires ;</w:t>
      </w:r>
    </w:p>
    <w:p>
      <w:pPr>
        <w:pStyle w:val="Compact"/>
        <w:numPr>
          <w:ilvl w:val="0"/>
          <w:numId w:val="1001"/>
        </w:numPr>
      </w:pPr>
      <w:r>
        <w:t xml:space="preserve">la gestion des interventions et opérations de maintenance ;</w:t>
      </w:r>
    </w:p>
    <w:p>
      <w:pPr>
        <w:pStyle w:val="Compact"/>
        <w:numPr>
          <w:ilvl w:val="0"/>
          <w:numId w:val="1001"/>
        </w:numPr>
      </w:pPr>
      <w:r>
        <w:t xml:space="preserve">la production de rapports et tableaux de bord ;</w:t>
      </w:r>
    </w:p>
    <w:p>
      <w:pPr>
        <w:pStyle w:val="Compact"/>
        <w:numPr>
          <w:ilvl w:val="0"/>
          <w:numId w:val="1001"/>
        </w:numPr>
      </w:pPr>
      <w:r>
        <w:t xml:space="preserve">la réalisation des sauvegardes techniques.</w:t>
      </w:r>
    </w:p>
    <w:p>
      <w:r>
        <w:pict>
          <v:rect style="width:0;height:1.5pt" o:hralign="center" o:hrstd="t" o:hr="t"/>
        </w:pict>
      </w:r>
    </w:p>
    <w:bookmarkEnd w:id="27"/>
    <w:bookmarkStart w:id="32" w:name="catégories-de-données-concernées"/>
    <w:p>
      <w:pPr>
        <w:pStyle w:val="Heading1"/>
      </w:pPr>
      <w:r>
        <w:t xml:space="preserve">4. Catégories de données concernées</w:t>
      </w:r>
    </w:p>
    <w:p>
      <w:pPr>
        <w:pStyle w:val="FirstParagraph"/>
      </w:pPr>
      <w:r>
        <w:t xml:space="preserve">Selon l’utilisation de la plateforme, les données suivantes peuvent être traitées :</w:t>
      </w:r>
    </w:p>
    <w:bookmarkStart w:id="28" w:name="données-didentification"/>
    <w:p>
      <w:pPr>
        <w:pStyle w:val="Heading3"/>
      </w:pPr>
      <w:r>
        <w:t xml:space="preserve">Données d’identification</w:t>
      </w:r>
    </w:p>
    <w:p>
      <w:pPr>
        <w:pStyle w:val="Compact"/>
        <w:numPr>
          <w:ilvl w:val="0"/>
          <w:numId w:val="1002"/>
        </w:numPr>
      </w:pPr>
      <w:r>
        <w:t xml:space="preserve">nom ;</w:t>
      </w:r>
    </w:p>
    <w:p>
      <w:pPr>
        <w:pStyle w:val="Compact"/>
        <w:numPr>
          <w:ilvl w:val="0"/>
          <w:numId w:val="1002"/>
        </w:numPr>
      </w:pPr>
      <w:r>
        <w:t xml:space="preserve">prénom ;</w:t>
      </w:r>
    </w:p>
    <w:p>
      <w:pPr>
        <w:pStyle w:val="Compact"/>
        <w:numPr>
          <w:ilvl w:val="0"/>
          <w:numId w:val="1002"/>
        </w:numPr>
      </w:pPr>
      <w:r>
        <w:t xml:space="preserve">adresse électronique professionnelle ;</w:t>
      </w:r>
    </w:p>
    <w:p>
      <w:pPr>
        <w:pStyle w:val="Compact"/>
        <w:numPr>
          <w:ilvl w:val="0"/>
          <w:numId w:val="1002"/>
        </w:numPr>
      </w:pPr>
      <w:r>
        <w:t xml:space="preserve">fonction ;</w:t>
      </w:r>
    </w:p>
    <w:p>
      <w:pPr>
        <w:pStyle w:val="Compact"/>
        <w:numPr>
          <w:ilvl w:val="0"/>
          <w:numId w:val="1002"/>
        </w:numPr>
      </w:pPr>
      <w:r>
        <w:t xml:space="preserve">identifiant utilisateur.</w:t>
      </w:r>
    </w:p>
    <w:bookmarkEnd w:id="28"/>
    <w:bookmarkStart w:id="29" w:name="données-organisationnelles"/>
    <w:p>
      <w:pPr>
        <w:pStyle w:val="Heading3"/>
      </w:pPr>
      <w:r>
        <w:t xml:space="preserve">Données organisationnelles</w:t>
      </w:r>
    </w:p>
    <w:p>
      <w:pPr>
        <w:pStyle w:val="Compact"/>
        <w:numPr>
          <w:ilvl w:val="0"/>
          <w:numId w:val="1003"/>
        </w:numPr>
      </w:pPr>
      <w:r>
        <w:t xml:space="preserve">établissement ;</w:t>
      </w:r>
    </w:p>
    <w:p>
      <w:pPr>
        <w:pStyle w:val="Compact"/>
        <w:numPr>
          <w:ilvl w:val="0"/>
          <w:numId w:val="1003"/>
        </w:numPr>
      </w:pPr>
      <w:r>
        <w:t xml:space="preserve">service ;</w:t>
      </w:r>
    </w:p>
    <w:p>
      <w:pPr>
        <w:pStyle w:val="Compact"/>
        <w:numPr>
          <w:ilvl w:val="0"/>
          <w:numId w:val="1003"/>
        </w:numPr>
      </w:pPr>
      <w:r>
        <w:t xml:space="preserve">coordonnées professionnelles.</w:t>
      </w:r>
    </w:p>
    <w:bookmarkEnd w:id="29"/>
    <w:bookmarkStart w:id="30" w:name="données-techniques"/>
    <w:p>
      <w:pPr>
        <w:pStyle w:val="Heading3"/>
      </w:pPr>
      <w:r>
        <w:t xml:space="preserve">Données techniques</w:t>
      </w:r>
    </w:p>
    <w:p>
      <w:pPr>
        <w:pStyle w:val="Compact"/>
        <w:numPr>
          <w:ilvl w:val="0"/>
          <w:numId w:val="1004"/>
        </w:numPr>
      </w:pPr>
      <w:r>
        <w:t xml:space="preserve">journaux de connexion ;</w:t>
      </w:r>
    </w:p>
    <w:p>
      <w:pPr>
        <w:pStyle w:val="Compact"/>
        <w:numPr>
          <w:ilvl w:val="0"/>
          <w:numId w:val="1004"/>
        </w:numPr>
      </w:pPr>
      <w:r>
        <w:t xml:space="preserve">adresse IP ;</w:t>
      </w:r>
    </w:p>
    <w:p>
      <w:pPr>
        <w:pStyle w:val="Compact"/>
        <w:numPr>
          <w:ilvl w:val="0"/>
          <w:numId w:val="1004"/>
        </w:numPr>
      </w:pPr>
      <w:r>
        <w:t xml:space="preserve">historique des actions réalisées dans l’application.</w:t>
      </w:r>
    </w:p>
    <w:bookmarkEnd w:id="30"/>
    <w:bookmarkStart w:id="31" w:name="données-métier"/>
    <w:p>
      <w:pPr>
        <w:pStyle w:val="Heading3"/>
      </w:pPr>
      <w:r>
        <w:t xml:space="preserve">Données métier</w:t>
      </w:r>
    </w:p>
    <w:p>
      <w:pPr>
        <w:pStyle w:val="Compact"/>
        <w:numPr>
          <w:ilvl w:val="0"/>
          <w:numId w:val="1005"/>
        </w:numPr>
      </w:pPr>
      <w:r>
        <w:t xml:space="preserve">informations relatives aux bâtiments ;</w:t>
      </w:r>
    </w:p>
    <w:p>
      <w:pPr>
        <w:pStyle w:val="Compact"/>
        <w:numPr>
          <w:ilvl w:val="0"/>
          <w:numId w:val="1005"/>
        </w:numPr>
      </w:pPr>
      <w:r>
        <w:t xml:space="preserve">contrôles réglementaires ;</w:t>
      </w:r>
    </w:p>
    <w:p>
      <w:pPr>
        <w:pStyle w:val="Compact"/>
        <w:numPr>
          <w:ilvl w:val="0"/>
          <w:numId w:val="1005"/>
        </w:numPr>
      </w:pPr>
      <w:r>
        <w:t xml:space="preserve">interventions techniques ;</w:t>
      </w:r>
    </w:p>
    <w:p>
      <w:pPr>
        <w:pStyle w:val="Compact"/>
        <w:numPr>
          <w:ilvl w:val="0"/>
          <w:numId w:val="1005"/>
        </w:numPr>
      </w:pPr>
      <w:r>
        <w:t xml:space="preserve">documents associés ;</w:t>
      </w:r>
    </w:p>
    <w:p>
      <w:pPr>
        <w:pStyle w:val="Compact"/>
        <w:numPr>
          <w:ilvl w:val="0"/>
          <w:numId w:val="1005"/>
        </w:numPr>
      </w:pPr>
      <w:r>
        <w:t xml:space="preserve">informations relatives aux prestataires.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atégories-de-personnes-concernées"/>
    <w:p>
      <w:pPr>
        <w:pStyle w:val="Heading1"/>
      </w:pPr>
      <w:r>
        <w:t xml:space="preserve">5. Catégories de personnes concernées</w:t>
      </w:r>
    </w:p>
    <w:p>
      <w:pPr>
        <w:pStyle w:val="FirstParagraph"/>
      </w:pPr>
      <w:r>
        <w:t xml:space="preserve">Les données peuvent concerner :</w:t>
      </w:r>
    </w:p>
    <w:p>
      <w:pPr>
        <w:pStyle w:val="Compact"/>
        <w:numPr>
          <w:ilvl w:val="0"/>
          <w:numId w:val="1006"/>
        </w:numPr>
      </w:pPr>
      <w:r>
        <w:t xml:space="preserve">les utilisateurs de la plateforme ;</w:t>
      </w:r>
    </w:p>
    <w:p>
      <w:pPr>
        <w:pStyle w:val="Compact"/>
        <w:numPr>
          <w:ilvl w:val="0"/>
          <w:numId w:val="1006"/>
        </w:numPr>
      </w:pPr>
      <w:r>
        <w:t xml:space="preserve">les responsables d’établissement ;</w:t>
      </w:r>
    </w:p>
    <w:p>
      <w:pPr>
        <w:pStyle w:val="Compact"/>
        <w:numPr>
          <w:ilvl w:val="0"/>
          <w:numId w:val="1006"/>
        </w:numPr>
      </w:pPr>
      <w:r>
        <w:t xml:space="preserve">les agents techniques ;</w:t>
      </w:r>
    </w:p>
    <w:p>
      <w:pPr>
        <w:pStyle w:val="Compact"/>
        <w:numPr>
          <w:ilvl w:val="0"/>
          <w:numId w:val="1006"/>
        </w:numPr>
      </w:pPr>
      <w:r>
        <w:t xml:space="preserve">les prestataires ;</w:t>
      </w:r>
    </w:p>
    <w:p>
      <w:pPr>
        <w:pStyle w:val="Compact"/>
        <w:numPr>
          <w:ilvl w:val="0"/>
          <w:numId w:val="1006"/>
        </w:numPr>
      </w:pPr>
      <w:r>
        <w:t xml:space="preserve">les intervenants externes ;</w:t>
      </w:r>
    </w:p>
    <w:p>
      <w:pPr>
        <w:pStyle w:val="Compact"/>
        <w:numPr>
          <w:ilvl w:val="0"/>
          <w:numId w:val="1006"/>
        </w:numPr>
      </w:pPr>
      <w:r>
        <w:t xml:space="preserve">les personnels habilités par le Client.</w:t>
      </w:r>
    </w:p>
    <w:p>
      <w:r>
        <w:pict>
          <v:rect style="width:0;height:1.5pt" o:hralign="center" o:hrstd="t" o:hr="t"/>
        </w:pict>
      </w:r>
    </w:p>
    <w:bookmarkEnd w:id="33"/>
    <w:bookmarkStart w:id="34" w:name="données-exclues"/>
    <w:p>
      <w:pPr>
        <w:pStyle w:val="Heading1"/>
      </w:pPr>
      <w:r>
        <w:t xml:space="preserve">6. Données exclues</w:t>
      </w:r>
    </w:p>
    <w:p>
      <w:pPr>
        <w:pStyle w:val="FirstParagraph"/>
      </w:pPr>
      <w:r>
        <w:t xml:space="preserve">La plateforme PSM2S n’est pas destinée à recevoir :</w:t>
      </w:r>
    </w:p>
    <w:p>
      <w:pPr>
        <w:pStyle w:val="Compact"/>
        <w:numPr>
          <w:ilvl w:val="0"/>
          <w:numId w:val="1007"/>
        </w:numPr>
      </w:pPr>
      <w:r>
        <w:t xml:space="preserve">des données de santé ;</w:t>
      </w:r>
    </w:p>
    <w:p>
      <w:pPr>
        <w:pStyle w:val="Compact"/>
        <w:numPr>
          <w:ilvl w:val="0"/>
          <w:numId w:val="1007"/>
        </w:numPr>
      </w:pPr>
      <w:r>
        <w:t xml:space="preserve">des données biométriques ;</w:t>
      </w:r>
    </w:p>
    <w:p>
      <w:pPr>
        <w:pStyle w:val="Compact"/>
        <w:numPr>
          <w:ilvl w:val="0"/>
          <w:numId w:val="1007"/>
        </w:numPr>
      </w:pPr>
      <w:r>
        <w:t xml:space="preserve">des données pénales ;</w:t>
      </w:r>
    </w:p>
    <w:p>
      <w:pPr>
        <w:pStyle w:val="Compact"/>
        <w:numPr>
          <w:ilvl w:val="0"/>
          <w:numId w:val="1007"/>
        </w:numPr>
      </w:pPr>
      <w:r>
        <w:t xml:space="preserve">toute donnée sensible au sens de l’article 9 du RGPD.</w:t>
      </w:r>
    </w:p>
    <w:p>
      <w:pPr>
        <w:pStyle w:val="FirstParagraph"/>
      </w:pPr>
      <w:r>
        <w:t xml:space="preserve">Le Client s’engage à ne pas saisir ce type de données dans la plateforme.</w:t>
      </w:r>
    </w:p>
    <w:p>
      <w:r>
        <w:pict>
          <v:rect style="width:0;height:1.5pt" o:hralign="center" o:hrstd="t" o:hr="t"/>
        </w:pict>
      </w:r>
    </w:p>
    <w:bookmarkEnd w:id="34"/>
    <w:bookmarkStart w:id="35" w:name="localisation-des-données"/>
    <w:p>
      <w:pPr>
        <w:pStyle w:val="Heading1"/>
      </w:pPr>
      <w:r>
        <w:t xml:space="preserve">7. Localisation des données</w:t>
      </w:r>
    </w:p>
    <w:p>
      <w:pPr>
        <w:pStyle w:val="FirstParagraph"/>
      </w:pPr>
      <w:r>
        <w:t xml:space="preserve">Les données sont hébergées exclusivement en France.</w:t>
      </w:r>
    </w:p>
    <w:p>
      <w:pPr>
        <w:pStyle w:val="BodyText"/>
      </w:pPr>
      <w:r>
        <w:t xml:space="preserve">L’infrastructure d’hébergement est exploitée par O2Switch.</w:t>
      </w:r>
    </w:p>
    <w:p>
      <w:pPr>
        <w:pStyle w:val="BodyText"/>
      </w:pPr>
      <w:r>
        <w:t xml:space="preserve">Aucun transfert hors de l’Union Européenne n’est réalisé par PBCI Conseils dans le cadre normal de l’exploitation du service.</w:t>
      </w:r>
    </w:p>
    <w:p>
      <w:r>
        <w:pict>
          <v:rect style="width:0;height:1.5pt" o:hralign="center" o:hrstd="t" o:hr="t"/>
        </w:pict>
      </w:r>
    </w:p>
    <w:bookmarkEnd w:id="35"/>
    <w:bookmarkStart w:id="36" w:name="mesures-de-sécurité"/>
    <w:p>
      <w:pPr>
        <w:pStyle w:val="Heading1"/>
      </w:pPr>
      <w:r>
        <w:t xml:space="preserve">8. Mesures de sécurité</w:t>
      </w:r>
    </w:p>
    <w:p>
      <w:pPr>
        <w:pStyle w:val="FirstParagraph"/>
      </w:pPr>
      <w:r>
        <w:t xml:space="preserve">PBCI Conseils met en œuvre des mesures techniques et organisationnelles adaptées afin de garantir la sécurité des données.</w:t>
      </w:r>
    </w:p>
    <w:p>
      <w:pPr>
        <w:pStyle w:val="BodyText"/>
      </w:pPr>
      <w:r>
        <w:t xml:space="preserve">Ces mesures comprennent notamment :</w:t>
      </w:r>
    </w:p>
    <w:p>
      <w:pPr>
        <w:pStyle w:val="Compact"/>
        <w:numPr>
          <w:ilvl w:val="0"/>
          <w:numId w:val="1008"/>
        </w:numPr>
      </w:pPr>
      <w:r>
        <w:t xml:space="preserve">authentification des utilisateurs ;</w:t>
      </w:r>
    </w:p>
    <w:p>
      <w:pPr>
        <w:pStyle w:val="Compact"/>
        <w:numPr>
          <w:ilvl w:val="0"/>
          <w:numId w:val="1008"/>
        </w:numPr>
      </w:pPr>
      <w:r>
        <w:t xml:space="preserve">contrôle des accès ;</w:t>
      </w:r>
    </w:p>
    <w:p>
      <w:pPr>
        <w:pStyle w:val="Compact"/>
        <w:numPr>
          <w:ilvl w:val="0"/>
          <w:numId w:val="1008"/>
        </w:numPr>
      </w:pPr>
      <w:r>
        <w:t xml:space="preserve">chiffrement des communications via HTTPS ;</w:t>
      </w:r>
    </w:p>
    <w:p>
      <w:pPr>
        <w:pStyle w:val="Compact"/>
        <w:numPr>
          <w:ilvl w:val="0"/>
          <w:numId w:val="1008"/>
        </w:numPr>
      </w:pPr>
      <w:r>
        <w:t xml:space="preserve">sauvegardes automatisées ;</w:t>
      </w:r>
    </w:p>
    <w:p>
      <w:pPr>
        <w:pStyle w:val="Compact"/>
        <w:numPr>
          <w:ilvl w:val="0"/>
          <w:numId w:val="1008"/>
        </w:numPr>
      </w:pPr>
      <w:r>
        <w:t xml:space="preserve">protection des serveurs d’hébergement ;</w:t>
      </w:r>
    </w:p>
    <w:p>
      <w:pPr>
        <w:pStyle w:val="Compact"/>
        <w:numPr>
          <w:ilvl w:val="0"/>
          <w:numId w:val="1008"/>
        </w:numPr>
      </w:pPr>
      <w:r>
        <w:t xml:space="preserve">limitation des accès administrateurs.</w:t>
      </w:r>
    </w:p>
    <w:p>
      <w:r>
        <w:pict>
          <v:rect style="width:0;height:1.5pt" o:hralign="center" o:hrstd="t" o:hr="t"/>
        </w:pict>
      </w:r>
    </w:p>
    <w:bookmarkEnd w:id="36"/>
    <w:bookmarkStart w:id="37" w:name="sauvegardes"/>
    <w:p>
      <w:pPr>
        <w:pStyle w:val="Heading1"/>
      </w:pPr>
      <w:r>
        <w:t xml:space="preserve">9. Sauvegardes</w:t>
      </w:r>
    </w:p>
    <w:p>
      <w:pPr>
        <w:pStyle w:val="FirstParagraph"/>
      </w:pPr>
      <w:r>
        <w:t xml:space="preserve">Une sauvegarde automatisée est réalisée quotidiennement.</w:t>
      </w:r>
    </w:p>
    <w:p>
      <w:pPr>
        <w:pStyle w:val="BodyText"/>
      </w:pPr>
      <w:r>
        <w:t xml:space="preserve">Les sauvegardes sont conservées sur une période glissante de sept (7) jours.</w:t>
      </w:r>
    </w:p>
    <w:p>
      <w:pPr>
        <w:pStyle w:val="BodyText"/>
      </w:pPr>
      <w:r>
        <w:t xml:space="preserve">L’accès aux sauvegardes est limité aux personnes habilitées.</w:t>
      </w:r>
    </w:p>
    <w:p>
      <w:r>
        <w:pict>
          <v:rect style="width:0;height:1.5pt" o:hralign="center" o:hrstd="t" o:hr="t"/>
        </w:pict>
      </w:r>
    </w:p>
    <w:bookmarkEnd w:id="37"/>
    <w:bookmarkStart w:id="38" w:name="confidentialité"/>
    <w:p>
      <w:pPr>
        <w:pStyle w:val="Heading1"/>
      </w:pPr>
      <w:r>
        <w:t xml:space="preserve">10. Confidentialité</w:t>
      </w:r>
    </w:p>
    <w:p>
      <w:pPr>
        <w:pStyle w:val="FirstParagraph"/>
      </w:pPr>
      <w:r>
        <w:t xml:space="preserve">PBCI Conseils veille à ce que les personnes autorisées à traiter les données :</w:t>
      </w:r>
    </w:p>
    <w:p>
      <w:pPr>
        <w:pStyle w:val="Compact"/>
        <w:numPr>
          <w:ilvl w:val="0"/>
          <w:numId w:val="1009"/>
        </w:numPr>
      </w:pPr>
      <w:r>
        <w:t xml:space="preserve">soient soumises à une obligation de confidentialité ;</w:t>
      </w:r>
    </w:p>
    <w:p>
      <w:pPr>
        <w:pStyle w:val="Compact"/>
        <w:numPr>
          <w:ilvl w:val="0"/>
          <w:numId w:val="1009"/>
        </w:numPr>
      </w:pPr>
      <w:r>
        <w:t xml:space="preserve">soient sensibilisées à la protection des données personnelles.</w:t>
      </w:r>
    </w:p>
    <w:p>
      <w:r>
        <w:pict>
          <v:rect style="width:0;height:1.5pt" o:hralign="center" o:hrstd="t" o:hr="t"/>
        </w:pict>
      </w:r>
    </w:p>
    <w:bookmarkEnd w:id="38"/>
    <w:bookmarkStart w:id="39" w:name="assistance-au-client"/>
    <w:p>
      <w:pPr>
        <w:pStyle w:val="Heading1"/>
      </w:pPr>
      <w:r>
        <w:t xml:space="preserve">11. Assistance au Client</w:t>
      </w:r>
    </w:p>
    <w:p>
      <w:pPr>
        <w:pStyle w:val="FirstParagraph"/>
      </w:pPr>
      <w:r>
        <w:t xml:space="preserve">Dans la mesure du raisonnable, PBCI Conseils assiste le Client pour :</w:t>
      </w:r>
    </w:p>
    <w:p>
      <w:pPr>
        <w:pStyle w:val="Compact"/>
        <w:numPr>
          <w:ilvl w:val="0"/>
          <w:numId w:val="1010"/>
        </w:numPr>
      </w:pPr>
      <w:r>
        <w:t xml:space="preserve">répondre aux demandes d’exercice des droits des personnes ;</w:t>
      </w:r>
    </w:p>
    <w:p>
      <w:pPr>
        <w:pStyle w:val="Compact"/>
        <w:numPr>
          <w:ilvl w:val="0"/>
          <w:numId w:val="1010"/>
        </w:numPr>
      </w:pPr>
      <w:r>
        <w:t xml:space="preserve">documenter les mesures de sécurité ;</w:t>
      </w:r>
    </w:p>
    <w:p>
      <w:pPr>
        <w:pStyle w:val="Compact"/>
        <w:numPr>
          <w:ilvl w:val="0"/>
          <w:numId w:val="1010"/>
        </w:numPr>
      </w:pPr>
      <w:r>
        <w:t xml:space="preserve">gérer un incident de sécurité concernant la plateforme.</w:t>
      </w:r>
    </w:p>
    <w:p>
      <w:r>
        <w:pict>
          <v:rect style="width:0;height:1.5pt" o:hralign="center" o:hrstd="t" o:hr="t"/>
        </w:pict>
      </w:r>
    </w:p>
    <w:bookmarkEnd w:id="39"/>
    <w:bookmarkStart w:id="40" w:name="notification-des-violations-de-données"/>
    <w:p>
      <w:pPr>
        <w:pStyle w:val="Heading1"/>
      </w:pPr>
      <w:r>
        <w:t xml:space="preserve">12. Notification des violations de données</w:t>
      </w:r>
    </w:p>
    <w:p>
      <w:pPr>
        <w:pStyle w:val="FirstParagraph"/>
      </w:pPr>
      <w:r>
        <w:t xml:space="preserve">En cas de violation de données personnelles constatée par PBCI Conseils, le Client sera informé dans les meilleurs délais après détection de l’incident.</w:t>
      </w:r>
    </w:p>
    <w:p>
      <w:pPr>
        <w:pStyle w:val="BodyText"/>
      </w:pPr>
      <w:r>
        <w:t xml:space="preserve">La notification comportera les informations disponibles permettant au Client de satisfaire à ses propres obligations réglementaires.</w:t>
      </w:r>
    </w:p>
    <w:p>
      <w:r>
        <w:pict>
          <v:rect style="width:0;height:1.5pt" o:hralign="center" o:hrstd="t" o:hr="t"/>
        </w:pict>
      </w:r>
    </w:p>
    <w:bookmarkEnd w:id="40"/>
    <w:bookmarkStart w:id="41" w:name="sous-traitants-ultérieurs"/>
    <w:p>
      <w:pPr>
        <w:pStyle w:val="Heading1"/>
      </w:pPr>
      <w:r>
        <w:t xml:space="preserve">13. Sous-traitants ultérieurs</w:t>
      </w:r>
    </w:p>
    <w:p>
      <w:pPr>
        <w:pStyle w:val="FirstParagraph"/>
      </w:pPr>
      <w:r>
        <w:t xml:space="preserve">Le Client autorise PBCI Conseils à recourir aux sous-traitants nécessaires au fonctionnement du service, notamment :</w:t>
      </w:r>
    </w:p>
    <w:p>
      <w:pPr>
        <w:pStyle w:val="Compact"/>
        <w:numPr>
          <w:ilvl w:val="0"/>
          <w:numId w:val="1011"/>
        </w:numPr>
      </w:pPr>
      <w:r>
        <w:t xml:space="preserve">O2Switch pour l’hébergement ;</w:t>
      </w:r>
    </w:p>
    <w:p>
      <w:pPr>
        <w:pStyle w:val="Compact"/>
        <w:numPr>
          <w:ilvl w:val="0"/>
          <w:numId w:val="1011"/>
        </w:numPr>
      </w:pPr>
      <w:r>
        <w:t xml:space="preserve">tout prestataire technique nécessaire à la maintenance ou à la sécurité du service.</w:t>
      </w:r>
    </w:p>
    <w:p>
      <w:pPr>
        <w:pStyle w:val="FirstParagraph"/>
      </w:pPr>
      <w:r>
        <w:t xml:space="preserve">PBCI Conseils veille à ce que ces prestataires présentent des garanties suffisantes en matière de protection des données.</w:t>
      </w:r>
    </w:p>
    <w:p>
      <w:r>
        <w:pict>
          <v:rect style="width:0;height:1.5pt" o:hralign="center" o:hrstd="t" o:hr="t"/>
        </w:pict>
      </w:r>
    </w:p>
    <w:bookmarkEnd w:id="41"/>
    <w:bookmarkStart w:id="42" w:name="fin-du-contrat"/>
    <w:p>
      <w:pPr>
        <w:pStyle w:val="Heading1"/>
      </w:pPr>
      <w:r>
        <w:t xml:space="preserve">14. Fin du contrat</w:t>
      </w:r>
    </w:p>
    <w:p>
      <w:pPr>
        <w:pStyle w:val="FirstParagraph"/>
      </w:pPr>
      <w:r>
        <w:t xml:space="preserve">À l’expiration du contrat, le Client peut demander la restitution de ses données.</w:t>
      </w:r>
    </w:p>
    <w:p>
      <w:pPr>
        <w:pStyle w:val="BodyText"/>
      </w:pPr>
      <w:r>
        <w:t xml:space="preserve">Les exports peuvent être fournis au format :</w:t>
      </w:r>
    </w:p>
    <w:p>
      <w:pPr>
        <w:pStyle w:val="Compact"/>
        <w:numPr>
          <w:ilvl w:val="0"/>
          <w:numId w:val="1012"/>
        </w:numPr>
      </w:pPr>
      <w:r>
        <w:t xml:space="preserve">PDF ;</w:t>
      </w:r>
    </w:p>
    <w:p>
      <w:pPr>
        <w:pStyle w:val="Compact"/>
        <w:numPr>
          <w:ilvl w:val="0"/>
          <w:numId w:val="1012"/>
        </w:numPr>
      </w:pPr>
      <w:r>
        <w:t xml:space="preserve">XLS ;</w:t>
      </w:r>
    </w:p>
    <w:p>
      <w:pPr>
        <w:pStyle w:val="Compact"/>
        <w:numPr>
          <w:ilvl w:val="0"/>
          <w:numId w:val="1012"/>
        </w:numPr>
      </w:pPr>
      <w:r>
        <w:t xml:space="preserve">CSV.</w:t>
      </w:r>
    </w:p>
    <w:p>
      <w:pPr>
        <w:pStyle w:val="FirstParagraph"/>
      </w:pPr>
      <w:r>
        <w:t xml:space="preserve">La demande doit être formulée dans un délai de trente (30) jours suivant la fin du contrat.</w:t>
      </w:r>
    </w:p>
    <w:p>
      <w:pPr>
        <w:pStyle w:val="BodyText"/>
      </w:pPr>
      <w:r>
        <w:t xml:space="preserve">À l’issue de ce délai, les données pourront être supprimées définitivement.</w:t>
      </w:r>
    </w:p>
    <w:p>
      <w:r>
        <w:pict>
          <v:rect style="width:0;height:1.5pt" o:hralign="center" o:hrstd="t" o:hr="t"/>
        </w:pict>
      </w:r>
    </w:p>
    <w:bookmarkEnd w:id="42"/>
    <w:bookmarkStart w:id="43" w:name="droit-daudit"/>
    <w:p>
      <w:pPr>
        <w:pStyle w:val="Heading1"/>
      </w:pPr>
      <w:r>
        <w:t xml:space="preserve">15. Droit d’audit</w:t>
      </w:r>
    </w:p>
    <w:p>
      <w:pPr>
        <w:pStyle w:val="FirstParagraph"/>
      </w:pPr>
      <w:r>
        <w:t xml:space="preserve">Le Client peut demander des informations raisonnables concernant les mesures de sécurité mises en œuvre par PBCI Conseils.</w:t>
      </w:r>
    </w:p>
    <w:p>
      <w:pPr>
        <w:pStyle w:val="BodyText"/>
      </w:pPr>
      <w:r>
        <w:t xml:space="preserve">Toute demande d’audit devra être formulée de bonne foi et ne pas perturber l’exploitation du service.</w:t>
      </w:r>
    </w:p>
    <w:p>
      <w:r>
        <w:pict>
          <v:rect style="width:0;height:1.5pt" o:hralign="center" o:hrstd="t" o:hr="t"/>
        </w:pict>
      </w:r>
    </w:p>
    <w:bookmarkEnd w:id="43"/>
    <w:bookmarkStart w:id="44" w:name="durée"/>
    <w:p>
      <w:pPr>
        <w:pStyle w:val="Heading1"/>
      </w:pPr>
      <w:r>
        <w:t xml:space="preserve">16. Durée</w:t>
      </w:r>
    </w:p>
    <w:p>
      <w:pPr>
        <w:pStyle w:val="FirstParagraph"/>
      </w:pPr>
      <w:r>
        <w:t xml:space="preserve">La présente annexe entre en vigueur à la date de signature du Contrat d’Abonnement PSM2S.</w:t>
      </w:r>
    </w:p>
    <w:p>
      <w:pPr>
        <w:pStyle w:val="BodyText"/>
      </w:pPr>
      <w:r>
        <w:t xml:space="preserve">Elle demeure applicable pendant toute la durée du contrat.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Fait à : __________________</w:t>
      </w:r>
    </w:p>
    <w:p>
      <w:pPr>
        <w:pStyle w:val="BodyText"/>
      </w:pPr>
      <w:r>
        <w:t xml:space="preserve">Le : __________________</w:t>
      </w:r>
    </w:p>
    <w:p>
      <w:pPr>
        <w:pStyle w:val="BodyText"/>
      </w:pPr>
      <w:r>
        <w:t xml:space="preserve">Pour le Client</w:t>
      </w:r>
    </w:p>
    <w:p>
      <w:pPr>
        <w:pStyle w:val="BodyText"/>
      </w:pPr>
      <w:r>
        <w:t xml:space="preserve">Nom :</w:t>
      </w:r>
      <w:r>
        <w:t xml:space="preserve"> </w:t>
      </w:r>
      <w:r>
        <w:t xml:space="preserve">Fonction :</w:t>
      </w:r>
      <w:r>
        <w:t xml:space="preserve"> </w:t>
      </w:r>
      <w:r>
        <w:t xml:space="preserve">Signature :</w:t>
      </w:r>
    </w:p>
    <w:p>
      <w:pPr>
        <w:pStyle w:val="BodyText"/>
      </w:pPr>
      <w:r>
        <w:t xml:space="preserve">Pour PBCI Conseils</w:t>
      </w:r>
    </w:p>
    <w:p>
      <w:pPr>
        <w:pStyle w:val="BodyText"/>
      </w:pPr>
      <w:r>
        <w:t xml:space="preserve">Nom :</w:t>
      </w:r>
      <w:r>
        <w:t xml:space="preserve"> </w:t>
      </w:r>
      <w:r>
        <w:t xml:space="preserve">Fonction :</w:t>
      </w:r>
      <w:r>
        <w:t xml:space="preserve"> </w:t>
      </w:r>
      <w:r>
        <w:t xml:space="preserve">Signature :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2026-06-12T08:16:54Z</dcterms:created>
  <dcterms:modified xsi:type="dcterms:W3CDTF">2026-06-12T08:16:54Z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