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5f6695e4a91a1571cfe57601595e60daa73676"/>
    <w:p>
      <w:pPr>
        <w:pStyle w:val="Heading1"/>
      </w:pPr>
      <w:r>
        <w:t xml:space="preserve">CONDITIONS GÉNÉRALES DE VENTE ET D’UTILISATION</w:t>
      </w:r>
    </w:p>
    <w:bookmarkEnd w:id="20"/>
    <w:bookmarkStart w:id="21" w:name="psm2s"/>
    <w:p>
      <w:pPr>
        <w:pStyle w:val="Heading1"/>
      </w:pPr>
      <w:r>
        <w:t xml:space="preserve">PSM2S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Éditeur : PBCI Conseils</w:t>
      </w:r>
    </w:p>
    <w:p>
      <w:r>
        <w:pict>
          <v:rect style="width:0;height:1.5pt" o:hralign="center" o:hrstd="t" o:hr="t"/>
        </w:pict>
      </w:r>
    </w:p>
    <w:bookmarkEnd w:id="21"/>
    <w:bookmarkStart w:id="22" w:name="article-1-objet"/>
    <w:p>
      <w:pPr>
        <w:pStyle w:val="Heading1"/>
      </w:pPr>
      <w:r>
        <w:t xml:space="preserve">Article 1 – Objet</w:t>
      </w:r>
    </w:p>
    <w:p>
      <w:pPr>
        <w:pStyle w:val="FirstParagraph"/>
      </w:pPr>
      <w:r>
        <w:t xml:space="preserve">Les présentes Conditions Générales de Vente (CGV) définissent les conditions dans lesquelles PBCI Conseils fournit au Client un accès à la plateforme PSM2S.</w:t>
      </w:r>
    </w:p>
    <w:p>
      <w:pPr>
        <w:pStyle w:val="BodyText"/>
      </w:pPr>
      <w:r>
        <w:t xml:space="preserve">PSM2S est une solution logicielle accessible en mode SaaS (Software as a Service) permettant la gestion de la sécurité, de la maintenance et de la conformité réglementaire des établissements recevant du public.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2-acceptation"/>
    <w:p>
      <w:pPr>
        <w:pStyle w:val="Heading1"/>
      </w:pPr>
      <w:r>
        <w:t xml:space="preserve">Article 2 – Acceptation</w:t>
      </w:r>
    </w:p>
    <w:p>
      <w:pPr>
        <w:pStyle w:val="FirstParagraph"/>
      </w:pPr>
      <w:r>
        <w:t xml:space="preserve">Toute souscription à PSM2S implique l’acceptation sans réserve des présentes CGV.</w:t>
      </w:r>
    </w:p>
    <w:p>
      <w:pPr>
        <w:pStyle w:val="BodyText"/>
      </w:pPr>
      <w:r>
        <w:t xml:space="preserve">Les présentes CGV complètent le contrat d’abonnement signé entre les parties.</w:t>
      </w:r>
    </w:p>
    <w:p>
      <w:pPr>
        <w:pStyle w:val="BodyText"/>
      </w:pPr>
      <w:r>
        <w:t xml:space="preserve">En cas de contradiction, le contrat d’abonnement prévaut.</w:t>
      </w:r>
    </w:p>
    <w:p>
      <w:r>
        <w:pict>
          <v:rect style="width:0;height:1.5pt" o:hralign="center" o:hrstd="t" o:hr="t"/>
        </w:pict>
      </w:r>
    </w:p>
    <w:bookmarkEnd w:id="23"/>
    <w:bookmarkStart w:id="24" w:name="article-3-description-du-service"/>
    <w:p>
      <w:pPr>
        <w:pStyle w:val="Heading1"/>
      </w:pPr>
      <w:r>
        <w:t xml:space="preserve">Article 3 – Description du service</w:t>
      </w:r>
    </w:p>
    <w:p>
      <w:pPr>
        <w:pStyle w:val="FirstParagraph"/>
      </w:pPr>
      <w:r>
        <w:t xml:space="preserve">PSM2S permet notamment :</w:t>
      </w:r>
    </w:p>
    <w:p>
      <w:pPr>
        <w:pStyle w:val="Compact"/>
        <w:numPr>
          <w:ilvl w:val="0"/>
          <w:numId w:val="1001"/>
        </w:numPr>
      </w:pPr>
      <w:r>
        <w:t xml:space="preserve">la gestion des registres de sécurité ;</w:t>
      </w:r>
    </w:p>
    <w:p>
      <w:pPr>
        <w:pStyle w:val="Compact"/>
        <w:numPr>
          <w:ilvl w:val="0"/>
          <w:numId w:val="1001"/>
        </w:numPr>
      </w:pPr>
      <w:r>
        <w:t xml:space="preserve">le suivi des contrôles réglementaires ;</w:t>
      </w:r>
    </w:p>
    <w:p>
      <w:pPr>
        <w:pStyle w:val="Compact"/>
        <w:numPr>
          <w:ilvl w:val="0"/>
          <w:numId w:val="1001"/>
        </w:numPr>
      </w:pPr>
      <w:r>
        <w:t xml:space="preserve">la gestion des interventions ;</w:t>
      </w:r>
    </w:p>
    <w:p>
      <w:pPr>
        <w:pStyle w:val="Compact"/>
        <w:numPr>
          <w:ilvl w:val="0"/>
          <w:numId w:val="1001"/>
        </w:numPr>
      </w:pPr>
      <w:r>
        <w:t xml:space="preserve">la planification des opérations de maintenance ;</w:t>
      </w:r>
    </w:p>
    <w:p>
      <w:pPr>
        <w:pStyle w:val="Compact"/>
        <w:numPr>
          <w:ilvl w:val="0"/>
          <w:numId w:val="1001"/>
        </w:numPr>
      </w:pPr>
      <w:r>
        <w:t xml:space="preserve">la gestion documentaire ;</w:t>
      </w:r>
    </w:p>
    <w:p>
      <w:pPr>
        <w:pStyle w:val="Compact"/>
        <w:numPr>
          <w:ilvl w:val="0"/>
          <w:numId w:val="1001"/>
        </w:numPr>
      </w:pPr>
      <w:r>
        <w:t xml:space="preserve">la production de tableaux de bord ;</w:t>
      </w:r>
    </w:p>
    <w:p>
      <w:pPr>
        <w:pStyle w:val="Compact"/>
        <w:numPr>
          <w:ilvl w:val="0"/>
          <w:numId w:val="1001"/>
        </w:numPr>
      </w:pPr>
      <w:r>
        <w:t xml:space="preserve">le pilotage multi-sites.</w:t>
      </w:r>
    </w:p>
    <w:p>
      <w:pPr>
        <w:pStyle w:val="FirstParagraph"/>
      </w:pPr>
      <w:r>
        <w:t xml:space="preserve">Les fonctionnalités peuvent évoluer afin d’améliorer le service ou répondre aux évolutions réglementaires.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4-accès-au-service"/>
    <w:p>
      <w:pPr>
        <w:pStyle w:val="Heading1"/>
      </w:pPr>
      <w:r>
        <w:t xml:space="preserve">Article 4 – Accès au service</w:t>
      </w:r>
    </w:p>
    <w:p>
      <w:pPr>
        <w:pStyle w:val="FirstParagraph"/>
      </w:pPr>
      <w:r>
        <w:t xml:space="preserve">L’accès à la plateforme est réalisé au moyen d’une connexion Internet.</w:t>
      </w:r>
    </w:p>
    <w:p>
      <w:pPr>
        <w:pStyle w:val="BodyText"/>
      </w:pPr>
      <w:r>
        <w:t xml:space="preserve">Le Client demeure responsable :</w:t>
      </w:r>
    </w:p>
    <w:p>
      <w:pPr>
        <w:pStyle w:val="Compact"/>
        <w:numPr>
          <w:ilvl w:val="0"/>
          <w:numId w:val="1002"/>
        </w:numPr>
      </w:pPr>
      <w:r>
        <w:t xml:space="preserve">de son équipement informatique ;</w:t>
      </w:r>
    </w:p>
    <w:p>
      <w:pPr>
        <w:pStyle w:val="Compact"/>
        <w:numPr>
          <w:ilvl w:val="0"/>
          <w:numId w:val="1002"/>
        </w:numPr>
      </w:pPr>
      <w:r>
        <w:t xml:space="preserve">de sa connexion Internet ;</w:t>
      </w:r>
    </w:p>
    <w:p>
      <w:pPr>
        <w:pStyle w:val="Compact"/>
        <w:numPr>
          <w:ilvl w:val="0"/>
          <w:numId w:val="1002"/>
        </w:numPr>
      </w:pPr>
      <w:r>
        <w:t xml:space="preserve">de la gestion de ses identifiants utilisateurs.</w:t>
      </w:r>
    </w:p>
    <w:p>
      <w:pPr>
        <w:pStyle w:val="FirstParagraph"/>
      </w:pPr>
      <w:r>
        <w:t xml:space="preserve">Le Fournisseur ne saurait être tenu responsable des dysfonctionnements imputables aux équipements ou réseaux du Client.</w:t>
      </w:r>
    </w:p>
    <w:p>
      <w:r>
        <w:pict>
          <v:rect style="width:0;height:1.5pt" o:hralign="center" o:hrstd="t" o:hr="t"/>
        </w:pict>
      </w:r>
    </w:p>
    <w:bookmarkEnd w:id="25"/>
    <w:bookmarkStart w:id="26" w:name="article-5-comptes-utilisateurs"/>
    <w:p>
      <w:pPr>
        <w:pStyle w:val="Heading1"/>
      </w:pPr>
      <w:r>
        <w:t xml:space="preserve">Article 5 – Comptes utilisateurs</w:t>
      </w:r>
    </w:p>
    <w:p>
      <w:pPr>
        <w:pStyle w:val="FirstParagraph"/>
      </w:pPr>
      <w:r>
        <w:t xml:space="preserve">Le nombre d’utilisateurs est illimité.</w:t>
      </w:r>
    </w:p>
    <w:p>
      <w:pPr>
        <w:pStyle w:val="BodyText"/>
      </w:pPr>
      <w:r>
        <w:t xml:space="preserve">Chaque utilisateur dispose d’identifiants personnels.</w:t>
      </w:r>
    </w:p>
    <w:p>
      <w:pPr>
        <w:pStyle w:val="BodyText"/>
      </w:pPr>
      <w:r>
        <w:t xml:space="preserve">Le Client s’engage à :</w:t>
      </w:r>
    </w:p>
    <w:p>
      <w:pPr>
        <w:pStyle w:val="Compact"/>
        <w:numPr>
          <w:ilvl w:val="0"/>
          <w:numId w:val="1003"/>
        </w:numPr>
      </w:pPr>
      <w:r>
        <w:t xml:space="preserve">préserver la confidentialité des accès ;</w:t>
      </w:r>
    </w:p>
    <w:p>
      <w:pPr>
        <w:pStyle w:val="Compact"/>
        <w:numPr>
          <w:ilvl w:val="0"/>
          <w:numId w:val="1003"/>
        </w:numPr>
      </w:pPr>
      <w:r>
        <w:t xml:space="preserve">informer immédiatement le Fournisseur de toute utilisation frauduleuse constatée.</w:t>
      </w:r>
    </w:p>
    <w:p>
      <w:r>
        <w:pict>
          <v:rect style="width:0;height:1.5pt" o:hralign="center" o:hrstd="t" o:hr="t"/>
        </w:pict>
      </w:r>
    </w:p>
    <w:bookmarkEnd w:id="26"/>
    <w:bookmarkStart w:id="27" w:name="article-6-hébergement"/>
    <w:p>
      <w:pPr>
        <w:pStyle w:val="Heading1"/>
      </w:pPr>
      <w:r>
        <w:t xml:space="preserve">Article 6 – Hébergement</w:t>
      </w:r>
    </w:p>
    <w:p>
      <w:pPr>
        <w:pStyle w:val="FirstParagraph"/>
      </w:pPr>
      <w:r>
        <w:t xml:space="preserve">La plateforme PSM2S est hébergée sur des infrastructures situées en France.</w:t>
      </w:r>
    </w:p>
    <w:p>
      <w:pPr>
        <w:pStyle w:val="BodyText"/>
      </w:pPr>
      <w:r>
        <w:t xml:space="preserve">Le Fournisseur met en œuvre les moyens raisonnables nécessaires à la sécurité et à la disponibilité du service.</w:t>
      </w:r>
    </w:p>
    <w:p>
      <w:r>
        <w:pict>
          <v:rect style="width:0;height:1.5pt" o:hralign="center" o:hrstd="t" o:hr="t"/>
        </w:pict>
      </w:r>
    </w:p>
    <w:bookmarkEnd w:id="27"/>
    <w:bookmarkStart w:id="28" w:name="article-7-sauvegardes"/>
    <w:p>
      <w:pPr>
        <w:pStyle w:val="Heading1"/>
      </w:pPr>
      <w:r>
        <w:t xml:space="preserve">Article 7 – Sauvegardes</w:t>
      </w:r>
    </w:p>
    <w:p>
      <w:pPr>
        <w:pStyle w:val="FirstParagraph"/>
      </w:pPr>
      <w:r>
        <w:t xml:space="preserve">Une sauvegarde automatisée est réalisée quotidiennement.</w:t>
      </w:r>
    </w:p>
    <w:p>
      <w:pPr>
        <w:pStyle w:val="BodyText"/>
      </w:pPr>
      <w:r>
        <w:t xml:space="preserve">Les sauvegardes sont conservées sur une période glissante de sept (7) jours.</w:t>
      </w:r>
    </w:p>
    <w:p>
      <w:pPr>
        <w:pStyle w:val="BodyText"/>
      </w:pPr>
      <w:r>
        <w:t xml:space="preserve">Le Fournisseur met en œuvre tous les moyens raisonnables pour assurer la restauration des données en cas d’incident technique.</w:t>
      </w:r>
    </w:p>
    <w:p>
      <w:r>
        <w:pict>
          <v:rect style="width:0;height:1.5pt" o:hralign="center" o:hrstd="t" o:hr="t"/>
        </w:pict>
      </w:r>
    </w:p>
    <w:bookmarkEnd w:id="28"/>
    <w:bookmarkStart w:id="29" w:name="article-8-maintenance-et-évolutions"/>
    <w:p>
      <w:pPr>
        <w:pStyle w:val="Heading1"/>
      </w:pPr>
      <w:r>
        <w:t xml:space="preserve">Article 8 – Maintenance et évolutions</w:t>
      </w:r>
    </w:p>
    <w:p>
      <w:pPr>
        <w:pStyle w:val="FirstParagraph"/>
      </w:pPr>
      <w:r>
        <w:t xml:space="preserve">Le Fournisseur assure :</w:t>
      </w:r>
    </w:p>
    <w:p>
      <w:pPr>
        <w:pStyle w:val="Compact"/>
        <w:numPr>
          <w:ilvl w:val="0"/>
          <w:numId w:val="1004"/>
        </w:numPr>
      </w:pPr>
      <w:r>
        <w:t xml:space="preserve">la maintenance corrective ;</w:t>
      </w:r>
    </w:p>
    <w:p>
      <w:pPr>
        <w:pStyle w:val="Compact"/>
        <w:numPr>
          <w:ilvl w:val="0"/>
          <w:numId w:val="1004"/>
        </w:numPr>
      </w:pPr>
      <w:r>
        <w:t xml:space="preserve">les mises à jour de sécurité ;</w:t>
      </w:r>
    </w:p>
    <w:p>
      <w:pPr>
        <w:pStyle w:val="Compact"/>
        <w:numPr>
          <w:ilvl w:val="0"/>
          <w:numId w:val="1004"/>
        </w:numPr>
      </w:pPr>
      <w:r>
        <w:t xml:space="preserve">les évolutions fonctionnelles jugées nécessaires.</w:t>
      </w:r>
    </w:p>
    <w:p>
      <w:pPr>
        <w:pStyle w:val="FirstParagraph"/>
      </w:pPr>
      <w:r>
        <w:t xml:space="preserve">Les interventions de maintenance peuvent entraîner des interruptions temporaires du service.</w:t>
      </w:r>
    </w:p>
    <w:p>
      <w:pPr>
        <w:pStyle w:val="BodyText"/>
      </w:pPr>
      <w:r>
        <w:t xml:space="preserve">Dans la mesure du possible, ces opérations sont réalisées en dehors des heures d’activité habituelles.</w:t>
      </w:r>
    </w:p>
    <w:p>
      <w:r>
        <w:pict>
          <v:rect style="width:0;height:1.5pt" o:hralign="center" o:hrstd="t" o:hr="t"/>
        </w:pict>
      </w:r>
    </w:p>
    <w:bookmarkEnd w:id="29"/>
    <w:bookmarkStart w:id="30" w:name="article-9-support"/>
    <w:p>
      <w:pPr>
        <w:pStyle w:val="Heading1"/>
      </w:pPr>
      <w:r>
        <w:t xml:space="preserve">Article 9 – Support</w:t>
      </w:r>
    </w:p>
    <w:p>
      <w:pPr>
        <w:pStyle w:val="FirstParagraph"/>
      </w:pPr>
      <w:r>
        <w:t xml:space="preserve">Le support est assuré exclusivement par courrier électronique.</w:t>
      </w:r>
    </w:p>
    <w:p>
      <w:pPr>
        <w:pStyle w:val="BodyText"/>
      </w:pPr>
      <w:r>
        <w:t xml:space="preserve">Les demandes sont traitées pendant les jours ouvrés.</w:t>
      </w:r>
    </w:p>
    <w:p>
      <w:pPr>
        <w:pStyle w:val="BodyText"/>
      </w:pPr>
      <w:r>
        <w:t xml:space="preserve">Le Fournisseur s’efforce d’apporter une réponse dans les meilleurs délais selon la nature de la demande.</w:t>
      </w:r>
    </w:p>
    <w:p>
      <w:r>
        <w:pict>
          <v:rect style="width:0;height:1.5pt" o:hralign="center" o:hrstd="t" o:hr="t"/>
        </w:pict>
      </w:r>
    </w:p>
    <w:bookmarkEnd w:id="30"/>
    <w:bookmarkStart w:id="31" w:name="article-10-disponibilité"/>
    <w:p>
      <w:pPr>
        <w:pStyle w:val="Heading1"/>
      </w:pPr>
      <w:r>
        <w:t xml:space="preserve">Article 10 – Disponibilité</w:t>
      </w:r>
    </w:p>
    <w:p>
      <w:pPr>
        <w:pStyle w:val="FirstParagraph"/>
      </w:pPr>
      <w:r>
        <w:t xml:space="preserve">Le Fournisseur met en œuvre tous les moyens raisonnables pour assurer la disponibilité de la plateforme.</w:t>
      </w:r>
    </w:p>
    <w:p>
      <w:pPr>
        <w:pStyle w:val="BodyText"/>
      </w:pPr>
      <w:r>
        <w:t xml:space="preserve">Aucun engagement de disponibilité minimale n’est garanti.</w:t>
      </w:r>
    </w:p>
    <w:p>
      <w:pPr>
        <w:pStyle w:val="BodyText"/>
      </w:pPr>
      <w:r>
        <w:t xml:space="preserve">Le Fournisseur ne saurait être tenu responsable des interruptions résultant :</w:t>
      </w:r>
    </w:p>
    <w:p>
      <w:pPr>
        <w:pStyle w:val="Compact"/>
        <w:numPr>
          <w:ilvl w:val="0"/>
          <w:numId w:val="1005"/>
        </w:numPr>
      </w:pPr>
      <w:r>
        <w:t xml:space="preserve">d’opérations de maintenance ;</w:t>
      </w:r>
    </w:p>
    <w:p>
      <w:pPr>
        <w:pStyle w:val="Compact"/>
        <w:numPr>
          <w:ilvl w:val="0"/>
          <w:numId w:val="1005"/>
        </w:numPr>
      </w:pPr>
      <w:r>
        <w:t xml:space="preserve">d’un cas de force majeure ;</w:t>
      </w:r>
    </w:p>
    <w:p>
      <w:pPr>
        <w:pStyle w:val="Compact"/>
        <w:numPr>
          <w:ilvl w:val="0"/>
          <w:numId w:val="1005"/>
        </w:numPr>
      </w:pPr>
      <w:r>
        <w:t xml:space="preserve">d’une défaillance d’un fournisseur tiers ;</w:t>
      </w:r>
    </w:p>
    <w:p>
      <w:pPr>
        <w:pStyle w:val="Compact"/>
        <w:numPr>
          <w:ilvl w:val="0"/>
          <w:numId w:val="1005"/>
        </w:numPr>
      </w:pPr>
      <w:r>
        <w:t xml:space="preserve">d’une panne réseau indépendante de sa volonté.</w:t>
      </w:r>
    </w:p>
    <w:p>
      <w:r>
        <w:pict>
          <v:rect style="width:0;height:1.5pt" o:hralign="center" o:hrstd="t" o:hr="t"/>
        </w:pict>
      </w:r>
    </w:p>
    <w:bookmarkEnd w:id="31"/>
    <w:bookmarkStart w:id="32" w:name="article-11-obligations-du-client"/>
    <w:p>
      <w:pPr>
        <w:pStyle w:val="Heading1"/>
      </w:pPr>
      <w:r>
        <w:t xml:space="preserve">Article 11 – Obligations du Client</w:t>
      </w:r>
    </w:p>
    <w:p>
      <w:pPr>
        <w:pStyle w:val="FirstParagraph"/>
      </w:pPr>
      <w:r>
        <w:t xml:space="preserve">Le Client s’engage à :</w:t>
      </w:r>
    </w:p>
    <w:p>
      <w:pPr>
        <w:pStyle w:val="Compact"/>
        <w:numPr>
          <w:ilvl w:val="0"/>
          <w:numId w:val="1006"/>
        </w:numPr>
      </w:pPr>
      <w:r>
        <w:t xml:space="preserve">utiliser la plateforme conformément à sa destination ;</w:t>
      </w:r>
    </w:p>
    <w:p>
      <w:pPr>
        <w:pStyle w:val="Compact"/>
        <w:numPr>
          <w:ilvl w:val="0"/>
          <w:numId w:val="1006"/>
        </w:numPr>
      </w:pPr>
      <w:r>
        <w:t xml:space="preserve">respecter la réglementation applicable ;</w:t>
      </w:r>
    </w:p>
    <w:p>
      <w:pPr>
        <w:pStyle w:val="Compact"/>
        <w:numPr>
          <w:ilvl w:val="0"/>
          <w:numId w:val="1006"/>
        </w:numPr>
      </w:pPr>
      <w:r>
        <w:t xml:space="preserve">ne pas tenter d’accéder aux composants techniques du service ;</w:t>
      </w:r>
    </w:p>
    <w:p>
      <w:pPr>
        <w:pStyle w:val="Compact"/>
        <w:numPr>
          <w:ilvl w:val="0"/>
          <w:numId w:val="1006"/>
        </w:numPr>
      </w:pPr>
      <w:r>
        <w:t xml:space="preserve">ne pas perturber le fonctionnement de la plateforme.</w:t>
      </w:r>
    </w:p>
    <w:p>
      <w:r>
        <w:pict>
          <v:rect style="width:0;height:1.5pt" o:hralign="center" o:hrstd="t" o:hr="t"/>
        </w:pict>
      </w:r>
    </w:p>
    <w:bookmarkEnd w:id="32"/>
    <w:bookmarkStart w:id="33" w:name="article-12-données-du-client"/>
    <w:p>
      <w:pPr>
        <w:pStyle w:val="Heading1"/>
      </w:pPr>
      <w:r>
        <w:t xml:space="preserve">Article 12 – Données du Client</w:t>
      </w:r>
    </w:p>
    <w:p>
      <w:pPr>
        <w:pStyle w:val="FirstParagraph"/>
      </w:pPr>
      <w:r>
        <w:t xml:space="preserve">Les données saisies dans PSM2S demeurent la propriété exclusive du Client.</w:t>
      </w:r>
    </w:p>
    <w:p>
      <w:pPr>
        <w:pStyle w:val="BodyText"/>
      </w:pPr>
      <w:r>
        <w:t xml:space="preserve">Le Fournisseur n’acquiert aucun droit de propriété sur ces données.</w:t>
      </w:r>
    </w:p>
    <w:p>
      <w:pPr>
        <w:pStyle w:val="BodyText"/>
      </w:pPr>
      <w:r>
        <w:t xml:space="preserve">Le Client demeure responsable de leur exactitude et de leur mise à jour.</w:t>
      </w:r>
    </w:p>
    <w:p>
      <w:r>
        <w:pict>
          <v:rect style="width:0;height:1.5pt" o:hralign="center" o:hrstd="t" o:hr="t"/>
        </w:pict>
      </w:r>
    </w:p>
    <w:bookmarkEnd w:id="33"/>
    <w:bookmarkStart w:id="34" w:name="article-13-restitution-des-données"/>
    <w:p>
      <w:pPr>
        <w:pStyle w:val="Heading1"/>
      </w:pPr>
      <w:r>
        <w:t xml:space="preserve">Article 13 – Restitution des données</w:t>
      </w:r>
    </w:p>
    <w:p>
      <w:pPr>
        <w:pStyle w:val="FirstParagraph"/>
      </w:pPr>
      <w:r>
        <w:t xml:space="preserve">À l’expiration du contrat, le Client peut demander une restitution de ses données.</w:t>
      </w:r>
    </w:p>
    <w:p>
      <w:pPr>
        <w:pStyle w:val="BodyText"/>
      </w:pPr>
      <w:r>
        <w:t xml:space="preserve">Les exports pourront être fournis au format :</w:t>
      </w:r>
    </w:p>
    <w:p>
      <w:pPr>
        <w:pStyle w:val="Compact"/>
        <w:numPr>
          <w:ilvl w:val="0"/>
          <w:numId w:val="1007"/>
        </w:numPr>
      </w:pPr>
      <w:r>
        <w:t xml:space="preserve">PDF ;</w:t>
      </w:r>
    </w:p>
    <w:p>
      <w:pPr>
        <w:pStyle w:val="Compact"/>
        <w:numPr>
          <w:ilvl w:val="0"/>
          <w:numId w:val="1007"/>
        </w:numPr>
      </w:pPr>
      <w:r>
        <w:t xml:space="preserve">XLS ;</w:t>
      </w:r>
    </w:p>
    <w:p>
      <w:pPr>
        <w:pStyle w:val="Compact"/>
        <w:numPr>
          <w:ilvl w:val="0"/>
          <w:numId w:val="1007"/>
        </w:numPr>
      </w:pPr>
      <w:r>
        <w:t xml:space="preserve">CSV.</w:t>
      </w:r>
    </w:p>
    <w:p>
      <w:pPr>
        <w:pStyle w:val="FirstParagraph"/>
      </w:pPr>
      <w:r>
        <w:t xml:space="preserve">La demande doit être formulée dans les trente (30) jours suivant la fin du contrat.</w:t>
      </w:r>
    </w:p>
    <w:p>
      <w:pPr>
        <w:pStyle w:val="BodyText"/>
      </w:pPr>
      <w:r>
        <w:t xml:space="preserve">Au-delà de ce délai, le Fournisseur pourra supprimer définitivement les données.</w:t>
      </w:r>
    </w:p>
    <w:p>
      <w:r>
        <w:pict>
          <v:rect style="width:0;height:1.5pt" o:hralign="center" o:hrstd="t" o:hr="t"/>
        </w:pict>
      </w:r>
    </w:p>
    <w:bookmarkEnd w:id="34"/>
    <w:bookmarkStart w:id="35" w:name="article-14-propriété-intellectuelle"/>
    <w:p>
      <w:pPr>
        <w:pStyle w:val="Heading1"/>
      </w:pPr>
      <w:r>
        <w:t xml:space="preserve">Article 14 – Propriété intellectuelle</w:t>
      </w:r>
    </w:p>
    <w:p>
      <w:pPr>
        <w:pStyle w:val="FirstParagraph"/>
      </w:pPr>
      <w:r>
        <w:t xml:space="preserve">La plateforme PSM2S, son code source, son architecture, ses interfaces, sa documentation et ses éléments graphiques demeurent la propriété exclusive de PBCI Conseils.</w:t>
      </w:r>
    </w:p>
    <w:p>
      <w:pPr>
        <w:pStyle w:val="BodyText"/>
      </w:pPr>
      <w:r>
        <w:t xml:space="preserve">Aucun transfert de propriété intellectuelle n’est accordé au Client.</w:t>
      </w:r>
    </w:p>
    <w:p>
      <w:pPr>
        <w:pStyle w:val="BodyText"/>
      </w:pPr>
      <w:r>
        <w:t xml:space="preserve">Le Client bénéficie uniquement d’un droit d’utilisation pendant la durée du contrat.</w:t>
      </w:r>
    </w:p>
    <w:p>
      <w:r>
        <w:pict>
          <v:rect style="width:0;height:1.5pt" o:hralign="center" o:hrstd="t" o:hr="t"/>
        </w:pict>
      </w:r>
    </w:p>
    <w:bookmarkEnd w:id="35"/>
    <w:bookmarkStart w:id="36" w:name="article-15-confidentialité"/>
    <w:p>
      <w:pPr>
        <w:pStyle w:val="Heading1"/>
      </w:pPr>
      <w:r>
        <w:t xml:space="preserve">Article 15 – Confidentialité</w:t>
      </w:r>
    </w:p>
    <w:p>
      <w:pPr>
        <w:pStyle w:val="FirstParagraph"/>
      </w:pPr>
      <w:r>
        <w:t xml:space="preserve">Chaque partie s’engage à préserver la confidentialité des informations auxquelles elle pourrait avoir accès dans le cadre de l’exécution du contrat.</w:t>
      </w:r>
    </w:p>
    <w:p>
      <w:pPr>
        <w:pStyle w:val="BodyText"/>
      </w:pPr>
      <w:r>
        <w:t xml:space="preserve">Cette obligation demeure applicable pendant toute la durée du contrat ainsi que pendant cinq (5) années après son expiration.</w:t>
      </w:r>
    </w:p>
    <w:p>
      <w:r>
        <w:pict>
          <v:rect style="width:0;height:1.5pt" o:hralign="center" o:hrstd="t" o:hr="t"/>
        </w:pict>
      </w:r>
    </w:p>
    <w:bookmarkEnd w:id="36"/>
    <w:bookmarkStart w:id="37" w:name="article-16-limitation-de-responsabilité"/>
    <w:p>
      <w:pPr>
        <w:pStyle w:val="Heading1"/>
      </w:pPr>
      <w:r>
        <w:t xml:space="preserve">Article 16 – Limitation de responsabilité</w:t>
      </w:r>
    </w:p>
    <w:p>
      <w:pPr>
        <w:pStyle w:val="FirstParagraph"/>
      </w:pPr>
      <w:r>
        <w:t xml:space="preserve">Le Fournisseur est tenu à une obligation de moyens.</w:t>
      </w:r>
    </w:p>
    <w:p>
      <w:pPr>
        <w:pStyle w:val="BodyText"/>
      </w:pPr>
      <w:r>
        <w:t xml:space="preserve">En aucun cas le Fournisseur ne pourra être tenu responsable :</w:t>
      </w:r>
    </w:p>
    <w:p>
      <w:pPr>
        <w:pStyle w:val="Compact"/>
        <w:numPr>
          <w:ilvl w:val="0"/>
          <w:numId w:val="1008"/>
        </w:numPr>
      </w:pPr>
      <w:r>
        <w:t xml:space="preserve">d’une mauvaise utilisation de la plateforme ;</w:t>
      </w:r>
    </w:p>
    <w:p>
      <w:pPr>
        <w:pStyle w:val="Compact"/>
        <w:numPr>
          <w:ilvl w:val="0"/>
          <w:numId w:val="1008"/>
        </w:numPr>
      </w:pPr>
      <w:r>
        <w:t xml:space="preserve">d’une erreur de saisie ;</w:t>
      </w:r>
    </w:p>
    <w:p>
      <w:pPr>
        <w:pStyle w:val="Compact"/>
        <w:numPr>
          <w:ilvl w:val="0"/>
          <w:numId w:val="1008"/>
        </w:numPr>
      </w:pPr>
      <w:r>
        <w:t xml:space="preserve">d’une absence de saisie d’informations par le Client ;</w:t>
      </w:r>
    </w:p>
    <w:p>
      <w:pPr>
        <w:pStyle w:val="Compact"/>
        <w:numPr>
          <w:ilvl w:val="0"/>
          <w:numId w:val="1008"/>
        </w:numPr>
      </w:pPr>
      <w:r>
        <w:t xml:space="preserve">d’une décision prise par le Client sur la base des données disponibles dans PSM2S ;</w:t>
      </w:r>
    </w:p>
    <w:p>
      <w:pPr>
        <w:pStyle w:val="Compact"/>
        <w:numPr>
          <w:ilvl w:val="0"/>
          <w:numId w:val="1008"/>
        </w:numPr>
      </w:pPr>
      <w:r>
        <w:t xml:space="preserve">d’un contrôle réglementaire défavorable résultant d’informations non renseignées ou inexactes.</w:t>
      </w:r>
    </w:p>
    <w:p>
      <w:pPr>
        <w:pStyle w:val="FirstParagraph"/>
      </w:pPr>
      <w:r>
        <w:t xml:space="preserve">La responsabilité du Fournisseur est limitée au montant des sommes effectivement perçues au titre des douze derniers mois précédant le fait générateur du dommage.</w:t>
      </w:r>
    </w:p>
    <w:p>
      <w:r>
        <w:pict>
          <v:rect style="width:0;height:1.5pt" o:hralign="center" o:hrstd="t" o:hr="t"/>
        </w:pict>
      </w:r>
    </w:p>
    <w:bookmarkEnd w:id="37"/>
    <w:bookmarkStart w:id="38" w:name="article-17-force-majeure"/>
    <w:p>
      <w:pPr>
        <w:pStyle w:val="Heading1"/>
      </w:pPr>
      <w:r>
        <w:t xml:space="preserve">Article 17 – Force majeure</w:t>
      </w:r>
    </w:p>
    <w:p>
      <w:pPr>
        <w:pStyle w:val="FirstParagraph"/>
      </w:pPr>
      <w:r>
        <w:t xml:space="preserve">Aucune des parties ne pourra être tenue responsable d’un manquement résultant d’un événement de force majeure au sens de la législation française.</w:t>
      </w:r>
    </w:p>
    <w:p>
      <w:r>
        <w:pict>
          <v:rect style="width:0;height:1.5pt" o:hralign="center" o:hrstd="t" o:hr="t"/>
        </w:pict>
      </w:r>
    </w:p>
    <w:bookmarkEnd w:id="38"/>
    <w:bookmarkStart w:id="39" w:name="article-18-résiliation"/>
    <w:p>
      <w:pPr>
        <w:pStyle w:val="Heading1"/>
      </w:pPr>
      <w:r>
        <w:t xml:space="preserve">Article 18 – Résiliation</w:t>
      </w:r>
    </w:p>
    <w:p>
      <w:pPr>
        <w:pStyle w:val="FirstParagraph"/>
      </w:pPr>
      <w:r>
        <w:t xml:space="preserve">Les modalités de résiliation sont définies dans le contrat d’abonnement signé entre les parties.</w:t>
      </w:r>
    </w:p>
    <w:p>
      <w:r>
        <w:pict>
          <v:rect style="width:0;height:1.5pt" o:hralign="center" o:hrstd="t" o:hr="t"/>
        </w:pict>
      </w:r>
    </w:p>
    <w:bookmarkEnd w:id="39"/>
    <w:bookmarkStart w:id="40" w:name="article-19-droit-applicable"/>
    <w:p>
      <w:pPr>
        <w:pStyle w:val="Heading1"/>
      </w:pPr>
      <w:r>
        <w:t xml:space="preserve">Article 19 – Droit applicable</w:t>
      </w:r>
    </w:p>
    <w:p>
      <w:pPr>
        <w:pStyle w:val="FirstParagraph"/>
      </w:pPr>
      <w:r>
        <w:t xml:space="preserve">Les présentes CGV sont soumises au droit français.</w:t>
      </w:r>
    </w:p>
    <w:p>
      <w:r>
        <w:pict>
          <v:rect style="width:0;height:1.5pt" o:hralign="center" o:hrstd="t" o:hr="t"/>
        </w:pict>
      </w:r>
    </w:p>
    <w:bookmarkEnd w:id="40"/>
    <w:bookmarkStart w:id="41" w:name="article-20-litiges"/>
    <w:p>
      <w:pPr>
        <w:pStyle w:val="Heading1"/>
      </w:pPr>
      <w:r>
        <w:t xml:space="preserve">Article 20 – Litiges</w:t>
      </w:r>
    </w:p>
    <w:p>
      <w:pPr>
        <w:pStyle w:val="FirstParagraph"/>
      </w:pPr>
      <w:r>
        <w:t xml:space="preserve">Les parties s’engagent à rechercher une solution amiable avant toute procédure judiciaire.</w:t>
      </w:r>
    </w:p>
    <w:p>
      <w:pPr>
        <w:pStyle w:val="BodyText"/>
      </w:pPr>
      <w:r>
        <w:t xml:space="preserve">À défaut d’accord amiable, les tribunaux français seront seuls compétents.</w:t>
      </w:r>
    </w:p>
    <w:p>
      <w:pPr>
        <w:pStyle w:val="BodyText"/>
      </w:pPr>
      <w:r>
        <w:t xml:space="preserve">Fin des Conditions Générales de Vente PSM2S.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2026-06-12T08:04:46Z</dcterms:created>
  <dcterms:modified xsi:type="dcterms:W3CDTF">2026-06-12T08:04:46Z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