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B4BE496" w14:textId="77777777" w:rsidR="00EE39B2" w:rsidRDefault="00000000">
      <w:pPr>
        <w:pStyle w:val="Heading1"/>
        <w:jc w:val="center"/>
        <w:rPr>
          <w:rFonts w:ascii="Google Sans" w:eastAsia="Google Sans" w:hAnsi="Google Sans" w:cs="Google Sans"/>
        </w:rPr>
      </w:pPr>
      <w:bookmarkStart w:id="0" w:name="_evidx83t54sc" w:colFirst="0" w:colLast="0"/>
      <w:bookmarkEnd w:id="0"/>
      <w:proofErr w:type="spellStart"/>
      <w:r>
        <w:rPr>
          <w:rFonts w:ascii="Google Sans" w:eastAsia="Google Sans" w:hAnsi="Google Sans" w:cs="Google Sans"/>
        </w:rPr>
        <w:t>Botium</w:t>
      </w:r>
      <w:proofErr w:type="spellEnd"/>
      <w:r>
        <w:rPr>
          <w:rFonts w:ascii="Google Sans" w:eastAsia="Google Sans" w:hAnsi="Google Sans" w:cs="Google Sans"/>
        </w:rPr>
        <w:t xml:space="preserve"> Toys: Scope, goals, and risk assessment report</w:t>
      </w:r>
    </w:p>
    <w:p w14:paraId="798CF6A7" w14:textId="77777777" w:rsidR="00EE39B2" w:rsidRDefault="00000000">
      <w:pPr>
        <w:rPr>
          <w:rFonts w:ascii="Google Sans" w:eastAsia="Google Sans" w:hAnsi="Google Sans" w:cs="Google Sans"/>
          <w:color w:val="CC0000"/>
          <w:sz w:val="24"/>
          <w:szCs w:val="24"/>
        </w:rPr>
      </w:pPr>
      <w:r>
        <w:rPr>
          <w:rFonts w:ascii="Google Sans" w:eastAsia="Google Sans" w:hAnsi="Google Sans" w:cs="Google Sans"/>
          <w:noProof/>
          <w:color w:val="CC0000"/>
          <w:sz w:val="24"/>
          <w:szCs w:val="24"/>
        </w:rPr>
        <mc:AlternateContent>
          <mc:Choice Requires="wpg">
            <w:drawing>
              <wp:inline distT="114300" distB="114300" distL="114300" distR="114300" wp14:anchorId="35AEF68C" wp14:editId="1435298F">
                <wp:extent cx="5943600" cy="14118"/>
                <wp:effectExtent l="0" t="0" r="0" b="0"/>
                <wp:docPr id="1" name="Straight Arrow Connector 1"/>
                <wp:cNvGraphicFramePr/>
                <a:graphic xmlns:a="http://schemas.openxmlformats.org/drawingml/2006/main">
                  <a:graphicData uri="http://schemas.microsoft.com/office/word/2010/wordprocessingShape">
                    <wps:wsp>
                      <wps:cNvCnPr/>
                      <wps:spPr>
                        <a:xfrm>
                          <a:off x="914400" y="1219200"/>
                          <a:ext cx="8001000" cy="0"/>
                        </a:xfrm>
                        <a:prstGeom prst="straightConnector1">
                          <a:avLst/>
                        </a:prstGeom>
                        <a:noFill/>
                        <a:ln w="19050" cap="flat" cmpd="sng">
                          <a:solidFill>
                            <a:srgbClr val="FFFF00"/>
                          </a:solidFill>
                          <a:prstDash val="solid"/>
                          <a:round/>
                          <a:headEnd type="none" w="med" len="med"/>
                          <a:tailEnd type="none" w="med" len="med"/>
                        </a:ln>
                      </wps:spPr>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5943600" cy="14118"/>
                        </a:xfrm>
                        <a:prstGeom prst="rect"/>
                        <a:ln/>
                      </pic:spPr>
                    </pic:pic>
                  </a:graphicData>
                </a:graphic>
              </wp:inline>
            </w:drawing>
          </mc:Fallback>
        </mc:AlternateContent>
      </w:r>
    </w:p>
    <w:p w14:paraId="2FDF4C4C" w14:textId="77777777" w:rsidR="00EE39B2" w:rsidRDefault="00000000">
      <w:pPr>
        <w:pStyle w:val="Heading2"/>
        <w:rPr>
          <w:rFonts w:ascii="Google Sans" w:eastAsia="Google Sans" w:hAnsi="Google Sans" w:cs="Google Sans"/>
          <w:b/>
          <w:color w:val="000000"/>
          <w:sz w:val="24"/>
          <w:szCs w:val="24"/>
        </w:rPr>
      </w:pPr>
      <w:bookmarkStart w:id="1" w:name="_kc2jqdd8nifa" w:colFirst="0" w:colLast="0"/>
      <w:bookmarkEnd w:id="1"/>
      <w:r>
        <w:rPr>
          <w:rFonts w:ascii="Google Sans" w:eastAsia="Google Sans" w:hAnsi="Google Sans" w:cs="Google Sans"/>
        </w:rPr>
        <w:t>Scope and goals of the audit</w:t>
      </w:r>
    </w:p>
    <w:p w14:paraId="247EBB2E" w14:textId="77777777" w:rsidR="00EE39B2" w:rsidRDefault="00000000">
      <w:pPr>
        <w:pStyle w:val="Subtitle"/>
        <w:rPr>
          <w:rFonts w:ascii="Google Sans" w:eastAsia="Google Sans" w:hAnsi="Google Sans" w:cs="Google Sans"/>
          <w:color w:val="000000"/>
          <w:sz w:val="24"/>
          <w:szCs w:val="24"/>
        </w:rPr>
      </w:pPr>
      <w:bookmarkStart w:id="2" w:name="_5amnjv9mhbsx" w:colFirst="0" w:colLast="0"/>
      <w:bookmarkEnd w:id="2"/>
      <w:r>
        <w:rPr>
          <w:rFonts w:ascii="Google Sans" w:eastAsia="Google Sans" w:hAnsi="Google Sans" w:cs="Google Sans"/>
          <w:b/>
          <w:color w:val="000000"/>
          <w:sz w:val="24"/>
          <w:szCs w:val="24"/>
        </w:rPr>
        <w:t xml:space="preserve">Scope: </w:t>
      </w:r>
      <w:r>
        <w:rPr>
          <w:rFonts w:ascii="Google Sans" w:eastAsia="Google Sans" w:hAnsi="Google Sans" w:cs="Google Sans"/>
          <w:color w:val="000000"/>
          <w:sz w:val="24"/>
          <w:szCs w:val="24"/>
        </w:rPr>
        <w:t xml:space="preserve">The scope is defined as the entire security program at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This means all assets need to be assessed alongside internal processes and procedures related to the implementation of controls and compliance best practices.</w:t>
      </w:r>
    </w:p>
    <w:p w14:paraId="2CDF96B3" w14:textId="77777777" w:rsidR="00EE39B2" w:rsidRDefault="00000000">
      <w:pPr>
        <w:pStyle w:val="Subtitle"/>
        <w:rPr>
          <w:rFonts w:ascii="Google Sans" w:eastAsia="Google Sans" w:hAnsi="Google Sans" w:cs="Google Sans"/>
          <w:color w:val="000000"/>
        </w:rPr>
      </w:pPr>
      <w:bookmarkStart w:id="3" w:name="_17mak1awllyh" w:colFirst="0" w:colLast="0"/>
      <w:bookmarkEnd w:id="3"/>
      <w:r>
        <w:rPr>
          <w:rFonts w:ascii="Google Sans" w:eastAsia="Google Sans" w:hAnsi="Google Sans" w:cs="Google Sans"/>
          <w:b/>
          <w:color w:val="000000"/>
          <w:sz w:val="24"/>
          <w:szCs w:val="24"/>
        </w:rPr>
        <w:t>Goals:</w:t>
      </w:r>
      <w:r>
        <w:rPr>
          <w:rFonts w:ascii="Google Sans" w:eastAsia="Google Sans" w:hAnsi="Google Sans" w:cs="Google Sans"/>
          <w:color w:val="000000"/>
          <w:sz w:val="24"/>
          <w:szCs w:val="24"/>
        </w:rPr>
        <w:t xml:space="preserve"> Assess existing assets and complete the controls and compliance checklist to determine which controls and compliance best practices need to be implemented </w:t>
      </w:r>
      <w:proofErr w:type="gramStart"/>
      <w:r>
        <w:rPr>
          <w:rFonts w:ascii="Google Sans" w:eastAsia="Google Sans" w:hAnsi="Google Sans" w:cs="Google Sans"/>
          <w:color w:val="000000"/>
          <w:sz w:val="24"/>
          <w:szCs w:val="24"/>
        </w:rPr>
        <w:t>to  improve</w:t>
      </w:r>
      <w:proofErr w:type="gramEnd"/>
      <w:r>
        <w:rPr>
          <w:rFonts w:ascii="Google Sans" w:eastAsia="Google Sans" w:hAnsi="Google Sans" w:cs="Google Sans"/>
          <w:color w:val="000000"/>
          <w:sz w:val="24"/>
          <w:szCs w:val="24"/>
        </w:rPr>
        <w:t xml:space="preserve"> </w:t>
      </w:r>
      <w:proofErr w:type="spellStart"/>
      <w:r>
        <w:rPr>
          <w:rFonts w:ascii="Google Sans" w:eastAsia="Google Sans" w:hAnsi="Google Sans" w:cs="Google Sans"/>
          <w:color w:val="000000"/>
          <w:sz w:val="24"/>
          <w:szCs w:val="24"/>
        </w:rPr>
        <w:t>Botium</w:t>
      </w:r>
      <w:proofErr w:type="spellEnd"/>
      <w:r>
        <w:rPr>
          <w:rFonts w:ascii="Google Sans" w:eastAsia="Google Sans" w:hAnsi="Google Sans" w:cs="Google Sans"/>
          <w:color w:val="000000"/>
          <w:sz w:val="24"/>
          <w:szCs w:val="24"/>
        </w:rPr>
        <w:t xml:space="preserve"> Toys’ security posture.</w:t>
      </w:r>
    </w:p>
    <w:p w14:paraId="18A51357" w14:textId="77777777" w:rsidR="00EE39B2" w:rsidRDefault="00000000">
      <w:pPr>
        <w:pStyle w:val="Heading2"/>
        <w:rPr>
          <w:rFonts w:ascii="Google Sans" w:eastAsia="Google Sans" w:hAnsi="Google Sans" w:cs="Google Sans"/>
        </w:rPr>
      </w:pPr>
      <w:bookmarkStart w:id="4" w:name="_jdudu6fs5rtm" w:colFirst="0" w:colLast="0"/>
      <w:bookmarkEnd w:id="4"/>
      <w:r>
        <w:rPr>
          <w:rFonts w:ascii="Google Sans" w:eastAsia="Google Sans" w:hAnsi="Google Sans" w:cs="Google Sans"/>
        </w:rPr>
        <w:t>Current assets</w:t>
      </w:r>
    </w:p>
    <w:p w14:paraId="0FE3C0EF" w14:textId="77777777"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Assets managed by the IT Department include: </w:t>
      </w:r>
    </w:p>
    <w:p w14:paraId="2F6D3983"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On-premises equipment for in-office business needs  </w:t>
      </w:r>
    </w:p>
    <w:p w14:paraId="0C442245"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Employee equipment: end-user devices (desktops/laptops, smartphones), remote workstations, headsets, cables, keyboards, mice, docking stations, surveillance cameras, etc.</w:t>
      </w:r>
    </w:p>
    <w:p w14:paraId="2CE37614"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Storefront products available for retail sale on site and online; stored in the company’s adjoining warehouse</w:t>
      </w:r>
    </w:p>
    <w:p w14:paraId="2D359BE8"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Management of systems, software, and services: accounting, telecommunication, database, security, ecommerce, and inventory management</w:t>
      </w:r>
    </w:p>
    <w:p w14:paraId="7CAAE76C"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Internet access</w:t>
      </w:r>
    </w:p>
    <w:p w14:paraId="437D19C3"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Internal network</w:t>
      </w:r>
    </w:p>
    <w:p w14:paraId="31522DAD"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Data retention and storage</w:t>
      </w:r>
    </w:p>
    <w:p w14:paraId="38AF058A" w14:textId="77777777" w:rsidR="00EE39B2" w:rsidRDefault="00000000">
      <w:pPr>
        <w:numPr>
          <w:ilvl w:val="0"/>
          <w:numId w:val="1"/>
        </w:numPr>
        <w:rPr>
          <w:rFonts w:ascii="Google Sans" w:eastAsia="Google Sans" w:hAnsi="Google Sans" w:cs="Google Sans"/>
          <w:sz w:val="24"/>
          <w:szCs w:val="24"/>
        </w:rPr>
      </w:pPr>
      <w:r>
        <w:rPr>
          <w:rFonts w:ascii="Google Sans" w:eastAsia="Google Sans" w:hAnsi="Google Sans" w:cs="Google Sans"/>
          <w:sz w:val="24"/>
          <w:szCs w:val="24"/>
        </w:rPr>
        <w:t xml:space="preserve">Legacy system maintenance: end-of-life systems that require human monitoring </w:t>
      </w:r>
    </w:p>
    <w:p w14:paraId="2D7441BF" w14:textId="77777777" w:rsidR="00EE39B2" w:rsidRDefault="00000000">
      <w:pPr>
        <w:pStyle w:val="Heading2"/>
        <w:rPr>
          <w:rFonts w:ascii="Google Sans" w:eastAsia="Google Sans" w:hAnsi="Google Sans" w:cs="Google Sans"/>
        </w:rPr>
      </w:pPr>
      <w:bookmarkStart w:id="5" w:name="_5i80k6dm51vy" w:colFirst="0" w:colLast="0"/>
      <w:bookmarkEnd w:id="5"/>
      <w:r>
        <w:rPr>
          <w:rFonts w:ascii="Google Sans" w:eastAsia="Google Sans" w:hAnsi="Google Sans" w:cs="Google Sans"/>
        </w:rPr>
        <w:lastRenderedPageBreak/>
        <w:t>Risk assessment</w:t>
      </w:r>
    </w:p>
    <w:p w14:paraId="600B0238" w14:textId="77777777" w:rsidR="00EE39B2" w:rsidRDefault="00000000">
      <w:pPr>
        <w:pStyle w:val="Heading3"/>
        <w:rPr>
          <w:rFonts w:ascii="Google Sans" w:eastAsia="Google Sans" w:hAnsi="Google Sans" w:cs="Google Sans"/>
        </w:rPr>
      </w:pPr>
      <w:bookmarkStart w:id="6" w:name="_tkycrv8qc7kh" w:colFirst="0" w:colLast="0"/>
      <w:bookmarkEnd w:id="6"/>
      <w:r>
        <w:rPr>
          <w:rFonts w:ascii="Google Sans" w:eastAsia="Google Sans" w:hAnsi="Google Sans" w:cs="Google Sans"/>
        </w:rPr>
        <w:t>Risk description</w:t>
      </w:r>
    </w:p>
    <w:p w14:paraId="21610346" w14:textId="77777777" w:rsidR="00EE39B2" w:rsidRDefault="00000000">
      <w:pPr>
        <w:rPr>
          <w:rFonts w:ascii="Google Sans" w:eastAsia="Google Sans" w:hAnsi="Google Sans" w:cs="Google Sans"/>
        </w:rPr>
      </w:pPr>
      <w:r>
        <w:rPr>
          <w:rFonts w:ascii="Google Sans" w:eastAsia="Google Sans" w:hAnsi="Google Sans" w:cs="Google Sans"/>
          <w:sz w:val="24"/>
          <w:szCs w:val="24"/>
        </w:rPr>
        <w:t xml:space="preserve">Currently, there is inadequate management of assets. Additionally,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proper controls in place and may not be fully compliant with U.S. and international regulations and standards.</w:t>
      </w:r>
      <w:r>
        <w:rPr>
          <w:rFonts w:ascii="Google Sans" w:eastAsia="Google Sans" w:hAnsi="Google Sans" w:cs="Google Sans"/>
        </w:rPr>
        <w:t xml:space="preserve"> </w:t>
      </w:r>
    </w:p>
    <w:p w14:paraId="21C7619C" w14:textId="77777777" w:rsidR="00EE39B2" w:rsidRDefault="00000000">
      <w:pPr>
        <w:pStyle w:val="Heading3"/>
        <w:rPr>
          <w:rFonts w:ascii="Google Sans" w:eastAsia="Google Sans" w:hAnsi="Google Sans" w:cs="Google Sans"/>
        </w:rPr>
      </w:pPr>
      <w:bookmarkStart w:id="7" w:name="_pepjp18yvpjs" w:colFirst="0" w:colLast="0"/>
      <w:bookmarkEnd w:id="7"/>
      <w:r>
        <w:rPr>
          <w:rFonts w:ascii="Google Sans" w:eastAsia="Google Sans" w:hAnsi="Google Sans" w:cs="Google Sans"/>
        </w:rPr>
        <w:t>Control best practices</w:t>
      </w:r>
    </w:p>
    <w:p w14:paraId="78F85497" w14:textId="35FD2D00"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first of the five functions of the NIST CSF is Identify.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will need to dedicate resources to identify assets so they can appropriately manage them. Additionally, they will need to classify existing assets and determine the impact of the loss of existing assets, including systems, on business continuity.</w:t>
      </w:r>
      <w:r w:rsidR="00E93642">
        <w:rPr>
          <w:rFonts w:ascii="Google Sans" w:eastAsia="Google Sans" w:hAnsi="Google Sans" w:cs="Google Sans"/>
          <w:sz w:val="24"/>
          <w:szCs w:val="24"/>
        </w:rPr>
        <w:t xml:space="preserve"> </w:t>
      </w:r>
    </w:p>
    <w:p w14:paraId="69D22A86" w14:textId="77777777" w:rsidR="00EE39B2" w:rsidRDefault="00000000">
      <w:pPr>
        <w:pStyle w:val="Heading3"/>
        <w:rPr>
          <w:rFonts w:ascii="Google Sans" w:eastAsia="Google Sans" w:hAnsi="Google Sans" w:cs="Google Sans"/>
        </w:rPr>
      </w:pPr>
      <w:bookmarkStart w:id="8" w:name="_ghnlzhum2uiy" w:colFirst="0" w:colLast="0"/>
      <w:bookmarkEnd w:id="8"/>
      <w:r>
        <w:rPr>
          <w:rFonts w:ascii="Google Sans" w:eastAsia="Google Sans" w:hAnsi="Google Sans" w:cs="Google Sans"/>
        </w:rPr>
        <w:t>Risk score</w:t>
      </w:r>
    </w:p>
    <w:p w14:paraId="3EB658AE" w14:textId="77777777"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On a scale of 1 to 10, the risk score is 8, which is </w:t>
      </w:r>
      <w:proofErr w:type="gramStart"/>
      <w:r>
        <w:rPr>
          <w:rFonts w:ascii="Google Sans" w:eastAsia="Google Sans" w:hAnsi="Google Sans" w:cs="Google Sans"/>
          <w:sz w:val="24"/>
          <w:szCs w:val="24"/>
        </w:rPr>
        <w:t>fairly high</w:t>
      </w:r>
      <w:proofErr w:type="gramEnd"/>
      <w:r>
        <w:rPr>
          <w:rFonts w:ascii="Google Sans" w:eastAsia="Google Sans" w:hAnsi="Google Sans" w:cs="Google Sans"/>
          <w:sz w:val="24"/>
          <w:szCs w:val="24"/>
        </w:rPr>
        <w:t xml:space="preserve">. This is due to a lack of </w:t>
      </w:r>
      <w:proofErr w:type="gramStart"/>
      <w:r>
        <w:rPr>
          <w:rFonts w:ascii="Google Sans" w:eastAsia="Google Sans" w:hAnsi="Google Sans" w:cs="Google Sans"/>
          <w:sz w:val="24"/>
          <w:szCs w:val="24"/>
        </w:rPr>
        <w:t>controls</w:t>
      </w:r>
      <w:proofErr w:type="gramEnd"/>
      <w:r>
        <w:rPr>
          <w:rFonts w:ascii="Google Sans" w:eastAsia="Google Sans" w:hAnsi="Google Sans" w:cs="Google Sans"/>
          <w:sz w:val="24"/>
          <w:szCs w:val="24"/>
        </w:rPr>
        <w:t xml:space="preserve"> and adherence to compliance best practices.</w:t>
      </w:r>
    </w:p>
    <w:p w14:paraId="7474EAAB" w14:textId="77777777" w:rsidR="00EE39B2" w:rsidRDefault="00000000">
      <w:pPr>
        <w:pStyle w:val="Heading3"/>
        <w:rPr>
          <w:rFonts w:ascii="Google Sans" w:eastAsia="Google Sans" w:hAnsi="Google Sans" w:cs="Google Sans"/>
        </w:rPr>
      </w:pPr>
      <w:bookmarkStart w:id="9" w:name="_kmpxjpzb7q2o" w:colFirst="0" w:colLast="0"/>
      <w:bookmarkEnd w:id="9"/>
      <w:r>
        <w:rPr>
          <w:rFonts w:ascii="Google Sans" w:eastAsia="Google Sans" w:hAnsi="Google Sans" w:cs="Google Sans"/>
        </w:rPr>
        <w:t>Additional comments</w:t>
      </w:r>
    </w:p>
    <w:p w14:paraId="445B8BB2" w14:textId="77777777" w:rsidR="00EE39B2" w:rsidRDefault="00000000">
      <w:pPr>
        <w:rPr>
          <w:rFonts w:ascii="Google Sans" w:eastAsia="Google Sans" w:hAnsi="Google Sans" w:cs="Google Sans"/>
          <w:sz w:val="24"/>
          <w:szCs w:val="24"/>
        </w:rPr>
      </w:pPr>
      <w:r>
        <w:rPr>
          <w:rFonts w:ascii="Google Sans" w:eastAsia="Google Sans" w:hAnsi="Google Sans" w:cs="Google Sans"/>
          <w:sz w:val="24"/>
          <w:szCs w:val="24"/>
        </w:rPr>
        <w:t xml:space="preserve">The potential impact from the loss of an asset is rated as medium, because the IT department does not know which assets would be at risk. The risk to assets or fines from governing bodies is high because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does not have </w:t>
      </w:r>
      <w:proofErr w:type="gramStart"/>
      <w:r>
        <w:rPr>
          <w:rFonts w:ascii="Google Sans" w:eastAsia="Google Sans" w:hAnsi="Google Sans" w:cs="Google Sans"/>
          <w:sz w:val="24"/>
          <w:szCs w:val="24"/>
        </w:rPr>
        <w:t>all of</w:t>
      </w:r>
      <w:proofErr w:type="gramEnd"/>
      <w:r>
        <w:rPr>
          <w:rFonts w:ascii="Google Sans" w:eastAsia="Google Sans" w:hAnsi="Google Sans" w:cs="Google Sans"/>
          <w:sz w:val="24"/>
          <w:szCs w:val="24"/>
        </w:rPr>
        <w:t xml:space="preserve"> the necessary controls in place and is not fully adhering to best practices related to compliance regulations that keep critical data private/secure. Review the following bullet points for specific details:</w:t>
      </w:r>
    </w:p>
    <w:p w14:paraId="070B02F6" w14:textId="77777777" w:rsidR="00EE39B2" w:rsidRDefault="00EE39B2">
      <w:pPr>
        <w:rPr>
          <w:rFonts w:ascii="Google Sans" w:eastAsia="Google Sans" w:hAnsi="Google Sans" w:cs="Google Sans"/>
          <w:sz w:val="24"/>
          <w:szCs w:val="24"/>
          <w:highlight w:val="yellow"/>
        </w:rPr>
      </w:pPr>
    </w:p>
    <w:p w14:paraId="4C7D3BEF" w14:textId="77777777"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Currently, all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employees have access to internally stored data and may be able to access cardholder data and customers’ PII/SPII.</w:t>
      </w:r>
    </w:p>
    <w:p w14:paraId="7B710BE0" w14:textId="77777777"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Encryption is not currently used to ensure confidentiality of customers’ credit card information that is accepted, processed, transmitted, and stored locally in the company’s internal database. </w:t>
      </w:r>
    </w:p>
    <w:p w14:paraId="3AE1783A" w14:textId="77777777"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Access controls pertaining to </w:t>
      </w:r>
      <w:proofErr w:type="gramStart"/>
      <w:r>
        <w:rPr>
          <w:rFonts w:ascii="Google Sans" w:eastAsia="Google Sans" w:hAnsi="Google Sans" w:cs="Google Sans"/>
          <w:sz w:val="24"/>
          <w:szCs w:val="24"/>
        </w:rPr>
        <w:t>least</w:t>
      </w:r>
      <w:proofErr w:type="gramEnd"/>
      <w:r>
        <w:rPr>
          <w:rFonts w:ascii="Google Sans" w:eastAsia="Google Sans" w:hAnsi="Google Sans" w:cs="Google Sans"/>
          <w:sz w:val="24"/>
          <w:szCs w:val="24"/>
        </w:rPr>
        <w:t xml:space="preserve"> privilege and separation of duties have not been implemented.</w:t>
      </w:r>
    </w:p>
    <w:p w14:paraId="76CE199D" w14:textId="4CB43C34" w:rsidR="00EE39B2" w:rsidRDefault="00000000">
      <w:pPr>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ensured availability and integrated controls to ensure data integrity.</w:t>
      </w:r>
      <w:r w:rsidR="00E93642">
        <w:rPr>
          <w:rFonts w:ascii="Google Sans" w:eastAsia="Google Sans" w:hAnsi="Google Sans" w:cs="Google Sans"/>
          <w:sz w:val="24"/>
          <w:szCs w:val="24"/>
        </w:rPr>
        <w:t xml:space="preserve"> </w:t>
      </w:r>
    </w:p>
    <w:p w14:paraId="5BB9A65A"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a firewall that blocks traffic based on an appropriately defined set of security rules.</w:t>
      </w:r>
    </w:p>
    <w:p w14:paraId="7C2FB085"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Antivirus software is installed and monitored regularly by the IT department. </w:t>
      </w:r>
    </w:p>
    <w:p w14:paraId="4C93D8C0"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lastRenderedPageBreak/>
        <w:t>The IT department has not installed an intrusion detection system (IDS).</w:t>
      </w:r>
    </w:p>
    <w:p w14:paraId="5EEF1018"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There </w:t>
      </w:r>
      <w:proofErr w:type="gramStart"/>
      <w:r>
        <w:rPr>
          <w:rFonts w:ascii="Google Sans" w:eastAsia="Google Sans" w:hAnsi="Google Sans" w:cs="Google Sans"/>
          <w:sz w:val="24"/>
          <w:szCs w:val="24"/>
        </w:rPr>
        <w:t>are</w:t>
      </w:r>
      <w:proofErr w:type="gramEnd"/>
      <w:r>
        <w:rPr>
          <w:rFonts w:ascii="Google Sans" w:eastAsia="Google Sans" w:hAnsi="Google Sans" w:cs="Google Sans"/>
          <w:sz w:val="24"/>
          <w:szCs w:val="24"/>
        </w:rPr>
        <w:t xml:space="preserve"> no disaster recovery plans currently in place, and the company does not have backups of critical data. </w:t>
      </w:r>
    </w:p>
    <w:p w14:paraId="14495A76"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14:paraId="5D20305D"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Although a password policy exists, its requirements are nominal and not in line with current minimum password complexity requirements (e.g., at least eight characters, a combination of letters and at least one number; special characters). </w:t>
      </w:r>
    </w:p>
    <w:p w14:paraId="36EC5546"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There is no centralized password management system that enforces the password policy’s minimum requirements, which sometimes affects productivity when employees/vendors submit a ticket to the IT department to recover or reset a password.</w:t>
      </w:r>
    </w:p>
    <w:p w14:paraId="23903114"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While legacy systems are monitored and maintained, there is no regular schedule in place for these tasks and intervention methods are unclear.</w:t>
      </w:r>
    </w:p>
    <w:p w14:paraId="6DB78D27" w14:textId="77777777" w:rsidR="00EE39B2" w:rsidRDefault="00000000">
      <w:pPr>
        <w:widowControl w:val="0"/>
        <w:numPr>
          <w:ilvl w:val="0"/>
          <w:numId w:val="2"/>
        </w:numPr>
        <w:spacing w:line="240" w:lineRule="auto"/>
        <w:rPr>
          <w:rFonts w:ascii="Google Sans" w:eastAsia="Google Sans" w:hAnsi="Google Sans" w:cs="Google Sans"/>
          <w:sz w:val="24"/>
          <w:szCs w:val="24"/>
        </w:rPr>
      </w:pPr>
      <w:r>
        <w:rPr>
          <w:rFonts w:ascii="Google Sans" w:eastAsia="Google Sans" w:hAnsi="Google Sans" w:cs="Google Sans"/>
          <w:sz w:val="24"/>
          <w:szCs w:val="24"/>
        </w:rPr>
        <w:t xml:space="preserve">The store’s physical location, which includes </w:t>
      </w:r>
      <w:proofErr w:type="spellStart"/>
      <w:r>
        <w:rPr>
          <w:rFonts w:ascii="Google Sans" w:eastAsia="Google Sans" w:hAnsi="Google Sans" w:cs="Google Sans"/>
          <w:sz w:val="24"/>
          <w:szCs w:val="24"/>
        </w:rPr>
        <w:t>Botium</w:t>
      </w:r>
      <w:proofErr w:type="spellEnd"/>
      <w:r>
        <w:rPr>
          <w:rFonts w:ascii="Google Sans" w:eastAsia="Google Sans" w:hAnsi="Google Sans" w:cs="Google Sans"/>
          <w:sz w:val="24"/>
          <w:szCs w:val="24"/>
        </w:rPr>
        <w:t xml:space="preserve"> Toys’ main offices, store front, and warehouse of products, has sufficient locks, up-to-date closed-circuit television (CCTV) surveillance, as well as functioning fire detection and prevention systems.</w:t>
      </w:r>
    </w:p>
    <w:sectPr w:rsidR="00EE39B2">
      <w:headerReference w:type="default" r:id="rId8"/>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390AB" w14:textId="77777777" w:rsidR="00AE620D" w:rsidRDefault="00AE620D">
      <w:pPr>
        <w:spacing w:line="240" w:lineRule="auto"/>
      </w:pPr>
      <w:r>
        <w:separator/>
      </w:r>
    </w:p>
  </w:endnote>
  <w:endnote w:type="continuationSeparator" w:id="0">
    <w:p w14:paraId="7348AAEA" w14:textId="77777777" w:rsidR="00AE620D" w:rsidRDefault="00AE62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oogle Sans">
    <w:charset w:val="00"/>
    <w:family w:val="auto"/>
    <w:pitch w:val="default"/>
    <w:embedRegular r:id="rId1" w:fontKey="{3E049282-C087-45BA-9414-7F2FCC19A0EA}"/>
    <w:embedBold r:id="rId2" w:fontKey="{FD1792D4-9BB4-46C6-9580-BBBE5AC95AF1}"/>
  </w:font>
  <w:font w:name="Calibri">
    <w:panose1 w:val="020F0502020204030204"/>
    <w:charset w:val="00"/>
    <w:family w:val="swiss"/>
    <w:pitch w:val="variable"/>
    <w:sig w:usb0="E4002EFF" w:usb1="C200247B" w:usb2="00000009" w:usb3="00000000" w:csb0="000001FF" w:csb1="00000000"/>
    <w:embedRegular r:id="rId3" w:fontKey="{E9FEA904-E1F4-4EBE-AA42-0028F0E1B2EE}"/>
  </w:font>
  <w:font w:name="Cambria">
    <w:panose1 w:val="02040503050406030204"/>
    <w:charset w:val="00"/>
    <w:family w:val="roman"/>
    <w:pitch w:val="variable"/>
    <w:sig w:usb0="E00006FF" w:usb1="420024FF" w:usb2="02000000" w:usb3="00000000" w:csb0="0000019F" w:csb1="00000000"/>
    <w:embedRegular r:id="rId4" w:fontKey="{970A121F-548A-48FD-9AAC-BC5DFB7BDFE3}"/>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57F760F" w14:textId="77777777" w:rsidR="00AE620D" w:rsidRDefault="00AE620D">
      <w:pPr>
        <w:spacing w:line="240" w:lineRule="auto"/>
      </w:pPr>
      <w:r>
        <w:separator/>
      </w:r>
    </w:p>
  </w:footnote>
  <w:footnote w:type="continuationSeparator" w:id="0">
    <w:p w14:paraId="036758F4" w14:textId="77777777" w:rsidR="00AE620D" w:rsidRDefault="00AE62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649482" w14:textId="77777777" w:rsidR="00EE39B2" w:rsidRDefault="00EE39B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1B691D"/>
    <w:multiLevelType w:val="multilevel"/>
    <w:tmpl w:val="97E820A6"/>
    <w:lvl w:ilvl="0">
      <w:start w:val="1"/>
      <w:numFmt w:val="bullet"/>
      <w:lvlText w:val="●"/>
      <w:lvlJc w:val="left"/>
      <w:pPr>
        <w:ind w:left="720" w:hanging="360"/>
      </w:pPr>
      <w:rPr>
        <w:u w:val="none"/>
        <w:shd w:val="clear" w:color="auto" w:fill="auto"/>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6D6AD7"/>
    <w:multiLevelType w:val="multilevel"/>
    <w:tmpl w:val="23EC96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30293728">
    <w:abstractNumId w:val="1"/>
  </w:num>
  <w:num w:numId="2" w16cid:durableId="19168642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39B2"/>
    <w:rsid w:val="00A730A8"/>
    <w:rsid w:val="00AE620D"/>
    <w:rsid w:val="00DE4AA9"/>
    <w:rsid w:val="00E93642"/>
    <w:rsid w:val="00EE39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492BCA"/>
  <w15:docId w15:val="{F24947D7-072B-4A48-AB3F-156B28709A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668</Words>
  <Characters>3810</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Philip Anderegg</cp:lastModifiedBy>
  <cp:revision>2</cp:revision>
  <dcterms:created xsi:type="dcterms:W3CDTF">2025-07-14T01:06:00Z</dcterms:created>
  <dcterms:modified xsi:type="dcterms:W3CDTF">2025-07-15T22:58:00Z</dcterms:modified>
</cp:coreProperties>
</file>