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BE496" w14:textId="77777777" w:rsidR="00EE39B2" w:rsidRDefault="00000000">
      <w:pPr>
        <w:pStyle w:val="Heading1"/>
        <w:jc w:val="center"/>
        <w:rPr>
          <w:rFonts w:ascii="Google Sans" w:eastAsia="Google Sans" w:hAnsi="Google Sans" w:cs="Google Sans"/>
        </w:rPr>
      </w:pPr>
      <w:bookmarkStart w:id="0" w:name="_evidx83t54sc" w:colFirst="0" w:colLast="0"/>
      <w:bookmarkEnd w:id="0"/>
      <w:r>
        <w:rPr>
          <w:rFonts w:ascii="Google Sans" w:eastAsia="Google Sans" w:hAnsi="Google Sans" w:cs="Google Sans"/>
        </w:rPr>
        <w:t>Botium Toys: Scope, goals, and risk assessment report</w:t>
      </w:r>
    </w:p>
    <w:p w14:paraId="798CF6A7" w14:textId="77777777" w:rsidR="00EE39B2"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35AEF68C" wp14:editId="1435298F">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2FDF4C4C" w14:textId="77777777" w:rsidR="00EE39B2"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247EBB2E" w14:textId="77777777" w:rsidR="00EE39B2"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The scope is defined as the entire security program at Botium Toys. This means all assets need to be assessed alongside internal processes and procedures related to the implementation of controls and compliance best practices.</w:t>
      </w:r>
    </w:p>
    <w:p w14:paraId="2CDF96B3" w14:textId="77777777" w:rsidR="00EE39B2"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to  improve Botium Toys’ security posture.</w:t>
      </w:r>
    </w:p>
    <w:p w14:paraId="18A51357" w14:textId="77777777" w:rsidR="00EE39B2"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0FE3C0EF" w14:textId="77777777"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2F6D3983"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0C442245"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2CE37614"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2D359BE8"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7CAAE76C"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437D19C3"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31522DAD"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38AF058A"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2D7441BF" w14:textId="77777777" w:rsidR="00EE39B2"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600B0238" w14:textId="77777777" w:rsidR="00EE39B2"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21610346" w14:textId="77777777" w:rsidR="00EE39B2" w:rsidRDefault="00000000">
      <w:pPr>
        <w:rPr>
          <w:rFonts w:ascii="Google Sans" w:eastAsia="Google Sans" w:hAnsi="Google Sans" w:cs="Google Sans"/>
        </w:rPr>
      </w:pPr>
      <w:r>
        <w:rPr>
          <w:rFonts w:ascii="Google Sans" w:eastAsia="Google Sans" w:hAnsi="Google Sans" w:cs="Google Sans"/>
          <w:sz w:val="24"/>
          <w:szCs w:val="24"/>
        </w:rPr>
        <w:t>Currently, there is inadequate management of assets. Additionally, Botium Toys does not have all of the proper controls in place and may not be fully compliant with U.S. and international regulations and standards.</w:t>
      </w:r>
      <w:r>
        <w:rPr>
          <w:rFonts w:ascii="Google Sans" w:eastAsia="Google Sans" w:hAnsi="Google Sans" w:cs="Google Sans"/>
        </w:rPr>
        <w:t xml:space="preserve"> </w:t>
      </w:r>
    </w:p>
    <w:p w14:paraId="21C7619C" w14:textId="77777777" w:rsidR="00EE39B2"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78F85497" w14:textId="35FD2D00"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r w:rsidR="00E93642">
        <w:rPr>
          <w:rFonts w:ascii="Google Sans" w:eastAsia="Google Sans" w:hAnsi="Google Sans" w:cs="Google Sans"/>
          <w:sz w:val="24"/>
          <w:szCs w:val="24"/>
        </w:rPr>
        <w:t xml:space="preserve"> </w:t>
      </w:r>
    </w:p>
    <w:p w14:paraId="69D22A86" w14:textId="77777777" w:rsidR="00EE39B2"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3EB658AE" w14:textId="77777777"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14:paraId="7474EAAB" w14:textId="77777777" w:rsidR="00EE39B2"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445B8BB2" w14:textId="77777777"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14:paraId="070B02F6" w14:textId="77777777" w:rsidR="00EE39B2" w:rsidRDefault="00EE39B2">
      <w:pPr>
        <w:rPr>
          <w:rFonts w:ascii="Google Sans" w:eastAsia="Google Sans" w:hAnsi="Google Sans" w:cs="Google Sans"/>
          <w:sz w:val="24"/>
          <w:szCs w:val="24"/>
          <w:highlight w:val="yellow"/>
        </w:rPr>
      </w:pPr>
    </w:p>
    <w:p w14:paraId="4C7D3BEF" w14:textId="77777777"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Currently, all Botium Toys employees have access to internally stored data and may be able to access cardholder data and customers’ PII/SPII.</w:t>
      </w:r>
    </w:p>
    <w:p w14:paraId="7B710BE0" w14:textId="77777777"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3AE1783A" w14:textId="77777777"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76CE199D" w14:textId="4CB43C34"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r w:rsidR="00E93642">
        <w:rPr>
          <w:rFonts w:ascii="Google Sans" w:eastAsia="Google Sans" w:hAnsi="Google Sans" w:cs="Google Sans"/>
          <w:sz w:val="24"/>
          <w:szCs w:val="24"/>
        </w:rPr>
        <w:t xml:space="preserve"> </w:t>
      </w:r>
    </w:p>
    <w:p w14:paraId="5BB9A65A"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7C2FB085"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4C93D8C0"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5EEF1018"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14:paraId="14495A76"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5D20305D" w14:textId="7A769FF5"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w:t>
      </w:r>
      <w:r w:rsidR="005A6DC0">
        <w:rPr>
          <w:rFonts w:ascii="Google Sans" w:eastAsia="Google Sans" w:hAnsi="Google Sans" w:cs="Google Sans"/>
          <w:sz w:val="24"/>
          <w:szCs w:val="24"/>
        </w:rPr>
        <w:t>minim</w:t>
      </w:r>
      <w:r>
        <w:rPr>
          <w:rFonts w:ascii="Google Sans" w:eastAsia="Google Sans" w:hAnsi="Google Sans" w:cs="Google Sans"/>
          <w:sz w:val="24"/>
          <w:szCs w:val="24"/>
        </w:rPr>
        <w:t xml:space="preserve">al and not in line with current minimum password complexity requirements (e.g., at least eight characters, a combination of letters and at least one number; special characters). </w:t>
      </w:r>
    </w:p>
    <w:p w14:paraId="36EC5546"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23903114"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6DB78D27"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store’s physical location, which includes Botium Toys’ main offices, store front, and warehouse of products, has sufficient locks, up-to-date closed-circuit television (CCTV) surveillance, as well as functioning fire detection and prevention systems.</w:t>
      </w:r>
    </w:p>
    <w:sectPr w:rsidR="00EE39B2">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D82C0" w14:textId="77777777" w:rsidR="00B375B2" w:rsidRDefault="00B375B2">
      <w:pPr>
        <w:spacing w:line="240" w:lineRule="auto"/>
      </w:pPr>
      <w:r>
        <w:separator/>
      </w:r>
    </w:p>
  </w:endnote>
  <w:endnote w:type="continuationSeparator" w:id="0">
    <w:p w14:paraId="41E92EB2" w14:textId="77777777" w:rsidR="00B375B2" w:rsidRDefault="00B37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FFB33C8A-38CD-49BB-8FFE-DBF766552EEF}"/>
    <w:embedBold r:id="rId2" w:fontKey="{326A46E7-F22F-455B-9141-61CC822BC39A}"/>
  </w:font>
  <w:font w:name="Calibri">
    <w:panose1 w:val="020F0502020204030204"/>
    <w:charset w:val="00"/>
    <w:family w:val="swiss"/>
    <w:pitch w:val="variable"/>
    <w:sig w:usb0="E4002EFF" w:usb1="C200247B" w:usb2="00000009" w:usb3="00000000" w:csb0="000001FF" w:csb1="00000000"/>
    <w:embedRegular r:id="rId3" w:fontKey="{27DC0834-F8AC-4D98-9203-09750D829533}"/>
  </w:font>
  <w:font w:name="Cambria">
    <w:panose1 w:val="02040503050406030204"/>
    <w:charset w:val="00"/>
    <w:family w:val="roman"/>
    <w:pitch w:val="variable"/>
    <w:sig w:usb0="E00006FF" w:usb1="420024FF" w:usb2="02000000" w:usb3="00000000" w:csb0="0000019F" w:csb1="00000000"/>
    <w:embedRegular r:id="rId4" w:fontKey="{48B91268-4F06-4258-A3E3-520CF9AF1EC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AD286" w14:textId="77777777" w:rsidR="00B375B2" w:rsidRDefault="00B375B2">
      <w:pPr>
        <w:spacing w:line="240" w:lineRule="auto"/>
      </w:pPr>
      <w:r>
        <w:separator/>
      </w:r>
    </w:p>
  </w:footnote>
  <w:footnote w:type="continuationSeparator" w:id="0">
    <w:p w14:paraId="65977623" w14:textId="77777777" w:rsidR="00B375B2" w:rsidRDefault="00B375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49482" w14:textId="77777777" w:rsidR="00EE39B2" w:rsidRDefault="00EE39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B691D"/>
    <w:multiLevelType w:val="multilevel"/>
    <w:tmpl w:val="97E820A6"/>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6D6AD7"/>
    <w:multiLevelType w:val="multilevel"/>
    <w:tmpl w:val="23EC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0293728">
    <w:abstractNumId w:val="1"/>
  </w:num>
  <w:num w:numId="2" w16cid:durableId="1916864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9B2"/>
    <w:rsid w:val="00295A9E"/>
    <w:rsid w:val="005A6DC0"/>
    <w:rsid w:val="00A730A8"/>
    <w:rsid w:val="00AE620D"/>
    <w:rsid w:val="00B375B2"/>
    <w:rsid w:val="00DE4AA9"/>
    <w:rsid w:val="00E93642"/>
    <w:rsid w:val="00EE3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92BCA"/>
  <w15:docId w15:val="{F24947D7-072B-4A48-AB3F-156B28709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Anderegg</cp:lastModifiedBy>
  <cp:revision>3</cp:revision>
  <dcterms:created xsi:type="dcterms:W3CDTF">2025-07-14T01:06:00Z</dcterms:created>
  <dcterms:modified xsi:type="dcterms:W3CDTF">2025-09-12T01:41:00Z</dcterms:modified>
</cp:coreProperties>
</file>