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softHyphen/>
      </w:r>
      <w:r>
        <w:rPr>
          <w:sz w:val="36"/>
          <w:szCs w:val="36"/>
          <w:u w:val="single"/>
          <w:lang w:val="en-US"/>
        </w:rPr>
        <w:t>The Lightweight IBM Cloud Garage Method for Data Science</w:t>
      </w:r>
    </w:p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</w:r>
    </w:p>
    <w:p>
      <w:pPr>
        <w:pStyle w:val="Normal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>Architectural Decisions Document Template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0" w:name="_Toc521455995"/>
      <w:r>
        <w:rPr>
          <w:lang w:val="en-US"/>
        </w:rPr>
        <w:t xml:space="preserve">Architectural </w:t>
      </w:r>
      <w:bookmarkEnd w:id="0"/>
      <w:r>
        <w:rPr>
          <w:lang w:val="en-US"/>
        </w:rPr>
        <w:t>Components Overview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/>
        <w:drawing>
          <wp:inline distT="0" distB="4445" distL="0" distR="12700">
            <wp:extent cx="5727700" cy="4491355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IBM Data and Analytics Reference Architecture. Source: IBM Corporation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rPr>
          <w:lang w:val="en-US" w:eastAsia="en-GB"/>
        </w:rPr>
      </w:pPr>
      <w:bookmarkStart w:id="1" w:name="_Toc521455996"/>
      <w:r>
        <w:rPr>
          <w:lang w:val="en-US" w:eastAsia="en-GB"/>
        </w:rPr>
        <w:t>Data Source</w:t>
      </w:r>
      <w:bookmarkEnd w:id="1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/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>
          <w:lang w:val="en-US" w:eastAsia="en-GB"/>
        </w:rPr>
      </w:pPr>
      <w:r>
        <w:rPr/>
      </w:r>
    </w:p>
    <w:p>
      <w:pPr>
        <w:pStyle w:val="Normal"/>
        <w:rPr/>
      </w:pPr>
      <w:r>
        <w:rPr>
          <w:lang w:val="en-US" w:eastAsia="en-GB"/>
        </w:rPr>
        <w:t>Python 3.6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US" w:eastAsia="en-GB"/>
        </w:rPr>
        <w:t>Tensorflow-gpu 2.1.0</w:t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US" w:eastAsia="en-GB"/>
        </w:rPr>
        <w:t xml:space="preserve">sklearn 0.22.1 </w:t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US" w:eastAsia="en-GB"/>
        </w:rPr>
        <w:t xml:space="preserve">matplotlib 3.0.2 </w:t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US" w:eastAsia="en-GB"/>
        </w:rPr>
        <w:t>pandas 0.23.4</w:t>
      </w:r>
    </w:p>
    <w:p>
      <w:pPr>
        <w:pStyle w:val="Normal"/>
        <w:rPr>
          <w:lang w:val="en-US" w:eastAsia="en-GB"/>
        </w:rPr>
      </w:pPr>
      <w:r>
        <w:rPr/>
      </w:r>
    </w:p>
    <w:p>
      <w:pPr>
        <w:pStyle w:val="Normal"/>
        <w:rPr>
          <w:lang w:val="en-US" w:eastAsia="en-GB"/>
        </w:rPr>
      </w:pPr>
      <w:r>
        <w:rPr/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/>
      </w:pPr>
      <w:r>
        <w:rPr>
          <w:lang w:val="en-US" w:eastAsia="en-GB"/>
        </w:rPr>
        <w:t>Please justify your technology choices here.</w:t>
      </w:r>
    </w:p>
    <w:p>
      <w:pPr>
        <w:pStyle w:val="Normal"/>
        <w:rPr/>
      </w:pPr>
      <w:r>
        <w:rPr>
          <w:lang w:val="en-US" w:eastAsia="en-GB"/>
        </w:rPr>
        <w:t>Stable versions of python and sklearn stacks, moreover, tensorflow-gpu is used for better run time of feed forward network and recurrent neural network.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rPr>
          <w:lang w:val="en-US" w:eastAsia="en-GB"/>
        </w:rPr>
      </w:pPr>
      <w:bookmarkStart w:id="2" w:name="_Toc521455999"/>
      <w:r>
        <w:rPr>
          <w:lang w:val="en-US" w:eastAsia="en-GB"/>
        </w:rPr>
        <w:t>Enterprise Data</w:t>
      </w:r>
      <w:bookmarkEnd w:id="2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>
      <w:pPr>
        <w:pStyle w:val="Normal"/>
        <w:rPr/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>
          <w:lang w:val="en-US" w:eastAsia="en-GB"/>
        </w:rPr>
      </w:pPr>
      <w:r>
        <w:rPr/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rPr>
          <w:lang w:val="en-US" w:eastAsia="en-GB"/>
        </w:rPr>
      </w:pPr>
      <w:bookmarkStart w:id="4" w:name="_Toc521456002"/>
      <w:r>
        <w:rPr>
          <w:lang w:val="en-US" w:eastAsia="en-GB"/>
        </w:rPr>
        <w:t>Streaming analytics</w:t>
      </w:r>
      <w:bookmarkEnd w:id="4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rPr>
          <w:lang w:val="en-US" w:eastAsia="en-GB"/>
        </w:rPr>
      </w:pPr>
      <w:bookmarkStart w:id="5" w:name="_Toc521456005"/>
      <w:r>
        <w:rPr>
          <w:lang w:val="en-US" w:eastAsia="en-GB"/>
        </w:rPr>
        <w:t>Data Integration</w:t>
      </w:r>
      <w:bookmarkEnd w:id="5"/>
      <w:r>
        <w:rPr>
          <w:lang w:val="en-US" w:eastAsia="en-GB"/>
        </w:rPr>
        <w:t xml:space="preserve"> 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rPr>
          <w:lang w:val="en-US" w:eastAsia="en-GB"/>
        </w:rPr>
      </w:pPr>
      <w:bookmarkStart w:id="6" w:name="_Toc521456008"/>
      <w:r>
        <w:rPr>
          <w:lang w:val="en-US" w:eastAsia="en-GB"/>
        </w:rPr>
        <w:t>Data Repository</w:t>
      </w:r>
      <w:bookmarkEnd w:id="6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rPr>
          <w:lang w:val="en-US" w:eastAsia="en-GB"/>
        </w:rPr>
      </w:pPr>
      <w:bookmarkStart w:id="7" w:name="_Toc521456011"/>
      <w:r>
        <w:rPr>
          <w:lang w:val="en-US" w:eastAsia="en-GB"/>
        </w:rPr>
        <w:t>Discovery and Exploration</w:t>
      </w:r>
      <w:bookmarkEnd w:id="7"/>
      <w:r>
        <w:rPr>
          <w:lang w:val="en-US" w:eastAsia="en-GB"/>
        </w:rPr>
        <w:t xml:space="preserve"> 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rPr>
          <w:lang w:val="en-US" w:eastAsia="en-GB"/>
        </w:rPr>
      </w:pPr>
      <w:bookmarkStart w:id="8" w:name="_Toc521456013"/>
      <w:r>
        <w:rPr>
          <w:lang w:val="en-US" w:eastAsia="en-GB"/>
        </w:rPr>
        <w:t>Actionable Insights</w:t>
      </w:r>
      <w:bookmarkEnd w:id="8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rPr>
          <w:lang w:val="en-US" w:eastAsia="en-GB"/>
        </w:rPr>
      </w:pPr>
      <w:bookmarkStart w:id="9" w:name="_Toc521456017"/>
      <w:r>
        <w:rPr>
          <w:lang w:val="en-US" w:eastAsia="en-GB"/>
        </w:rPr>
        <w:t>Applications / Data Products</w:t>
      </w:r>
      <w:bookmarkEnd w:id="9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ind w:left="360" w:hanging="0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rPr>
          <w:lang w:val="en-US" w:eastAsia="en-GB"/>
        </w:rPr>
      </w:pPr>
      <w:bookmarkStart w:id="10" w:name="_Toc521456020"/>
      <w:r>
        <w:rPr>
          <w:lang w:val="en-US" w:eastAsia="en-GB"/>
        </w:rPr>
        <w:t>Security, Information Governance and Systems Management</w:t>
      </w:r>
      <w:bookmarkEnd w:id="10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  <w:bookmarkStart w:id="11" w:name="_GoBack"/>
      <w:bookmarkStart w:id="12" w:name="_GoBack"/>
      <w:bookmarkEnd w:id="12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1994" w:hanging="576"/>
      </w:pPr>
    </w:lvl>
    <w:lvl w:ilvl="2">
      <w:start w:val="1"/>
      <w:pStyle w:val="Heading3"/>
      <w:numFmt w:val="decimal"/>
      <w:lvlText w:val="%1.%2.%3"/>
      <w:lvlJc w:val="left"/>
      <w:pPr>
        <w:ind w:left="3414" w:hanging="720"/>
      </w:pPr>
    </w:lvl>
    <w:lvl w:ilvl="3">
      <w:start w:val="1"/>
      <w:pStyle w:val="Heading4"/>
      <w:numFmt w:val="decimal"/>
      <w:lvlText w:val="%1.%2.%3.%4"/>
      <w:lvlJc w:val="left"/>
      <w:pPr>
        <w:ind w:left="3558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994" w:hanging="576"/>
      </w:pPr>
    </w:lvl>
    <w:lvl w:ilvl="2">
      <w:start w:val="1"/>
      <w:numFmt w:val="decimal"/>
      <w:lvlText w:val="%1.%2.%3"/>
      <w:lvlJc w:val="left"/>
      <w:pPr>
        <w:ind w:left="3414" w:hanging="720"/>
      </w:pPr>
    </w:lvl>
    <w:lvl w:ilvl="3">
      <w:start w:val="1"/>
      <w:numFmt w:val="decimal"/>
      <w:lvlText w:val="%1.%2.%3.%4"/>
      <w:lvlJc w:val="left"/>
      <w:pPr>
        <w:ind w:left="3558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 w:val="true"/>
      <w:keepLines/>
      <w:numPr>
        <w:ilvl w:val="1"/>
        <w:numId w:val="1"/>
      </w:numPr>
      <w:spacing w:before="40" w:after="0"/>
      <w:ind w:left="576" w:hanging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 w:val="true"/>
      <w:keepLines/>
      <w:numPr>
        <w:ilvl w:val="2"/>
        <w:numId w:val="1"/>
      </w:numPr>
      <w:spacing w:before="40" w:after="0"/>
      <w:ind w:left="720" w:hanging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 w:val="true"/>
      <w:keepLines/>
      <w:numPr>
        <w:ilvl w:val="3"/>
        <w:numId w:val="1"/>
      </w:numPr>
      <w:spacing w:before="40" w:after="0"/>
      <w:ind w:left="864" w:hanging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1b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1b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73e1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74b93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918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918f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918f1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918f1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918f1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e502b"/>
    <w:rPr>
      <w:color w:val="954F72" w:themeColor="followedHyperlink"/>
      <w:u w:val="single"/>
    </w:rPr>
  </w:style>
  <w:style w:type="character" w:styleId="Runinhead" w:customStyle="1">
    <w:name w:val="runinhead"/>
    <w:basedOn w:val="DefaultParagraphFont"/>
    <w:qFormat/>
    <w:rsid w:val="001a4e02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d163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d163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Calibri" w:cs="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Calibri" w:cs="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Calibri" w:cs="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25c3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b02a47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 w:leader="none"/>
        <w:tab w:val="right" w:pos="9360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ilvl w:val="0"/>
        <w:numId w:val="0"/>
      </w:numPr>
      <w:spacing w:lineRule="auto" w:line="276" w:before="480" w:after="0"/>
    </w:pPr>
    <w:rPr>
      <w:b/>
      <w:bCs/>
      <w:sz w:val="28"/>
      <w:szCs w:val="28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2d1633"/>
    <w:pPr>
      <w:spacing w:before="120" w:after="0"/>
    </w:pPr>
    <w:rPr>
      <w:rFonts w:ascii="Calibri Light" w:hAnsi="Calibri Light" w:asciiTheme="majorHAnsi" w:hAnsiTheme="majorHAnsi"/>
      <w:b/>
      <w:bCs/>
      <w:color w:val="548DD4"/>
    </w:rPr>
  </w:style>
  <w:style w:type="paragraph" w:styleId="Contents2">
    <w:name w:val="TOC 2"/>
    <w:basedOn w:val="Normal"/>
    <w:next w:val="Normal"/>
    <w:autoRedefine/>
    <w:uiPriority w:val="39"/>
    <w:unhideWhenUsed/>
    <w:rsid w:val="002d1633"/>
    <w:pPr/>
    <w:rPr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unhideWhenUsed/>
    <w:rsid w:val="002d1633"/>
    <w:pPr>
      <w:ind w:left="240" w:hanging="0"/>
    </w:pPr>
    <w:rPr>
      <w:i/>
      <w:iCs/>
      <w:sz w:val="22"/>
      <w:szCs w:val="22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2d1633"/>
    <w:pPr>
      <w:ind w:left="48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2d1633"/>
    <w:pPr>
      <w:ind w:left="72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2d1633"/>
    <w:pPr>
      <w:ind w:left="96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2d1633"/>
    <w:pPr>
      <w:ind w:left="120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2d1633"/>
    <w:pPr>
      <w:ind w:left="144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2d1633"/>
    <w:pPr>
      <w:ind w:left="1680" w:hanging="0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4</Pages>
  <Words>382</Words>
  <Characters>2312</Characters>
  <CharactersWithSpaces>2614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2018-08-08T10:29:00Z</dcterms:created>
  <dc:creator>Romeo Kienzler</dc:creator>
  <dc:description/>
  <dc:language>en-GB</dc:language>
  <cp:lastModifiedBy/>
  <dcterms:modified xsi:type="dcterms:W3CDTF">2020-02-15T01:00:26Z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