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77d1aa7704bb8e29bcb01b605b5ca1095f3874"/>
    <w:p>
      <w:pPr>
        <w:pStyle w:val="Heading1"/>
      </w:pPr>
      <w:r>
        <w:t xml:space="preserve">Research Mandate: Quantitative Framework for Climate Prediction-Market Alpha</w:t>
      </w:r>
    </w:p>
    <w:p>
      <w:pPr>
        <w:pStyle w:val="FirstParagraph"/>
      </w:pPr>
      <w:r>
        <w:t xml:space="preserve">You are a senior quantitative researcher and systematic proprietary trader with doctoral-level expertise in statistical mechanics, atmospheric statistics, computational finance, Bayesian inference, time-series econometrics, market microstructure, and low-latency systems engineering.</w:t>
      </w:r>
    </w:p>
    <w:p>
      <w:pPr>
        <w:pStyle w:val="BodyText"/>
      </w:pPr>
      <w:r>
        <w:t xml:space="preserve">Your task is to design a comprehensive, mathematically rigorous, reproducible framework for researching and trading prediction-market contracts whose settlement depends on whether June or July becomes the hottest month or reaches a specified global-temperature threshold.</w:t>
      </w:r>
    </w:p>
    <w:p>
      <w:pPr>
        <w:pStyle w:val="BodyText"/>
      </w:pPr>
      <w:r>
        <w:t xml:space="preserve">The framework must seek to maximize</w:t>
      </w:r>
      <w:r>
        <w:t xml:space="preserve"> </w:t>
      </w:r>
      <w:r>
        <w:rPr>
          <w:b/>
          <w:bCs/>
        </w:rPr>
        <w:t xml:space="preserve">risk-adjusted expected value</w:t>
      </w:r>
      <w:r>
        <w:t xml:space="preserve">, not merely forecast accuracy. It must integrate:</w:t>
      </w:r>
    </w:p>
    <w:p>
      <w:pPr>
        <w:pStyle w:val="Compact"/>
        <w:numPr>
          <w:ilvl w:val="0"/>
          <w:numId w:val="1001"/>
        </w:numPr>
      </w:pPr>
      <w:r>
        <w:t xml:space="preserve">Meteorological nowcasting and forecasting.</w:t>
      </w:r>
    </w:p>
    <w:p>
      <w:pPr>
        <w:pStyle w:val="Compact"/>
        <w:numPr>
          <w:ilvl w:val="0"/>
          <w:numId w:val="1001"/>
        </w:numPr>
      </w:pPr>
      <w:r>
        <w:t xml:space="preserve">Translation between climate datasets and settlement oracles.</w:t>
      </w:r>
    </w:p>
    <w:p>
      <w:pPr>
        <w:pStyle w:val="Compact"/>
        <w:numPr>
          <w:ilvl w:val="0"/>
          <w:numId w:val="1001"/>
        </w:numPr>
      </w:pPr>
      <w:r>
        <w:t xml:space="preserve">Prediction-market microstructure.</w:t>
      </w:r>
    </w:p>
    <w:p>
      <w:pPr>
        <w:pStyle w:val="Compact"/>
        <w:numPr>
          <w:ilvl w:val="0"/>
          <w:numId w:val="1001"/>
        </w:numPr>
      </w:pPr>
      <w:r>
        <w:t xml:space="preserve">Bayesian probability estimation.</w:t>
      </w:r>
    </w:p>
    <w:p>
      <w:pPr>
        <w:pStyle w:val="Compact"/>
        <w:numPr>
          <w:ilvl w:val="0"/>
          <w:numId w:val="1001"/>
        </w:numPr>
      </w:pPr>
      <w:r>
        <w:t xml:space="preserve">Liquidity-aware execution.</w:t>
      </w:r>
    </w:p>
    <w:p>
      <w:pPr>
        <w:pStyle w:val="Compact"/>
        <w:numPr>
          <w:ilvl w:val="0"/>
          <w:numId w:val="1001"/>
        </w:numPr>
      </w:pPr>
      <w:r>
        <w:t xml:space="preserve">Portfolio and drawdown constraints.</w:t>
      </w:r>
    </w:p>
    <w:p>
      <w:pPr>
        <w:pStyle w:val="Compact"/>
        <w:numPr>
          <w:ilvl w:val="0"/>
          <w:numId w:val="1001"/>
        </w:numPr>
      </w:pPr>
      <w:r>
        <w:t xml:space="preserve">Model uncertainty and structural-break risk.</w:t>
      </w:r>
    </w:p>
    <w:p>
      <w:pPr>
        <w:pStyle w:val="Compact"/>
        <w:numPr>
          <w:ilvl w:val="0"/>
          <w:numId w:val="1001"/>
        </w:numPr>
      </w:pPr>
      <w:r>
        <w:t xml:space="preserve">Strict prevention of look-ahead bias.</w:t>
      </w:r>
    </w:p>
    <w:p>
      <w:pPr>
        <w:pStyle w:val="Compact"/>
        <w:numPr>
          <w:ilvl w:val="0"/>
          <w:numId w:val="1001"/>
        </w:numPr>
      </w:pPr>
      <w:r>
        <w:t xml:space="preserve">Continuous monitoring and recalibration.</w:t>
      </w:r>
    </w:p>
    <w:p>
      <w:pPr>
        <w:pStyle w:val="FirstParagraph"/>
      </w:pPr>
      <w:r>
        <w:t xml:space="preserve">Treat this as an institutional quantitative-research assignment, not a general discussion of climate or trading.</w:t>
      </w:r>
    </w:p>
    <w:p>
      <w:r>
        <w:pict>
          <v:rect style="width:0;height:1.5pt" o:hralign="center" o:hrstd="t" o:hr="t"/>
        </w:pict>
      </w:r>
    </w:p>
    <w:bookmarkStart w:id="20" w:name="primary-objective"/>
    <w:p>
      <w:pPr>
        <w:pStyle w:val="Heading2"/>
      </w:pPr>
      <w:r>
        <w:t xml:space="preserve">Primary Objective</w:t>
      </w:r>
    </w:p>
    <w:p>
      <w:pPr>
        <w:pStyle w:val="FirstParagraph"/>
      </w:pPr>
      <w:r>
        <w:t xml:space="preserve">Estimate the real-time probability that the contract settles YES:</w:t>
      </w:r>
    </w:p>
    <w:p>
      <w:pPr>
        <w:pStyle w:val="BodyText"/>
      </w:pPr>
      <m:oMathPara>
        <m:oMathParaPr>
          <m:jc m:val="center"/>
        </m:oMathParaPr>
        <m:oMath>
          <m:sSub>
            <m:e>
              <m:r>
                <m:t>p</m:t>
              </m:r>
            </m:e>
            <m:sub>
              <m:r>
                <m:t>t</m:t>
              </m:r>
            </m:sub>
          </m:sSub>
          <m:r>
            <m:rPr>
              <m:sty m:val="p"/>
            </m:rPr>
            <m:t>=</m:t>
          </m:r>
          <m:r>
            <m:rPr>
              <m:sty m:val="p"/>
            </m:rPr>
            <m:t>Pr</m:t>
          </m:r>
          <m:d>
            <m:dPr>
              <m:begChr m:val="("/>
              <m:sepChr m:val=""/>
              <m:endChr m:val=")"/>
              <m:grow/>
            </m:dPr>
            <m:e>
              <m:r>
                <m:t>S</m:t>
              </m:r>
              <m:r>
                <m:rPr>
                  <m:sty m:val="p"/>
                </m:rPr>
                <m:t>=</m:t>
              </m:r>
              <m:r>
                <m:t>1</m:t>
              </m:r>
              <m:r>
                <m:rPr>
                  <m:sty m:val="p"/>
                </m:rPr>
                <m:t>∣</m:t>
              </m:r>
              <m:sSub>
                <m:e>
                  <m:r>
                    <m:rPr>
                      <m:sty m:val="p"/>
                      <m:scr m:val="script"/>
                    </m:rPr>
                    <m:t>I</m:t>
                  </m:r>
                </m:e>
                <m:sub>
                  <m:r>
                    <m:t>t</m:t>
                  </m:r>
                </m:sub>
              </m:sSub>
            </m:e>
          </m:d>
        </m:oMath>
      </m:oMathPara>
    </w:p>
    <w:p>
      <w:pPr>
        <w:pStyle w:val="FirstParagraph"/>
      </w:pPr>
      <w:r>
        <w:t xml:space="preserve">where:</w:t>
      </w:r>
    </w:p>
    <w:p>
      <w:pPr>
        <w:pStyle w:val="Compact"/>
        <w:numPr>
          <w:ilvl w:val="0"/>
          <w:numId w:val="1002"/>
        </w:numPr>
      </w:pPr>
      <m:oMath>
        <m:r>
          <m:t>S</m:t>
        </m:r>
        <m:r>
          <m:rPr>
            <m:sty m:val="p"/>
          </m:rPr>
          <m:t>∈</m:t>
        </m:r>
        <m:r>
          <m:rPr>
            <m:sty m:val="p"/>
          </m:rPr>
          <m:t>{</m:t>
        </m:r>
        <m:r>
          <m:t>0</m:t>
        </m:r>
        <m:r>
          <m:rPr>
            <m:sty m:val="p"/>
          </m:rPr>
          <m:t>,</m:t>
        </m:r>
        <m:r>
          <m:t>1</m:t>
        </m:r>
        <m:r>
          <m:rPr>
            <m:sty m:val="p"/>
          </m:rPr>
          <m:t>}</m:t>
        </m:r>
      </m:oMath>
      <w:r>
        <w:t xml:space="preserve"> </w:t>
      </w:r>
      <w:r>
        <w:t xml:space="preserve">is the final settlement outcome.</w:t>
      </w:r>
    </w:p>
    <w:p>
      <w:pPr>
        <w:pStyle w:val="Compact"/>
        <w:numPr>
          <w:ilvl w:val="0"/>
          <w:numId w:val="1002"/>
        </w:numPr>
      </w:pPr>
      <m:oMath>
        <m:sSub>
          <m:e>
            <m:r>
              <m:rPr>
                <m:sty m:val="p"/>
                <m:scr m:val="script"/>
              </m:rPr>
              <m:t>I</m:t>
            </m:r>
          </m:e>
          <m:sub>
            <m:r>
              <m:t>t</m:t>
            </m:r>
          </m:sub>
        </m:sSub>
      </m:oMath>
      <w:r>
        <w:t xml:space="preserve"> </w:t>
      </w:r>
      <w:r>
        <w:t xml:space="preserve">is the complete information set available at time</w:t>
      </w:r>
      <w:r>
        <w:t xml:space="preserve"> </w:t>
      </w:r>
      <m:oMath>
        <m:r>
          <m:t>t</m:t>
        </m:r>
      </m:oMath>
      <w:r>
        <w:t xml:space="preserve">.</w:t>
      </w:r>
    </w:p>
    <w:p>
      <w:pPr>
        <w:pStyle w:val="Compact"/>
        <w:numPr>
          <w:ilvl w:val="0"/>
          <w:numId w:val="1002"/>
        </w:numPr>
      </w:pPr>
      <m:oMath>
        <m:sSub>
          <m:e>
            <m:r>
              <m:rPr>
                <m:sty m:val="p"/>
                <m:scr m:val="script"/>
              </m:rPr>
              <m:t>I</m:t>
            </m:r>
          </m:e>
          <m:sub>
            <m:r>
              <m:t>t</m:t>
            </m:r>
          </m:sub>
        </m:sSub>
      </m:oMath>
      <w:r>
        <w:t xml:space="preserve"> </w:t>
      </w:r>
      <w:r>
        <w:t xml:space="preserve">includes observed temperature data, numerical weather forecasts, dataset translation uncertainty, settlement rules, market prices, liquidity, fees, revisions, and release timing.</w:t>
      </w:r>
    </w:p>
    <w:p>
      <w:pPr>
        <w:pStyle w:val="FirstParagraph"/>
      </w:pPr>
      <w:r>
        <w:t xml:space="preserve">Then compare the model-implied probability with the executable market probability:</w:t>
      </w:r>
    </w:p>
    <w:p>
      <w:pPr>
        <w:pStyle w:val="BodyText"/>
      </w:pPr>
      <m:oMathPara>
        <m:oMathParaPr>
          <m:jc m:val="center"/>
        </m:oMathParaPr>
        <m:oMath>
          <m:sSubSup>
            <m:e>
              <m:r>
                <m:t>α</m:t>
              </m:r>
            </m:e>
            <m:sub>
              <m:r>
                <m:t>t</m:t>
              </m:r>
            </m:sub>
            <m:sup>
              <m:r>
                <m:rPr>
                  <m:nor/>
                  <m:sty m:val="p"/>
                </m:rPr>
                <m:t>gross</m:t>
              </m:r>
            </m:sup>
          </m:sSubSup>
          <m:r>
            <m:rPr>
              <m:sty m:val="p"/>
            </m:rPr>
            <m:t>=</m:t>
          </m:r>
          <m:sSub>
            <m:e>
              <m:r>
                <m:t>p</m:t>
              </m:r>
            </m:e>
            <m:sub>
              <m:r>
                <m:t>t</m:t>
              </m:r>
            </m:sub>
          </m:sSub>
          <m:r>
            <m:rPr>
              <m:sty m:val="p"/>
            </m:rPr>
            <m:t>−</m:t>
          </m:r>
          <m:sSub>
            <m:e>
              <m:r>
                <m:t>q</m:t>
              </m:r>
            </m:e>
            <m:sub>
              <m:r>
                <m:t>t</m:t>
              </m:r>
            </m:sub>
          </m:sSub>
        </m:oMath>
      </m:oMathPara>
    </w:p>
    <w:p>
      <w:pPr>
        <w:pStyle w:val="FirstParagraph"/>
      </w:pPr>
      <w:r>
        <w:t xml:space="preserve">where</w:t>
      </w:r>
      <w:r>
        <w:t xml:space="preserve"> </w:t>
      </w:r>
      <m:oMath>
        <m:sSub>
          <m:e>
            <m:r>
              <m:t>q</m:t>
            </m:r>
          </m:e>
          <m:sub>
            <m:r>
              <m:t>t</m:t>
            </m:r>
          </m:sub>
        </m:sSub>
      </m:oMath>
      <w:r>
        <w:t xml:space="preserve"> </w:t>
      </w:r>
      <w:r>
        <w:t xml:space="preserve">is the market-implied probability derived from executable bid and ask prices.</w:t>
      </w:r>
    </w:p>
    <w:p>
      <w:pPr>
        <w:pStyle w:val="BodyText"/>
      </w:pPr>
      <w:r>
        <w:t xml:space="preserve">Calculate net expected value only after including all implementation costs:</w:t>
      </w:r>
    </w:p>
    <w:p>
      <w:pPr>
        <w:pStyle w:val="BodyText"/>
      </w:pPr>
      <w:r>
        <w:t xml:space="preserve">$$</w:t>
      </w:r>
      <w:r>
        <w:t xml:space="preserve"> </w:t>
      </w:r>
      <w:r>
        <w:t xml:space="preserve">_t^{</w:t>
      </w:r>
      <w:r>
        <w:t xml:space="preserve">}</w:t>
      </w:r>
      <w:r>
        <w:t xml:space="preserve"> </w:t>
      </w:r>
      <w:r>
        <w:t xml:space="preserve">=</w:t>
      </w:r>
      <w:r>
        <w:t xml:space="preserve"> </w:t>
      </w:r>
      <w:r>
        <w:t xml:space="preserve">p_t</w:t>
      </w:r>
    </w:p>
    <w:p>
      <w:pPr>
        <w:numPr>
          <w:ilvl w:val="0"/>
          <w:numId w:val="1003"/>
        </w:numPr>
      </w:pPr>
      <w:r>
        <w:t xml:space="preserve">q_t</w:t>
      </w:r>
    </w:p>
    <w:p>
      <w:pPr>
        <w:numPr>
          <w:ilvl w:val="0"/>
          <w:numId w:val="1003"/>
        </w:numPr>
      </w:pPr>
      <w:r>
        <w:t xml:space="preserve">c_t^{</w:t>
      </w:r>
      <w:r>
        <w:t xml:space="preserve">}</w:t>
      </w:r>
    </w:p>
    <w:p>
      <w:pPr>
        <w:numPr>
          <w:ilvl w:val="0"/>
          <w:numId w:val="1003"/>
        </w:numPr>
      </w:pPr>
      <w:r>
        <w:t xml:space="preserve">c_t^{</w:t>
      </w:r>
      <w:r>
        <w:t xml:space="preserve">}</w:t>
      </w:r>
    </w:p>
    <w:p>
      <w:pPr>
        <w:numPr>
          <w:ilvl w:val="0"/>
          <w:numId w:val="1003"/>
        </w:numPr>
      </w:pPr>
      <w:r>
        <w:t xml:space="preserve">c_t^{</w:t>
      </w:r>
      <w:r>
        <w:t xml:space="preserve">}</w:t>
      </w:r>
    </w:p>
    <w:p>
      <w:pPr>
        <w:numPr>
          <w:ilvl w:val="0"/>
          <w:numId w:val="1003"/>
        </w:numPr>
      </w:pPr>
      <w:r>
        <w:t xml:space="preserve">c_t^{</w:t>
      </w:r>
      <w:r>
        <w:t xml:space="preserve">}</w:t>
      </w:r>
    </w:p>
    <w:p>
      <w:pPr>
        <w:numPr>
          <w:ilvl w:val="0"/>
          <w:numId w:val="1003"/>
        </w:numPr>
      </w:pPr>
      <w:r>
        <w:t xml:space="preserve">c_t^{</w:t>
      </w:r>
      <w:r>
        <w:t xml:space="preserve">}</w:t>
      </w:r>
    </w:p>
    <w:p>
      <w:pPr>
        <w:numPr>
          <w:ilvl w:val="0"/>
          <w:numId w:val="1003"/>
        </w:numPr>
      </w:pPr>
      <w:r>
        <w:t xml:space="preserve">c_t^{</w:t>
      </w:r>
      <w:r>
        <w:t xml:space="preserve">}</w:t>
      </w:r>
      <w:r>
        <w:t xml:space="preserve"> </w:t>
      </w:r>
      <w:r>
        <w:t xml:space="preserve">$$</w:t>
      </w:r>
    </w:p>
    <w:p>
      <w:pPr>
        <w:pStyle w:val="FirstParagraph"/>
      </w:pPr>
      <w:r>
        <w:t xml:space="preserve">Do not describe an apparent difference between model probability and market price as alpha unless it remains positive after these adjustments.</w:t>
      </w:r>
    </w:p>
    <w:p>
      <w:r>
        <w:pict>
          <v:rect style="width:0;height:1.5pt" o:hralign="center" o:hrstd="t" o:hr="t"/>
        </w:pict>
      </w:r>
    </w:p>
    <w:bookmarkEnd w:id="20"/>
    <w:bookmarkEnd w:id="21"/>
    <w:bookmarkStart w:id="25" w:name="mandatory-preliminary-verification"/>
    <w:p>
      <w:pPr>
        <w:pStyle w:val="Heading1"/>
      </w:pPr>
      <w:r>
        <w:t xml:space="preserve">Mandatory Preliminary Verification</w:t>
      </w:r>
    </w:p>
    <w:p>
      <w:pPr>
        <w:pStyle w:val="FirstParagraph"/>
      </w:pPr>
      <w:r>
        <w:t xml:space="preserve">Before constructing any model, independently verify all contract and data assumptions using current, authoritative sources.</w:t>
      </w:r>
    </w:p>
    <w:bookmarkStart w:id="22" w:name="a.-contract-verification"/>
    <w:p>
      <w:pPr>
        <w:pStyle w:val="Heading2"/>
      </w:pPr>
      <w:r>
        <w:t xml:space="preserve">A. Contract Verification</w:t>
      </w:r>
    </w:p>
    <w:p>
      <w:pPr>
        <w:pStyle w:val="FirstParagraph"/>
      </w:pPr>
      <w:r>
        <w:t xml:space="preserve">Identify and document:</w:t>
      </w:r>
    </w:p>
    <w:p>
      <w:pPr>
        <w:pStyle w:val="Compact"/>
        <w:numPr>
          <w:ilvl w:val="0"/>
          <w:numId w:val="1004"/>
        </w:numPr>
      </w:pPr>
      <w:r>
        <w:t xml:space="preserve">The exact exchange and contract URL.</w:t>
      </w:r>
    </w:p>
    <w:p>
      <w:pPr>
        <w:pStyle w:val="Compact"/>
        <w:numPr>
          <w:ilvl w:val="0"/>
          <w:numId w:val="1004"/>
        </w:numPr>
      </w:pPr>
      <w:r>
        <w:t xml:space="preserve">The complete contract title.</w:t>
      </w:r>
    </w:p>
    <w:p>
      <w:pPr>
        <w:pStyle w:val="Compact"/>
        <w:numPr>
          <w:ilvl w:val="0"/>
          <w:numId w:val="1004"/>
        </w:numPr>
      </w:pPr>
      <w:r>
        <w:t xml:space="preserve">The settlement oracle.</w:t>
      </w:r>
    </w:p>
    <w:p>
      <w:pPr>
        <w:pStyle w:val="Compact"/>
        <w:numPr>
          <w:ilvl w:val="0"/>
          <w:numId w:val="1004"/>
        </w:numPr>
      </w:pPr>
      <w:r>
        <w:t xml:space="preserve">The exact temperature series or publication used for settlement.</w:t>
      </w:r>
    </w:p>
    <w:p>
      <w:pPr>
        <w:pStyle w:val="Compact"/>
        <w:numPr>
          <w:ilvl w:val="0"/>
          <w:numId w:val="1004"/>
        </w:numPr>
      </w:pPr>
      <w:r>
        <w:t xml:space="preserve">The reference climatology or baseline.</w:t>
      </w:r>
    </w:p>
    <w:p>
      <w:pPr>
        <w:pStyle w:val="Compact"/>
        <w:numPr>
          <w:ilvl w:val="0"/>
          <w:numId w:val="1004"/>
        </w:numPr>
      </w:pPr>
      <w:r>
        <w:t xml:space="preserve">The geographic coverage.</w:t>
      </w:r>
    </w:p>
    <w:p>
      <w:pPr>
        <w:pStyle w:val="Compact"/>
        <w:numPr>
          <w:ilvl w:val="0"/>
          <w:numId w:val="1004"/>
        </w:numPr>
      </w:pPr>
      <w:r>
        <w:t xml:space="preserve">The anomaly definition.</w:t>
      </w:r>
    </w:p>
    <w:p>
      <w:pPr>
        <w:pStyle w:val="Compact"/>
        <w:numPr>
          <w:ilvl w:val="0"/>
          <w:numId w:val="1004"/>
        </w:numPr>
      </w:pPr>
      <w:r>
        <w:t xml:space="preserve">Whether the settlement value is monthly, daily, preliminary, or final.</w:t>
      </w:r>
    </w:p>
    <w:p>
      <w:pPr>
        <w:pStyle w:val="Compact"/>
        <w:numPr>
          <w:ilvl w:val="0"/>
          <w:numId w:val="1004"/>
        </w:numPr>
      </w:pPr>
      <w:r>
        <w:t xml:space="preserve">The rounding convention.</w:t>
      </w:r>
    </w:p>
    <w:p>
      <w:pPr>
        <w:pStyle w:val="Compact"/>
        <w:numPr>
          <w:ilvl w:val="0"/>
          <w:numId w:val="1004"/>
        </w:numPr>
      </w:pPr>
      <w:r>
        <w:t xml:space="preserve">The threshold inequality:</w:t>
      </w:r>
    </w:p>
    <w:p>
      <w:pPr>
        <w:pStyle w:val="Compact"/>
        <w:numPr>
          <w:ilvl w:val="0"/>
          <w:numId w:val="1005"/>
        </w:numPr>
      </w:pPr>
      <w:r>
        <w:t xml:space="preserve">Greater than.</w:t>
      </w:r>
    </w:p>
    <w:p>
      <w:pPr>
        <w:pStyle w:val="Compact"/>
        <w:numPr>
          <w:ilvl w:val="0"/>
          <w:numId w:val="1005"/>
        </w:numPr>
      </w:pPr>
      <w:r>
        <w:t xml:space="preserve">Greater than or equal to.</w:t>
      </w:r>
    </w:p>
    <w:p>
      <w:pPr>
        <w:pStyle w:val="Compact"/>
        <w:numPr>
          <w:ilvl w:val="0"/>
          <w:numId w:val="1005"/>
        </w:numPr>
      </w:pPr>
      <w:r>
        <w:t xml:space="preserve">Strict record.</w:t>
      </w:r>
    </w:p>
    <w:p>
      <w:pPr>
        <w:pStyle w:val="Compact"/>
        <w:numPr>
          <w:ilvl w:val="0"/>
          <w:numId w:val="1005"/>
        </w:numPr>
      </w:pPr>
      <w:r>
        <w:t xml:space="preserve">Rounded record.</w:t>
      </w:r>
    </w:p>
    <w:p>
      <w:pPr>
        <w:pStyle w:val="Compact"/>
        <w:numPr>
          <w:ilvl w:val="0"/>
          <w:numId w:val="1006"/>
        </w:numPr>
      </w:pPr>
      <w:r>
        <w:t xml:space="preserve">The observation cutoff.</w:t>
      </w:r>
    </w:p>
    <w:p>
      <w:pPr>
        <w:pStyle w:val="Compact"/>
        <w:numPr>
          <w:ilvl w:val="0"/>
          <w:numId w:val="1006"/>
        </w:numPr>
      </w:pPr>
      <w:r>
        <w:t xml:space="preserve">The publication or release date.</w:t>
      </w:r>
    </w:p>
    <w:p>
      <w:pPr>
        <w:pStyle w:val="Compact"/>
        <w:numPr>
          <w:ilvl w:val="0"/>
          <w:numId w:val="1006"/>
        </w:numPr>
      </w:pPr>
      <w:r>
        <w:t xml:space="preserve">Whether revisions can affect settlement.</w:t>
      </w:r>
    </w:p>
    <w:p>
      <w:pPr>
        <w:pStyle w:val="Compact"/>
        <w:numPr>
          <w:ilvl w:val="0"/>
          <w:numId w:val="1006"/>
        </w:numPr>
      </w:pPr>
      <w:r>
        <w:t xml:space="preserve">The procedure used if the official value is delayed, missing, corrected, or discontinued.</w:t>
      </w:r>
    </w:p>
    <w:p>
      <w:pPr>
        <w:pStyle w:val="Compact"/>
        <w:numPr>
          <w:ilvl w:val="0"/>
          <w:numId w:val="1006"/>
        </w:numPr>
      </w:pPr>
      <w:r>
        <w:t xml:space="preserve">Contract expiration time and timezone.</w:t>
      </w:r>
    </w:p>
    <w:p>
      <w:pPr>
        <w:pStyle w:val="Compact"/>
        <w:numPr>
          <w:ilvl w:val="0"/>
          <w:numId w:val="1006"/>
        </w:numPr>
      </w:pPr>
      <w:r>
        <w:t xml:space="preserve">Tick size.</w:t>
      </w:r>
    </w:p>
    <w:p>
      <w:pPr>
        <w:pStyle w:val="Compact"/>
        <w:numPr>
          <w:ilvl w:val="0"/>
          <w:numId w:val="1006"/>
        </w:numPr>
      </w:pPr>
      <w:r>
        <w:t xml:space="preserve">Position limits.</w:t>
      </w:r>
    </w:p>
    <w:p>
      <w:pPr>
        <w:pStyle w:val="Compact"/>
        <w:numPr>
          <w:ilvl w:val="0"/>
          <w:numId w:val="1006"/>
        </w:numPr>
      </w:pPr>
      <w:r>
        <w:t xml:space="preserve">Trading fees.</w:t>
      </w:r>
    </w:p>
    <w:p>
      <w:pPr>
        <w:pStyle w:val="Compact"/>
        <w:numPr>
          <w:ilvl w:val="0"/>
          <w:numId w:val="1006"/>
        </w:numPr>
      </w:pPr>
      <w:r>
        <w:t xml:space="preserve">Settlement fees.</w:t>
      </w:r>
    </w:p>
    <w:p>
      <w:pPr>
        <w:pStyle w:val="Compact"/>
        <w:numPr>
          <w:ilvl w:val="0"/>
          <w:numId w:val="1006"/>
        </w:numPr>
      </w:pPr>
      <w:r>
        <w:t xml:space="preserve">Order types.</w:t>
      </w:r>
    </w:p>
    <w:p>
      <w:pPr>
        <w:pStyle w:val="Compact"/>
        <w:numPr>
          <w:ilvl w:val="0"/>
          <w:numId w:val="1006"/>
        </w:numPr>
      </w:pPr>
      <w:r>
        <w:t xml:space="preserve">Whether short selling is represented through NO contracts.</w:t>
      </w:r>
    </w:p>
    <w:p>
      <w:pPr>
        <w:pStyle w:val="Compact"/>
        <w:numPr>
          <w:ilvl w:val="0"/>
          <w:numId w:val="1006"/>
        </w:numPr>
      </w:pPr>
      <w:r>
        <w:t xml:space="preserve">Whether the API exposes trades, L1, L2, or true L3 order-level data.</w:t>
      </w:r>
    </w:p>
    <w:p>
      <w:pPr>
        <w:pStyle w:val="Compact"/>
        <w:numPr>
          <w:ilvl w:val="0"/>
          <w:numId w:val="1006"/>
        </w:numPr>
      </w:pPr>
      <w:r>
        <w:t xml:space="preserve">Any restrictions on automated trading.</w:t>
      </w:r>
    </w:p>
    <w:p>
      <w:pPr>
        <w:pStyle w:val="Compact"/>
        <w:numPr>
          <w:ilvl w:val="0"/>
          <w:numId w:val="1006"/>
        </w:numPr>
      </w:pPr>
      <w:r>
        <w:t xml:space="preserve">Whether the market is legally accessible to the intended participant.</w:t>
      </w:r>
    </w:p>
    <w:p>
      <w:pPr>
        <w:pStyle w:val="FirstParagraph"/>
      </w:pPr>
      <w:r>
        <w:t xml:space="preserve">Do not assume that a market provides L3 data merely because it provides an order book. Explicitly distinguish:</w:t>
      </w:r>
    </w:p>
    <w:p>
      <w:pPr>
        <w:pStyle w:val="Compact"/>
        <w:numPr>
          <w:ilvl w:val="0"/>
          <w:numId w:val="1007"/>
        </w:numPr>
      </w:pPr>
      <w:r>
        <w:t xml:space="preserve">L1: best bid and ask.</w:t>
      </w:r>
    </w:p>
    <w:p>
      <w:pPr>
        <w:pStyle w:val="Compact"/>
        <w:numPr>
          <w:ilvl w:val="0"/>
          <w:numId w:val="1007"/>
        </w:numPr>
      </w:pPr>
      <w:r>
        <w:t xml:space="preserve">L2: aggregated quantities by price level.</w:t>
      </w:r>
    </w:p>
    <w:p>
      <w:pPr>
        <w:pStyle w:val="Compact"/>
        <w:numPr>
          <w:ilvl w:val="0"/>
          <w:numId w:val="1007"/>
        </w:numPr>
      </w:pPr>
      <w:r>
        <w:t xml:space="preserve">L3: individual orders, order identifiers, amendments, and cancellations.</w:t>
      </w:r>
    </w:p>
    <w:p>
      <w:pPr>
        <w:pStyle w:val="FirstParagraph"/>
      </w:pPr>
      <w:r>
        <w:t xml:space="preserve">Produce a</w:t>
      </w:r>
      <w:r>
        <w:t xml:space="preserve"> </w:t>
      </w:r>
      <w:r>
        <w:rPr>
          <w:b/>
          <w:bCs/>
        </w:rPr>
        <w:t xml:space="preserve">Contract Specification Table</w:t>
      </w:r>
      <w:r>
        <w:t xml:space="preserve"> </w:t>
      </w:r>
      <w:r>
        <w:t xml:space="preserve">containing the verified rule, source, retrieval date, and modeling consequence.</w:t>
      </w:r>
    </w:p>
    <w:bookmarkEnd w:id="22"/>
    <w:bookmarkStart w:id="23" w:name="b.-dataset-verification"/>
    <w:p>
      <w:pPr>
        <w:pStyle w:val="Heading2"/>
      </w:pPr>
      <w:r>
        <w:t xml:space="preserve">B. Dataset Verification</w:t>
      </w:r>
    </w:p>
    <w:p>
      <w:pPr>
        <w:pStyle w:val="FirstParagraph"/>
      </w:pPr>
      <w:r>
        <w:t xml:space="preserve">Verify the exact versions, baselines, update schedules, and revision policies for every dataset used, including as applicable:</w:t>
      </w:r>
    </w:p>
    <w:p>
      <w:pPr>
        <w:pStyle w:val="Compact"/>
        <w:numPr>
          <w:ilvl w:val="0"/>
          <w:numId w:val="1008"/>
        </w:numPr>
      </w:pPr>
      <w:r>
        <w:t xml:space="preserve">NOAA GlobalTemp.</w:t>
      </w:r>
    </w:p>
    <w:p>
      <w:pPr>
        <w:pStyle w:val="Compact"/>
        <w:numPr>
          <w:ilvl w:val="0"/>
          <w:numId w:val="1008"/>
        </w:numPr>
      </w:pPr>
      <w:r>
        <w:t xml:space="preserve">ERA5.</w:t>
      </w:r>
    </w:p>
    <w:p>
      <w:pPr>
        <w:pStyle w:val="Compact"/>
        <w:numPr>
          <w:ilvl w:val="0"/>
          <w:numId w:val="1008"/>
        </w:numPr>
      </w:pPr>
      <w:r>
        <w:t xml:space="preserve">ERA5T.</w:t>
      </w:r>
    </w:p>
    <w:p>
      <w:pPr>
        <w:pStyle w:val="Compact"/>
        <w:numPr>
          <w:ilvl w:val="0"/>
          <w:numId w:val="1008"/>
        </w:numPr>
      </w:pPr>
      <w:r>
        <w:t xml:space="preserve">ECMWF HRES.</w:t>
      </w:r>
    </w:p>
    <w:p>
      <w:pPr>
        <w:pStyle w:val="Compact"/>
        <w:numPr>
          <w:ilvl w:val="0"/>
          <w:numId w:val="1008"/>
        </w:numPr>
      </w:pPr>
      <w:r>
        <w:t xml:space="preserve">ECMWF ENS.</w:t>
      </w:r>
    </w:p>
    <w:p>
      <w:pPr>
        <w:pStyle w:val="Compact"/>
        <w:numPr>
          <w:ilvl w:val="0"/>
          <w:numId w:val="1008"/>
        </w:numPr>
      </w:pPr>
      <w:r>
        <w:t xml:space="preserve">GHCN-M.</w:t>
      </w:r>
    </w:p>
    <w:p>
      <w:pPr>
        <w:pStyle w:val="Compact"/>
        <w:numPr>
          <w:ilvl w:val="0"/>
          <w:numId w:val="1008"/>
        </w:numPr>
      </w:pPr>
      <w:r>
        <w:t xml:space="preserve">GHCN-D.</w:t>
      </w:r>
    </w:p>
    <w:p>
      <w:pPr>
        <w:pStyle w:val="Compact"/>
        <w:numPr>
          <w:ilvl w:val="0"/>
          <w:numId w:val="1008"/>
        </w:numPr>
      </w:pPr>
      <w:r>
        <w:t xml:space="preserve">Berkeley Earth.</w:t>
      </w:r>
    </w:p>
    <w:p>
      <w:pPr>
        <w:pStyle w:val="Compact"/>
        <w:numPr>
          <w:ilvl w:val="0"/>
          <w:numId w:val="1008"/>
        </w:numPr>
      </w:pPr>
      <w:r>
        <w:t xml:space="preserve">NASA GISTEMP.</w:t>
      </w:r>
    </w:p>
    <w:p>
      <w:pPr>
        <w:pStyle w:val="Compact"/>
        <w:numPr>
          <w:ilvl w:val="0"/>
          <w:numId w:val="1008"/>
        </w:numPr>
      </w:pPr>
      <w:r>
        <w:t xml:space="preserve">JRA-3Q.</w:t>
      </w:r>
    </w:p>
    <w:p>
      <w:pPr>
        <w:pStyle w:val="Compact"/>
        <w:numPr>
          <w:ilvl w:val="0"/>
          <w:numId w:val="1008"/>
        </w:numPr>
      </w:pPr>
      <w:r>
        <w:t xml:space="preserve">MERRA-2.</w:t>
      </w:r>
    </w:p>
    <w:p>
      <w:pPr>
        <w:pStyle w:val="Compact"/>
        <w:numPr>
          <w:ilvl w:val="0"/>
          <w:numId w:val="1008"/>
        </w:numPr>
      </w:pPr>
      <w:r>
        <w:t xml:space="preserve">Any exchange-specific settlement publication.</w:t>
      </w:r>
    </w:p>
    <w:p>
      <w:pPr>
        <w:pStyle w:val="FirstParagraph"/>
      </w:pPr>
      <w:r>
        <w:t xml:space="preserve">Do not assume that station-level GHCN-D observations can directly reproduce a gridded global monthly anomaly. Explain the transformation, interpolation, coverage adjustment, homogenization, sea-surface-temperature integration, and spatial weighting required by the settlement dataset.</w:t>
      </w:r>
    </w:p>
    <w:p>
      <w:pPr>
        <w:pStyle w:val="BodyText"/>
      </w:pPr>
      <w:r>
        <w:t xml:space="preserve">Explicitly flag any unsupported statement, such as a presumed</w:t>
      </w:r>
      <w:r>
        <w:t xml:space="preserve"> </w:t>
      </w:r>
      <w:r>
        <w:t xml:space="preserve">“NOAA v6.1 methodology change,”</w:t>
      </w:r>
      <w:r>
        <w:t xml:space="preserve"> </w:t>
      </w:r>
      <w:r>
        <w:t xml:space="preserve">until it is verified from official documentation.</w:t>
      </w:r>
    </w:p>
    <w:bookmarkEnd w:id="23"/>
    <w:bookmarkStart w:id="24" w:name="c.-evidence-standards"/>
    <w:p>
      <w:pPr>
        <w:pStyle w:val="Heading2"/>
      </w:pPr>
      <w:r>
        <w:t xml:space="preserve">C. Evidence Standards</w:t>
      </w:r>
    </w:p>
    <w:p>
      <w:pPr>
        <w:pStyle w:val="FirstParagraph"/>
      </w:pPr>
      <w:r>
        <w:t xml:space="preserve">Every material factual claim must be classified as one of:</w:t>
      </w:r>
    </w:p>
    <w:p>
      <w:pPr>
        <w:pStyle w:val="Compact"/>
        <w:numPr>
          <w:ilvl w:val="0"/>
          <w:numId w:val="1009"/>
        </w:numPr>
      </w:pPr>
      <w:r>
        <w:rPr>
          <w:b/>
          <w:bCs/>
        </w:rPr>
        <w:t xml:space="preserve">Verified fact</w:t>
      </w:r>
    </w:p>
    <w:p>
      <w:pPr>
        <w:pStyle w:val="Compact"/>
        <w:numPr>
          <w:ilvl w:val="0"/>
          <w:numId w:val="1009"/>
        </w:numPr>
      </w:pPr>
      <w:r>
        <w:rPr>
          <w:b/>
          <w:bCs/>
        </w:rPr>
        <w:t xml:space="preserve">Modeling assumption</w:t>
      </w:r>
    </w:p>
    <w:p>
      <w:pPr>
        <w:pStyle w:val="Compact"/>
        <w:numPr>
          <w:ilvl w:val="0"/>
          <w:numId w:val="1009"/>
        </w:numPr>
      </w:pPr>
      <w:r>
        <w:rPr>
          <w:b/>
          <w:bCs/>
        </w:rPr>
        <w:t xml:space="preserve">Estimated parameter</w:t>
      </w:r>
    </w:p>
    <w:p>
      <w:pPr>
        <w:pStyle w:val="Compact"/>
        <w:numPr>
          <w:ilvl w:val="0"/>
          <w:numId w:val="1009"/>
        </w:numPr>
      </w:pPr>
      <w:r>
        <w:rPr>
          <w:b/>
          <w:bCs/>
        </w:rPr>
        <w:t xml:space="preserve">Hypothesis requiring testing</w:t>
      </w:r>
    </w:p>
    <w:p>
      <w:pPr>
        <w:pStyle w:val="Compact"/>
        <w:numPr>
          <w:ilvl w:val="0"/>
          <w:numId w:val="1009"/>
        </w:numPr>
      </w:pPr>
      <w:r>
        <w:rPr>
          <w:b/>
          <w:bCs/>
        </w:rPr>
        <w:t xml:space="preserve">Unavailable information</w:t>
      </w:r>
    </w:p>
    <w:p>
      <w:pPr>
        <w:pStyle w:val="FirstParagraph"/>
      </w:pPr>
      <w:r>
        <w:t xml:space="preserve">Cite authoritative documentation, peer-reviewed research, official API specifications, and original dataset documentation. Include access dates.</w:t>
      </w:r>
    </w:p>
    <w:p>
      <w:pPr>
        <w:pStyle w:val="BodyText"/>
      </w:pPr>
      <w:r>
        <w:t xml:space="preserve">Do not invent API endpoints, release schedules, contract terms, dataset versions, or order-book fields.</w:t>
      </w:r>
    </w:p>
    <w:p>
      <w:r>
        <w:pict>
          <v:rect style="width:0;height:1.5pt" o:hralign="center" o:hrstd="t" o:hr="t"/>
        </w:pict>
      </w:r>
    </w:p>
    <w:bookmarkEnd w:id="24"/>
    <w:bookmarkEnd w:id="25"/>
    <w:bookmarkStart w:id="28" w:name="Xf9131da993f19204aee6ee313ffa7dca08ab9cf"/>
    <w:p>
      <w:pPr>
        <w:pStyle w:val="Heading1"/>
      </w:pPr>
      <w:r>
        <w:t xml:space="preserve">1. Contract Payoff and Settlement Mathematics</w:t>
      </w:r>
    </w:p>
    <w:p>
      <w:pPr>
        <w:pStyle w:val="FirstParagraph"/>
      </w:pPr>
      <w:r>
        <w:t xml:space="preserve">Formalize the contract payoff before modeling the climate variable.</w:t>
      </w:r>
    </w:p>
    <w:p>
      <w:pPr>
        <w:pStyle w:val="BodyText"/>
      </w:pPr>
      <w:r>
        <w:t xml:space="preserve">For a YES contract purchased at price</w:t>
      </w:r>
      <w:r>
        <w:t xml:space="preserve"> </w:t>
      </w:r>
      <m:oMath>
        <m:sSub>
          <m:e>
            <m:r>
              <m:t>q</m:t>
            </m:r>
          </m:e>
          <m:sub>
            <m:r>
              <m:t>t</m:t>
            </m:r>
          </m:sub>
        </m:sSub>
      </m:oMath>
      <w:r>
        <w:t xml:space="preserve"> </w:t>
      </w:r>
      <w:r>
        <w:t xml:space="preserve">with unit settlement payoff:</w:t>
      </w:r>
    </w:p>
    <w:p>
      <w:pPr>
        <w:pStyle w:val="BodyText"/>
      </w:pPr>
      <m:oMathPara>
        <m:oMathParaPr>
          <m:jc m:val="center"/>
        </m:oMathParaPr>
        <m:oMath>
          <m:sSubSup>
            <m:e>
              <m:r>
                <m:t>Π</m:t>
              </m:r>
            </m:e>
            <m:sub>
              <m:r>
                <m:t>T</m:t>
              </m:r>
            </m:sub>
            <m:sup>
              <m:r>
                <m:rPr>
                  <m:nor/>
                  <m:sty m:val="p"/>
                </m:rPr>
                <m:t>YES</m:t>
              </m:r>
            </m:sup>
          </m:sSubSup>
          <m:r>
            <m:rPr>
              <m:sty m:val="p"/>
            </m:rPr>
            <m:t>=</m:t>
          </m:r>
          <m:r>
            <m:t>S</m:t>
          </m:r>
          <m:r>
            <m:rPr>
              <m:sty m:val="p"/>
            </m:rPr>
            <m:t>−</m:t>
          </m:r>
          <m:sSub>
            <m:e>
              <m:r>
                <m:t>q</m:t>
              </m:r>
            </m:e>
            <m:sub>
              <m:r>
                <m:t>t</m:t>
              </m:r>
            </m:sub>
          </m:sSub>
          <m:r>
            <m:rPr>
              <m:sty m:val="p"/>
            </m:rPr>
            <m:t>−</m:t>
          </m:r>
          <m:sSub>
            <m:e>
              <m:r>
                <m:t>C</m:t>
              </m:r>
            </m:e>
            <m:sub>
              <m:r>
                <m:t>t</m:t>
              </m:r>
            </m:sub>
          </m:sSub>
        </m:oMath>
      </m:oMathPara>
    </w:p>
    <w:p>
      <w:pPr>
        <w:pStyle w:val="FirstParagraph"/>
      </w:pPr>
      <w:r>
        <w:t xml:space="preserve">For a NO contract:</w:t>
      </w:r>
    </w:p>
    <w:p>
      <w:pPr>
        <w:pStyle w:val="BodyText"/>
      </w:pPr>
      <m:oMathPara>
        <m:oMathParaPr>
          <m:jc m:val="center"/>
        </m:oMathParaPr>
        <m:oMath>
          <m:sSubSup>
            <m:e>
              <m:r>
                <m:t>Π</m:t>
              </m:r>
            </m:e>
            <m:sub>
              <m:r>
                <m:t>T</m:t>
              </m:r>
            </m:sub>
            <m:sup>
              <m:r>
                <m:rPr>
                  <m:nor/>
                  <m:sty m:val="p"/>
                </m:rPr>
                <m:t>NO</m:t>
              </m:r>
            </m:sup>
          </m:sSubSup>
          <m:r>
            <m:rPr>
              <m:sty m:val="p"/>
            </m:rPr>
            <m:t>=</m:t>
          </m:r>
          <m:d>
            <m:dPr>
              <m:begChr m:val="("/>
              <m:sepChr m:val=""/>
              <m:endChr m:val=")"/>
              <m:grow/>
            </m:dPr>
            <m:e>
              <m:r>
                <m:t>1</m:t>
              </m:r>
              <m:r>
                <m:rPr>
                  <m:sty m:val="p"/>
                </m:rPr>
                <m:t>−</m:t>
              </m:r>
              <m:r>
                <m:t>S</m:t>
              </m:r>
            </m:e>
          </m:d>
          <m:r>
            <m:rPr>
              <m:sty m:val="p"/>
            </m:rPr>
            <m:t>−</m:t>
          </m:r>
          <m:d>
            <m:dPr>
              <m:begChr m:val="("/>
              <m:sepChr m:val=""/>
              <m:endChr m:val=")"/>
              <m:grow/>
            </m:dPr>
            <m:e>
              <m:r>
                <m:t>1</m:t>
              </m:r>
              <m:r>
                <m:rPr>
                  <m:sty m:val="p"/>
                </m:rPr>
                <m:t>−</m:t>
              </m:r>
              <m:sSub>
                <m:e>
                  <m:r>
                    <m:t>q</m:t>
                  </m:r>
                </m:e>
                <m:sub>
                  <m:r>
                    <m:t>t</m:t>
                  </m:r>
                </m:sub>
              </m:sSub>
            </m:e>
          </m:d>
          <m:r>
            <m:rPr>
              <m:sty m:val="p"/>
            </m:rPr>
            <m:t>−</m:t>
          </m:r>
          <m:sSub>
            <m:e>
              <m:r>
                <m:t>C</m:t>
              </m:r>
            </m:e>
            <m:sub>
              <m:r>
                <m:t>t</m:t>
              </m:r>
            </m:sub>
          </m:sSub>
        </m:oMath>
      </m:oMathPara>
    </w:p>
    <w:p>
      <w:pPr>
        <w:pStyle w:val="FirstParagraph"/>
      </w:pPr>
      <w:r>
        <w:t xml:space="preserve">where</w:t>
      </w:r>
      <w:r>
        <w:t xml:space="preserve"> </w:t>
      </w:r>
      <m:oMath>
        <m:sSub>
          <m:e>
            <m:r>
              <m:t>C</m:t>
            </m:r>
          </m:e>
          <m:sub>
            <m:r>
              <m:t>t</m:t>
            </m:r>
          </m:sub>
        </m:sSub>
      </m:oMath>
      <w:r>
        <w:t xml:space="preserve"> </w:t>
      </w:r>
      <w:r>
        <w:t xml:space="preserve">includes fees, spread, slippage, financing, and execution costs.</w:t>
      </w:r>
    </w:p>
    <w:p>
      <w:pPr>
        <w:pStyle w:val="BodyText"/>
      </w:pPr>
      <w:r>
        <w:t xml:space="preserve">Derive expected profit:</w:t>
      </w:r>
    </w:p>
    <w:p>
      <w:pPr>
        <w:pStyle w:val="BodyText"/>
      </w:pPr>
      <w:r>
        <w:t xml:space="preserve">$$</w:t>
      </w:r>
      <w:r>
        <w:t xml:space="preserve"> </w:t>
      </w:r>
      <w:r>
        <w:t xml:space="preserve">_t[</w:t>
      </w:r>
      <w:r>
        <w:t xml:space="preserve">_T^{</w:t>
      </w:r>
      <w:r>
        <w:t xml:space="preserve">}]</w:t>
      </w:r>
      <w:r>
        <w:t xml:space="preserve"> </w:t>
      </w:r>
      <w:r>
        <w:t xml:space="preserve">=</w:t>
      </w:r>
      <w:r>
        <w:t xml:space="preserve"> </w:t>
      </w:r>
      <w:r>
        <w:t xml:space="preserve">p_t(1-q_t)</w:t>
      </w:r>
    </w:p>
    <w:p>
      <w:pPr>
        <w:numPr>
          <w:ilvl w:val="0"/>
          <w:numId w:val="1010"/>
        </w:numPr>
      </w:pPr>
      <w:r>
        <w:t xml:space="preserve">(1-p_t)q_t</w:t>
      </w:r>
    </w:p>
    <w:p>
      <w:pPr>
        <w:pStyle w:val="Heading1"/>
        <w:numPr>
          <w:ilvl w:val="0"/>
          <w:numId w:val="1010"/>
        </w:numPr>
      </w:pPr>
      <w:bookmarkStart w:id="26" w:name="c_t"/>
      <w:r>
        <w:t xml:space="preserve">C_t</w:t>
      </w:r>
      <w:bookmarkEnd w:id="26"/>
    </w:p>
    <w:p>
      <w:pPr>
        <w:numPr>
          <w:ilvl w:val="0"/>
          <w:numId w:val="1000"/>
        </w:numPr>
      </w:pPr>
      <w:r>
        <w:t xml:space="preserve">p_t-q_t-C_t</w:t>
      </w:r>
      <w:r>
        <w:t xml:space="preserve"> </w:t>
      </w:r>
      <w:r>
        <w:t xml:space="preserve">$$</w:t>
      </w:r>
    </w:p>
    <w:bookmarkStart w:id="27" w:name="rounding-and-interval-censoring"/>
    <w:p>
      <w:pPr>
        <w:pStyle w:val="Heading2"/>
      </w:pPr>
      <w:r>
        <w:t xml:space="preserve">Rounding and Interval Censoring</w:t>
      </w:r>
    </w:p>
    <w:p>
      <w:pPr>
        <w:pStyle w:val="FirstParagraph"/>
      </w:pPr>
      <w:r>
        <w:t xml:space="preserve">If the settlement oracle publishes a value rounded to</w:t>
      </w:r>
      <w:r>
        <w:t xml:space="preserve"> </w:t>
      </w:r>
      <m:oMath>
        <m:r>
          <m:t>d</m:t>
        </m:r>
      </m:oMath>
      <w:r>
        <w:t xml:space="preserve"> </w:t>
      </w:r>
      <w:r>
        <w:t xml:space="preserve">decimal places, convert the printed threshold into an interval for the latent unrounded value.</w:t>
      </w:r>
    </w:p>
    <w:p>
      <w:pPr>
        <w:pStyle w:val="BodyText"/>
      </w:pPr>
      <w:r>
        <w:t xml:space="preserve">For conventional round-to-nearest with increment</w:t>
      </w:r>
      <w:r>
        <w:t xml:space="preserve"> </w:t>
      </w:r>
      <m:oMath>
        <m:r>
          <m:t>Δ</m:t>
        </m:r>
        <m:r>
          <m:rPr>
            <m:sty m:val="p"/>
          </m:rPr>
          <m:t>=</m:t>
        </m:r>
        <m:sSup>
          <m:e>
            <m:r>
              <m:t>10</m:t>
            </m:r>
          </m:e>
          <m:sup>
            <m:r>
              <m:rPr>
                <m:sty m:val="p"/>
              </m:rPr>
              <m:t>−</m:t>
            </m:r>
            <m:r>
              <m:t>d</m:t>
            </m:r>
          </m:sup>
        </m:sSup>
      </m:oMath>
      <w:r>
        <w:t xml:space="preserve">, a printed value</w:t>
      </w:r>
      <w:r>
        <w:t xml:space="preserve"> </w:t>
      </w:r>
      <m:oMath>
        <m:sSup>
          <m:e>
            <m:r>
              <m:t>y</m:t>
            </m:r>
          </m:e>
          <m:sup>
            <m:r>
              <m:rPr>
                <m:sty m:val="p"/>
              </m:rPr>
              <m:t>*</m:t>
            </m:r>
          </m:sup>
        </m:sSup>
      </m:oMath>
      <w:r>
        <w:t xml:space="preserve"> </w:t>
      </w:r>
      <w:r>
        <w:t xml:space="preserve">represents approximately:</w:t>
      </w:r>
    </w:p>
    <w:p>
      <w:pPr>
        <w:pStyle w:val="BodyText"/>
      </w:pPr>
      <m:oMathPara>
        <m:oMathParaPr>
          <m:jc m:val="center"/>
        </m:oMathParaPr>
        <m:oMath>
          <m:r>
            <m:t>Y</m:t>
          </m:r>
          <m:r>
            <m:rPr>
              <m:sty m:val="p"/>
            </m:rPr>
            <m:t>∈</m:t>
          </m:r>
          <m:d>
            <m:dPr>
              <m:begChr m:val="["/>
              <m:sepChr m:val=""/>
              <m:endChr m:val=")"/>
              <m:grow/>
            </m:dPr>
            <m:e>
              <m:sSup>
                <m:e>
                  <m:r>
                    <m:t>y</m:t>
                  </m:r>
                </m:e>
                <m:sup>
                  <m:r>
                    <m:rPr>
                      <m:sty m:val="p"/>
                    </m:rPr>
                    <m:t>*</m:t>
                  </m:r>
                </m:sup>
              </m:sSup>
              <m:r>
                <m:rPr>
                  <m:sty m:val="p"/>
                </m:rPr>
                <m:t>−</m:t>
              </m:r>
              <m:f>
                <m:fPr>
                  <m:type m:val="bar"/>
                </m:fPr>
                <m:num>
                  <m:r>
                    <m:t>Δ</m:t>
                  </m:r>
                </m:num>
                <m:den>
                  <m:r>
                    <m:t>2</m:t>
                  </m:r>
                </m:den>
              </m:f>
              <m:r>
                <m:rPr>
                  <m:sty m:val="p"/>
                </m:rPr>
                <m:t>,</m:t>
              </m:r>
              <m:sSup>
                <m:e>
                  <m:r>
                    <m:t>y</m:t>
                  </m:r>
                </m:e>
                <m:sup>
                  <m:r>
                    <m:rPr>
                      <m:sty m:val="p"/>
                    </m:rPr>
                    <m:t>*</m:t>
                  </m:r>
                </m:sup>
              </m:sSup>
              <m:r>
                <m:rPr>
                  <m:sty m:val="p"/>
                </m:rPr>
                <m:t>+</m:t>
              </m:r>
              <m:f>
                <m:fPr>
                  <m:type m:val="bar"/>
                </m:fPr>
                <m:num>
                  <m:r>
                    <m:t>Δ</m:t>
                  </m:r>
                </m:num>
                <m:den>
                  <m:r>
                    <m:t>2</m:t>
                  </m:r>
                </m:den>
              </m:f>
            </m:e>
          </m:d>
        </m:oMath>
      </m:oMathPara>
    </w:p>
    <w:p>
      <w:pPr>
        <w:pStyle w:val="FirstParagraph"/>
      </w:pPr>
      <w:r>
        <w:t xml:space="preserve">Derive the exact settlement event under the contract’s actual rounding rule.</w:t>
      </w:r>
    </w:p>
    <w:p>
      <w:pPr>
        <w:pStyle w:val="BodyText"/>
      </w:pPr>
      <w:r>
        <w:t xml:space="preserve">For a printed threshold</w:t>
      </w:r>
      <w:r>
        <w:t xml:space="preserve"> </w:t>
      </w:r>
      <m:oMath>
        <m:r>
          <m:t>K</m:t>
        </m:r>
      </m:oMath>
      <w:r>
        <w:t xml:space="preserve">, compute:</w:t>
      </w:r>
    </w:p>
    <w:p>
      <w:pPr>
        <w:pStyle w:val="BodyText"/>
      </w:pPr>
      <m:oMathPara>
        <m:oMathParaPr>
          <m:jc m:val="center"/>
        </m:oMathParaPr>
        <m:oMath>
          <m:sSub>
            <m:e>
              <m:r>
                <m:t>p</m:t>
              </m:r>
            </m:e>
            <m:sub>
              <m:r>
                <m:t>t</m:t>
              </m:r>
            </m:sub>
          </m:sSub>
          <m:r>
            <m:rPr>
              <m:sty m:val="p"/>
            </m:rPr>
            <m:t>=</m:t>
          </m:r>
          <m:r>
            <m:rPr>
              <m:sty m:val="p"/>
            </m:rPr>
            <m:t>Pr</m:t>
          </m:r>
          <m:d>
            <m:dPr>
              <m:begChr m:val="("/>
              <m:sepChr m:val=""/>
              <m:endChr m:val=")"/>
              <m:grow/>
            </m:dPr>
            <m:e>
              <m:sSub>
                <m:e>
                  <m:r>
                    <m:t>R</m:t>
                  </m:r>
                </m:e>
                <m:sub>
                  <m:r>
                    <m:t>d</m:t>
                  </m:r>
                </m:sub>
              </m:sSub>
              <m:d>
                <m:dPr>
                  <m:begChr m:val="("/>
                  <m:sepChr m:val=""/>
                  <m:endChr m:val=")"/>
                  <m:grow/>
                </m:dPr>
                <m:e>
                  <m:sSub>
                    <m:e>
                      <m:r>
                        <m:t>Y</m:t>
                      </m:r>
                    </m:e>
                    <m:sub>
                      <m:r>
                        <m:t>T</m:t>
                      </m:r>
                    </m:sub>
                  </m:sSub>
                </m:e>
              </m:d>
              <m:r>
                <m:rPr>
                  <m:sty m:val="p"/>
                </m:rPr>
                <m:t>≥</m:t>
              </m:r>
              <m:r>
                <m:t>K</m:t>
              </m:r>
              <m:r>
                <m:rPr>
                  <m:sty m:val="p"/>
                </m:rPr>
                <m:t>∣</m:t>
              </m:r>
              <m:sSub>
                <m:e>
                  <m:r>
                    <m:rPr>
                      <m:sty m:val="p"/>
                      <m:scr m:val="script"/>
                    </m:rPr>
                    <m:t>I</m:t>
                  </m:r>
                </m:e>
                <m:sub>
                  <m:r>
                    <m:t>t</m:t>
                  </m:r>
                </m:sub>
              </m:sSub>
            </m:e>
          </m:d>
        </m:oMath>
      </m:oMathPara>
    </w:p>
    <w:p>
      <w:pPr>
        <w:pStyle w:val="FirstParagraph"/>
      </w:pPr>
      <w:r>
        <w:t xml:space="preserve">rather than automatically substituting:</w:t>
      </w:r>
    </w:p>
    <w:p>
      <w:pPr>
        <w:pStyle w:val="BodyText"/>
      </w:pPr>
      <m:oMathPara>
        <m:oMathParaPr>
          <m:jc m:val="center"/>
        </m:oMathParaPr>
        <m:oMath>
          <m:r>
            <m:rPr>
              <m:sty m:val="p"/>
            </m:rPr>
            <m:t>Pr</m:t>
          </m:r>
          <m:d>
            <m:dPr>
              <m:begChr m:val="("/>
              <m:sepChr m:val=""/>
              <m:endChr m:val=")"/>
              <m:grow/>
            </m:dPr>
            <m:e>
              <m:sSub>
                <m:e>
                  <m:r>
                    <m:t>Y</m:t>
                  </m:r>
                </m:e>
                <m:sub>
                  <m:r>
                    <m:t>T</m:t>
                  </m:r>
                </m:sub>
              </m:sSub>
              <m:r>
                <m:rPr>
                  <m:sty m:val="p"/>
                </m:rPr>
                <m:t>≥</m:t>
              </m:r>
              <m:r>
                <m:t>K</m:t>
              </m:r>
              <m:r>
                <m:rPr>
                  <m:sty m:val="p"/>
                </m:rPr>
                <m:t>∣</m:t>
              </m:r>
              <m:sSub>
                <m:e>
                  <m:r>
                    <m:rPr>
                      <m:sty m:val="p"/>
                      <m:scr m:val="script"/>
                    </m:rPr>
                    <m:t>I</m:t>
                  </m:r>
                </m:e>
                <m:sub>
                  <m:r>
                    <m:t>t</m:t>
                  </m:r>
                </m:sub>
              </m:sSub>
            </m:e>
          </m:d>
        </m:oMath>
      </m:oMathPara>
    </w:p>
    <w:p>
      <w:pPr>
        <w:pStyle w:val="FirstParagraph"/>
      </w:pPr>
      <w:r>
        <w:t xml:space="preserve">Analyze ties, strict records, floating-point publication behavior, and any ambiguity between displayed and underlying values.</w:t>
      </w:r>
    </w:p>
    <w:p>
      <w:r>
        <w:pict>
          <v:rect style="width:0;height:1.5pt" o:hralign="center" o:hrstd="t" o:hr="t"/>
        </w:pict>
      </w:r>
    </w:p>
    <w:bookmarkEnd w:id="27"/>
    <w:bookmarkEnd w:id="28"/>
    <w:bookmarkStart w:id="29" w:name="X74ad90d5cb2059e7d2fb7519ce8369a7e8235b1"/>
    <w:p>
      <w:pPr>
        <w:pStyle w:val="Heading1"/>
      </w:pPr>
      <w:r>
        <w:t xml:space="preserve">2. Information Timeline and Data-Vintage Control</w:t>
      </w:r>
    </w:p>
    <w:p>
      <w:pPr>
        <w:pStyle w:val="FirstParagraph"/>
      </w:pPr>
      <w:r>
        <w:t xml:space="preserve">Construct a timestamped information-flow diagram showing when each signal becomes observable.</w:t>
      </w:r>
    </w:p>
    <w:p>
      <w:pPr>
        <w:pStyle w:val="BodyText"/>
      </w:pPr>
      <w:r>
        <w:t xml:space="preserve">For every dataset, record:</w:t>
      </w:r>
    </w:p>
    <w:p>
      <w:pPr>
        <w:pStyle w:val="Compact"/>
        <w:numPr>
          <w:ilvl w:val="0"/>
          <w:numId w:val="1011"/>
        </w:numPr>
      </w:pPr>
      <w:r>
        <w:t xml:space="preserve">Measurement time.</w:t>
      </w:r>
    </w:p>
    <w:p>
      <w:pPr>
        <w:pStyle w:val="Compact"/>
        <w:numPr>
          <w:ilvl w:val="0"/>
          <w:numId w:val="1011"/>
        </w:numPr>
      </w:pPr>
      <w:r>
        <w:t xml:space="preserve">Model initialization time.</w:t>
      </w:r>
    </w:p>
    <w:p>
      <w:pPr>
        <w:pStyle w:val="Compact"/>
        <w:numPr>
          <w:ilvl w:val="0"/>
          <w:numId w:val="1011"/>
        </w:numPr>
      </w:pPr>
      <w:r>
        <w:t xml:space="preserve">Publication time.</w:t>
      </w:r>
    </w:p>
    <w:p>
      <w:pPr>
        <w:pStyle w:val="Compact"/>
        <w:numPr>
          <w:ilvl w:val="0"/>
          <w:numId w:val="1011"/>
        </w:numPr>
      </w:pPr>
      <w:r>
        <w:t xml:space="preserve">API availability time.</w:t>
      </w:r>
    </w:p>
    <w:p>
      <w:pPr>
        <w:pStyle w:val="Compact"/>
        <w:numPr>
          <w:ilvl w:val="0"/>
          <w:numId w:val="1011"/>
        </w:numPr>
      </w:pPr>
      <w:r>
        <w:t xml:space="preserve">Ingestion time.</w:t>
      </w:r>
    </w:p>
    <w:p>
      <w:pPr>
        <w:pStyle w:val="Compact"/>
        <w:numPr>
          <w:ilvl w:val="0"/>
          <w:numId w:val="1011"/>
        </w:numPr>
      </w:pPr>
      <w:r>
        <w:t xml:space="preserve">Revision time.</w:t>
      </w:r>
    </w:p>
    <w:p>
      <w:pPr>
        <w:pStyle w:val="Compact"/>
        <w:numPr>
          <w:ilvl w:val="0"/>
          <w:numId w:val="1011"/>
        </w:numPr>
      </w:pPr>
      <w:r>
        <w:t xml:space="preserve">Exchange-price timestamp.</w:t>
      </w:r>
    </w:p>
    <w:p>
      <w:pPr>
        <w:pStyle w:val="FirstParagraph"/>
      </w:pPr>
      <w:r>
        <w:t xml:space="preserve">Define the usable information set as:</w:t>
      </w:r>
    </w:p>
    <w:p>
      <w:pPr>
        <w:pStyle w:val="BodyText"/>
      </w:pPr>
      <m:oMathPara>
        <m:oMathParaPr>
          <m:jc m:val="center"/>
        </m:oMathParaPr>
        <m:oMath>
          <m:sSub>
            <m:e>
              <m:r>
                <m:rPr>
                  <m:sty m:val="p"/>
                  <m:scr m:val="script"/>
                </m:rPr>
                <m:t>I</m:t>
              </m:r>
            </m:e>
            <m:sub>
              <m:r>
                <m:t>t</m:t>
              </m:r>
            </m:sub>
          </m:sSub>
          <m:r>
            <m:rPr>
              <m:sty m:val="p"/>
            </m:rPr>
            <m:t>=</m:t>
          </m:r>
          <m:d>
            <m:dPr>
              <m:begChr m:val="{"/>
              <m:sepChr m:val=""/>
              <m:endChr m:val="}"/>
              <m:grow/>
            </m:dPr>
            <m:e>
              <m:sSub>
                <m:e>
                  <m:r>
                    <m:t>x</m:t>
                  </m:r>
                </m:e>
                <m:sub>
                  <m:r>
                    <m:t>i</m:t>
                  </m:r>
                </m:sub>
              </m:sSub>
              <m:r>
                <m:rPr>
                  <m:sty m:val="p"/>
                </m:rPr>
                <m:t>:</m:t>
              </m:r>
              <m:sSubSup>
                <m:e>
                  <m:r>
                    <m:t>τ</m:t>
                  </m:r>
                </m:e>
                <m:sub>
                  <m:r>
                    <m:t>i</m:t>
                  </m:r>
                </m:sub>
                <m:sup>
                  <m:r>
                    <m:rPr>
                      <m:nor/>
                      <m:sty m:val="p"/>
                    </m:rPr>
                    <m:t>available</m:t>
                  </m:r>
                </m:sup>
              </m:sSubSup>
              <m:r>
                <m:rPr>
                  <m:sty m:val="p"/>
                </m:rPr>
                <m:t>≤</m:t>
              </m:r>
              <m:r>
                <m:t>t</m:t>
              </m:r>
            </m:e>
          </m:d>
        </m:oMath>
      </m:oMathPara>
    </w:p>
    <w:p>
      <w:pPr>
        <w:pStyle w:val="FirstParagraph"/>
      </w:pPr>
      <w:r>
        <w:t xml:space="preserve">not according to the observation date alone.</w:t>
      </w:r>
    </w:p>
    <w:p>
      <w:pPr>
        <w:pStyle w:val="BodyText"/>
      </w:pPr>
      <w:r>
        <w:t xml:space="preserve">Distinguish:</w:t>
      </w:r>
    </w:p>
    <w:p>
      <w:pPr>
        <w:pStyle w:val="Compact"/>
        <w:numPr>
          <w:ilvl w:val="0"/>
          <w:numId w:val="1012"/>
        </w:numPr>
      </w:pPr>
      <w:r>
        <w:t xml:space="preserve">Event time.</w:t>
      </w:r>
    </w:p>
    <w:p>
      <w:pPr>
        <w:pStyle w:val="Compact"/>
        <w:numPr>
          <w:ilvl w:val="0"/>
          <w:numId w:val="1012"/>
        </w:numPr>
      </w:pPr>
      <w:r>
        <w:t xml:space="preserve">Exchange time.</w:t>
      </w:r>
    </w:p>
    <w:p>
      <w:pPr>
        <w:pStyle w:val="Compact"/>
        <w:numPr>
          <w:ilvl w:val="0"/>
          <w:numId w:val="1012"/>
        </w:numPr>
      </w:pPr>
      <w:r>
        <w:t xml:space="preserve">Data publication time.</w:t>
      </w:r>
    </w:p>
    <w:p>
      <w:pPr>
        <w:pStyle w:val="Compact"/>
        <w:numPr>
          <w:ilvl w:val="0"/>
          <w:numId w:val="1012"/>
        </w:numPr>
      </w:pPr>
      <w:r>
        <w:t xml:space="preserve">System ingestion time.</w:t>
      </w:r>
    </w:p>
    <w:p>
      <w:pPr>
        <w:pStyle w:val="Compact"/>
        <w:numPr>
          <w:ilvl w:val="0"/>
          <w:numId w:val="1012"/>
        </w:numPr>
      </w:pPr>
      <w:r>
        <w:t xml:space="preserve">Strategy decision time.</w:t>
      </w:r>
    </w:p>
    <w:p>
      <w:pPr>
        <w:pStyle w:val="Compact"/>
        <w:numPr>
          <w:ilvl w:val="0"/>
          <w:numId w:val="1012"/>
        </w:numPr>
      </w:pPr>
      <w:r>
        <w:t xml:space="preserve">Order submission time.</w:t>
      </w:r>
    </w:p>
    <w:p>
      <w:pPr>
        <w:pStyle w:val="Compact"/>
        <w:numPr>
          <w:ilvl w:val="0"/>
          <w:numId w:val="1012"/>
        </w:numPr>
      </w:pPr>
      <w:r>
        <w:t xml:space="preserve">Exchange acknowledgement time.</w:t>
      </w:r>
    </w:p>
    <w:p>
      <w:pPr>
        <w:pStyle w:val="Compact"/>
        <w:numPr>
          <w:ilvl w:val="0"/>
          <w:numId w:val="1012"/>
        </w:numPr>
      </w:pPr>
      <w:r>
        <w:t xml:space="preserve">Fill time.</w:t>
      </w:r>
    </w:p>
    <w:p>
      <w:pPr>
        <w:pStyle w:val="FirstParagraph"/>
      </w:pPr>
      <w:r>
        <w:t xml:space="preserve">Backtests must use the historical data vintage actually available at each timestamp. Revised ERA5, NOAA, station, or forecast data must not be substituted for preliminary data unless revision uncertainty is explicitly modeled.</w:t>
      </w:r>
    </w:p>
    <w:p>
      <w:pPr>
        <w:pStyle w:val="BodyText"/>
      </w:pPr>
      <w:r>
        <w:t xml:space="preserve">Design a vintage-data storage system that preserves:</w:t>
      </w:r>
    </w:p>
    <w:p>
      <w:pPr>
        <w:pStyle w:val="Compact"/>
        <w:numPr>
          <w:ilvl w:val="0"/>
          <w:numId w:val="1013"/>
        </w:numPr>
      </w:pPr>
      <w:r>
        <w:t xml:space="preserve">Raw files.</w:t>
      </w:r>
    </w:p>
    <w:p>
      <w:pPr>
        <w:pStyle w:val="Compact"/>
        <w:numPr>
          <w:ilvl w:val="0"/>
          <w:numId w:val="1013"/>
        </w:numPr>
      </w:pPr>
      <w:r>
        <w:t xml:space="preserve">Checksums.</w:t>
      </w:r>
    </w:p>
    <w:p>
      <w:pPr>
        <w:pStyle w:val="Compact"/>
        <w:numPr>
          <w:ilvl w:val="0"/>
          <w:numId w:val="1013"/>
        </w:numPr>
      </w:pPr>
      <w:r>
        <w:t xml:space="preserve">Retrieval timestamps.</w:t>
      </w:r>
    </w:p>
    <w:p>
      <w:pPr>
        <w:pStyle w:val="Compact"/>
        <w:numPr>
          <w:ilvl w:val="0"/>
          <w:numId w:val="1013"/>
        </w:numPr>
      </w:pPr>
      <w:r>
        <w:t xml:space="preserve">Dataset versions.</w:t>
      </w:r>
    </w:p>
    <w:p>
      <w:pPr>
        <w:pStyle w:val="Compact"/>
        <w:numPr>
          <w:ilvl w:val="0"/>
          <w:numId w:val="1013"/>
        </w:numPr>
      </w:pPr>
      <w:r>
        <w:t xml:space="preserve">Forecast initialization cycles.</w:t>
      </w:r>
    </w:p>
    <w:p>
      <w:pPr>
        <w:pStyle w:val="Compact"/>
        <w:numPr>
          <w:ilvl w:val="0"/>
          <w:numId w:val="1013"/>
        </w:numPr>
      </w:pPr>
      <w:r>
        <w:t xml:space="preserve">Revisions.</w:t>
      </w:r>
    </w:p>
    <w:p>
      <w:pPr>
        <w:pStyle w:val="Compact"/>
        <w:numPr>
          <w:ilvl w:val="0"/>
          <w:numId w:val="1013"/>
        </w:numPr>
      </w:pPr>
      <w:r>
        <w:t xml:space="preserve">Parser versions.</w:t>
      </w:r>
    </w:p>
    <w:p>
      <w:pPr>
        <w:pStyle w:val="Compact"/>
        <w:numPr>
          <w:ilvl w:val="0"/>
          <w:numId w:val="1013"/>
        </w:numPr>
      </w:pPr>
      <w:r>
        <w:t xml:space="preserve">Transformation code versions.</w:t>
      </w:r>
    </w:p>
    <w:p>
      <w:r>
        <w:pict>
          <v:rect style="width:0;height:1.5pt" o:hralign="center" o:hrstd="t" o:hr="t"/>
        </w:pict>
      </w:r>
    </w:p>
    <w:bookmarkEnd w:id="29"/>
    <w:bookmarkStart w:id="33" w:name="data-ingestion-and-systems-architecture"/>
    <w:p>
      <w:pPr>
        <w:pStyle w:val="Heading1"/>
      </w:pPr>
      <w:r>
        <w:t xml:space="preserve">3. Data Ingestion and Systems Architecture</w:t>
      </w:r>
    </w:p>
    <w:p>
      <w:pPr>
        <w:pStyle w:val="FirstParagraph"/>
      </w:pPr>
      <w:r>
        <w:t xml:space="preserve">Design a production-grade C++ architecture for ingesting meteorological and market data with low latency, deterministic behavior, and reproducibility.</w:t>
      </w:r>
    </w:p>
    <w:bookmarkStart w:id="30" w:name="a.-meteorological-ingestion"/>
    <w:p>
      <w:pPr>
        <w:pStyle w:val="Heading2"/>
      </w:pPr>
      <w:r>
        <w:t xml:space="preserve">A. Meteorological Ingestion</w:t>
      </w:r>
    </w:p>
    <w:p>
      <w:pPr>
        <w:pStyle w:val="FirstParagraph"/>
      </w:pPr>
      <w:r>
        <w:t xml:space="preserve">Cover:</w:t>
      </w:r>
    </w:p>
    <w:p>
      <w:pPr>
        <w:pStyle w:val="Compact"/>
        <w:numPr>
          <w:ilvl w:val="0"/>
          <w:numId w:val="1014"/>
        </w:numPr>
      </w:pPr>
      <w:r>
        <w:t xml:space="preserve">NetCDF4 and HDF5 access.</w:t>
      </w:r>
    </w:p>
    <w:p>
      <w:pPr>
        <w:pStyle w:val="Compact"/>
        <w:numPr>
          <w:ilvl w:val="0"/>
          <w:numId w:val="1014"/>
        </w:numPr>
      </w:pPr>
      <w:r>
        <w:t xml:space="preserve">GRIB2 forecast files where applicable.</w:t>
      </w:r>
    </w:p>
    <w:p>
      <w:pPr>
        <w:pStyle w:val="Compact"/>
        <w:numPr>
          <w:ilvl w:val="0"/>
          <w:numId w:val="1014"/>
        </w:numPr>
      </w:pPr>
      <w:r>
        <w:t xml:space="preserve">NOAA text, CSV, JSON, and binary formats.</w:t>
      </w:r>
    </w:p>
    <w:p>
      <w:pPr>
        <w:pStyle w:val="Compact"/>
        <w:numPr>
          <w:ilvl w:val="0"/>
          <w:numId w:val="1014"/>
        </w:numPr>
      </w:pPr>
      <w:r>
        <w:t xml:space="preserve">Memory-mapped I/O.</w:t>
      </w:r>
    </w:p>
    <w:p>
      <w:pPr>
        <w:pStyle w:val="Compact"/>
        <w:numPr>
          <w:ilvl w:val="0"/>
          <w:numId w:val="1014"/>
        </w:numPr>
      </w:pPr>
      <w:r>
        <w:t xml:space="preserve">Chunked and compressed variables.</w:t>
      </w:r>
    </w:p>
    <w:p>
      <w:pPr>
        <w:pStyle w:val="Compact"/>
        <w:numPr>
          <w:ilvl w:val="0"/>
          <w:numId w:val="1014"/>
        </w:numPr>
      </w:pPr>
      <w:r>
        <w:t xml:space="preserve">Coordinate and metadata validation.</w:t>
      </w:r>
    </w:p>
    <w:p>
      <w:pPr>
        <w:pStyle w:val="Compact"/>
        <w:numPr>
          <w:ilvl w:val="0"/>
          <w:numId w:val="1014"/>
        </w:numPr>
      </w:pPr>
      <w:r>
        <w:t xml:space="preserve">Missing-value handling.</w:t>
      </w:r>
    </w:p>
    <w:p>
      <w:pPr>
        <w:pStyle w:val="Compact"/>
        <w:numPr>
          <w:ilvl w:val="0"/>
          <w:numId w:val="1014"/>
        </w:numPr>
      </w:pPr>
      <w:r>
        <w:t xml:space="preserve">Scale factors and offsets.</w:t>
      </w:r>
    </w:p>
    <w:p>
      <w:pPr>
        <w:pStyle w:val="Compact"/>
        <w:numPr>
          <w:ilvl w:val="0"/>
          <w:numId w:val="1014"/>
        </w:numPr>
      </w:pPr>
      <w:r>
        <w:t xml:space="preserve">Calendar conventions.</w:t>
      </w:r>
    </w:p>
    <w:p>
      <w:pPr>
        <w:pStyle w:val="Compact"/>
        <w:numPr>
          <w:ilvl w:val="0"/>
          <w:numId w:val="1014"/>
        </w:numPr>
      </w:pPr>
      <w:r>
        <w:t xml:space="preserve">Latitude ordering.</w:t>
      </w:r>
    </w:p>
    <w:p>
      <w:pPr>
        <w:pStyle w:val="Compact"/>
        <w:numPr>
          <w:ilvl w:val="0"/>
          <w:numId w:val="1014"/>
        </w:numPr>
      </w:pPr>
      <w:r>
        <w:t xml:space="preserve">Longitude normalization.</w:t>
      </w:r>
    </w:p>
    <w:p>
      <w:pPr>
        <w:pStyle w:val="Compact"/>
        <w:numPr>
          <w:ilvl w:val="0"/>
          <w:numId w:val="1014"/>
        </w:numPr>
      </w:pPr>
      <w:r>
        <w:t xml:space="preserve">Area weighting.</w:t>
      </w:r>
    </w:p>
    <w:p>
      <w:pPr>
        <w:pStyle w:val="Compact"/>
        <w:numPr>
          <w:ilvl w:val="0"/>
          <w:numId w:val="1014"/>
        </w:numPr>
      </w:pPr>
      <w:r>
        <w:t xml:space="preserve">Unit conversion.</w:t>
      </w:r>
    </w:p>
    <w:p>
      <w:pPr>
        <w:pStyle w:val="Compact"/>
        <w:numPr>
          <w:ilvl w:val="0"/>
          <w:numId w:val="1014"/>
        </w:numPr>
      </w:pPr>
      <w:r>
        <w:t xml:space="preserve">Baseline conversion.</w:t>
      </w:r>
    </w:p>
    <w:p>
      <w:pPr>
        <w:pStyle w:val="Compact"/>
        <w:numPr>
          <w:ilvl w:val="0"/>
          <w:numId w:val="1014"/>
        </w:numPr>
      </w:pPr>
      <w:r>
        <w:t xml:space="preserve">Corrupt-file detection.</w:t>
      </w:r>
    </w:p>
    <w:p>
      <w:pPr>
        <w:pStyle w:val="Compact"/>
        <w:numPr>
          <w:ilvl w:val="0"/>
          <w:numId w:val="1014"/>
        </w:numPr>
      </w:pPr>
      <w:r>
        <w:t xml:space="preserve">Duplicate-file detection.</w:t>
      </w:r>
    </w:p>
    <w:p>
      <w:pPr>
        <w:pStyle w:val="FirstParagraph"/>
      </w:pPr>
      <w:r>
        <w:t xml:space="preserve">Explain when true zero-copy parsing is possible and when NetCDF/HDF5 decompression necessarily requires copying or materialization.</w:t>
      </w:r>
    </w:p>
    <w:p>
      <w:pPr>
        <w:pStyle w:val="BodyText"/>
      </w:pPr>
      <w:r>
        <w:t xml:space="preserve">Propose components such as:</w:t>
      </w:r>
    </w:p>
    <w:p>
      <w:pPr>
        <w:pStyle w:val="Compact"/>
        <w:numPr>
          <w:ilvl w:val="0"/>
          <w:numId w:val="1015"/>
        </w:numPr>
      </w:pPr>
      <w:r>
        <w:rPr>
          <w:rStyle w:val="VerbatimChar"/>
        </w:rPr>
        <w:t xml:space="preserve">DataSourceAdapter</w:t>
      </w:r>
    </w:p>
    <w:p>
      <w:pPr>
        <w:pStyle w:val="Compact"/>
        <w:numPr>
          <w:ilvl w:val="0"/>
          <w:numId w:val="1015"/>
        </w:numPr>
      </w:pPr>
      <w:r>
        <w:rPr>
          <w:rStyle w:val="VerbatimChar"/>
        </w:rPr>
        <w:t xml:space="preserve">NetCDFReader</w:t>
      </w:r>
    </w:p>
    <w:p>
      <w:pPr>
        <w:pStyle w:val="Compact"/>
        <w:numPr>
          <w:ilvl w:val="0"/>
          <w:numId w:val="1015"/>
        </w:numPr>
      </w:pPr>
      <w:r>
        <w:rPr>
          <w:rStyle w:val="VerbatimChar"/>
        </w:rPr>
        <w:t xml:space="preserve">GRIBReader</w:t>
      </w:r>
    </w:p>
    <w:p>
      <w:pPr>
        <w:pStyle w:val="Compact"/>
        <w:numPr>
          <w:ilvl w:val="0"/>
          <w:numId w:val="1015"/>
        </w:numPr>
      </w:pPr>
      <w:r>
        <w:rPr>
          <w:rStyle w:val="VerbatimChar"/>
        </w:rPr>
        <w:t xml:space="preserve">StationObservationParser</w:t>
      </w:r>
    </w:p>
    <w:p>
      <w:pPr>
        <w:pStyle w:val="Compact"/>
        <w:numPr>
          <w:ilvl w:val="0"/>
          <w:numId w:val="1015"/>
        </w:numPr>
      </w:pPr>
      <w:r>
        <w:rPr>
          <w:rStyle w:val="VerbatimChar"/>
        </w:rPr>
        <w:t xml:space="preserve">ForecastCycleRegistry</w:t>
      </w:r>
    </w:p>
    <w:p>
      <w:pPr>
        <w:pStyle w:val="Compact"/>
        <w:numPr>
          <w:ilvl w:val="0"/>
          <w:numId w:val="1015"/>
        </w:numPr>
      </w:pPr>
      <w:r>
        <w:rPr>
          <w:rStyle w:val="VerbatimChar"/>
        </w:rPr>
        <w:t xml:space="preserve">BaselineTransformer</w:t>
      </w:r>
    </w:p>
    <w:p>
      <w:pPr>
        <w:pStyle w:val="Compact"/>
        <w:numPr>
          <w:ilvl w:val="0"/>
          <w:numId w:val="1015"/>
        </w:numPr>
      </w:pPr>
      <w:r>
        <w:rPr>
          <w:rStyle w:val="VerbatimChar"/>
        </w:rPr>
        <w:t xml:space="preserve">SpatialAggregator</w:t>
      </w:r>
    </w:p>
    <w:p>
      <w:pPr>
        <w:pStyle w:val="Compact"/>
        <w:numPr>
          <w:ilvl w:val="0"/>
          <w:numId w:val="1015"/>
        </w:numPr>
      </w:pPr>
      <w:r>
        <w:rPr>
          <w:rStyle w:val="VerbatimChar"/>
        </w:rPr>
        <w:t xml:space="preserve">VintageStore</w:t>
      </w:r>
    </w:p>
    <w:p>
      <w:pPr>
        <w:pStyle w:val="Compact"/>
        <w:numPr>
          <w:ilvl w:val="0"/>
          <w:numId w:val="1015"/>
        </w:numPr>
      </w:pPr>
      <w:r>
        <w:rPr>
          <w:rStyle w:val="VerbatimChar"/>
        </w:rPr>
        <w:t xml:space="preserve">SignalBus</w:t>
      </w:r>
    </w:p>
    <w:p>
      <w:pPr>
        <w:pStyle w:val="Compact"/>
        <w:numPr>
          <w:ilvl w:val="0"/>
          <w:numId w:val="1015"/>
        </w:numPr>
      </w:pPr>
      <w:r>
        <w:rPr>
          <w:rStyle w:val="VerbatimChar"/>
        </w:rPr>
        <w:t xml:space="preserve">ModelEngine</w:t>
      </w:r>
    </w:p>
    <w:p>
      <w:pPr>
        <w:pStyle w:val="Compact"/>
        <w:numPr>
          <w:ilvl w:val="0"/>
          <w:numId w:val="1015"/>
        </w:numPr>
      </w:pPr>
      <w:r>
        <w:rPr>
          <w:rStyle w:val="VerbatimChar"/>
        </w:rPr>
        <w:t xml:space="preserve">RiskEngine</w:t>
      </w:r>
    </w:p>
    <w:p>
      <w:pPr>
        <w:pStyle w:val="Compact"/>
        <w:numPr>
          <w:ilvl w:val="0"/>
          <w:numId w:val="1015"/>
        </w:numPr>
      </w:pPr>
      <w:r>
        <w:rPr>
          <w:rStyle w:val="VerbatimChar"/>
        </w:rPr>
        <w:t xml:space="preserve">OrderBookHandler</w:t>
      </w:r>
    </w:p>
    <w:p>
      <w:pPr>
        <w:pStyle w:val="Compact"/>
        <w:numPr>
          <w:ilvl w:val="0"/>
          <w:numId w:val="1015"/>
        </w:numPr>
      </w:pPr>
      <w:r>
        <w:rPr>
          <w:rStyle w:val="VerbatimChar"/>
        </w:rPr>
        <w:t xml:space="preserve">ExecutionEngine</w:t>
      </w:r>
    </w:p>
    <w:p>
      <w:pPr>
        <w:pStyle w:val="Compact"/>
        <w:numPr>
          <w:ilvl w:val="0"/>
          <w:numId w:val="1015"/>
        </w:numPr>
      </w:pPr>
      <w:r>
        <w:rPr>
          <w:rStyle w:val="VerbatimChar"/>
        </w:rPr>
        <w:t xml:space="preserve">AuditLogger</w:t>
      </w:r>
    </w:p>
    <w:p>
      <w:pPr>
        <w:pStyle w:val="FirstParagraph"/>
      </w:pPr>
      <w:r>
        <w:t xml:space="preserve">Define thread ownership, memory ownership, queues, synchronization, and failure handling.</w:t>
      </w:r>
    </w:p>
    <w:p>
      <w:pPr>
        <w:pStyle w:val="BodyText"/>
      </w:pPr>
      <w:r>
        <w:t xml:space="preserve">Compare:</w:t>
      </w:r>
    </w:p>
    <w:p>
      <w:pPr>
        <w:pStyle w:val="Compact"/>
        <w:numPr>
          <w:ilvl w:val="0"/>
          <w:numId w:val="1016"/>
        </w:numPr>
      </w:pPr>
      <w:r>
        <w:t xml:space="preserve">Lock-free single-producer/single-consumer queues.</w:t>
      </w:r>
    </w:p>
    <w:p>
      <w:pPr>
        <w:pStyle w:val="Compact"/>
        <w:numPr>
          <w:ilvl w:val="0"/>
          <w:numId w:val="1016"/>
        </w:numPr>
      </w:pPr>
      <w:r>
        <w:t xml:space="preserve">Multi-producer queues.</w:t>
      </w:r>
    </w:p>
    <w:p>
      <w:pPr>
        <w:pStyle w:val="Compact"/>
        <w:numPr>
          <w:ilvl w:val="0"/>
          <w:numId w:val="1016"/>
        </w:numPr>
      </w:pPr>
      <w:r>
        <w:t xml:space="preserve">Ring buffers.</w:t>
      </w:r>
    </w:p>
    <w:p>
      <w:pPr>
        <w:pStyle w:val="Compact"/>
        <w:numPr>
          <w:ilvl w:val="0"/>
          <w:numId w:val="1016"/>
        </w:numPr>
      </w:pPr>
      <w:r>
        <w:t xml:space="preserve">Shared-memory IPC.</w:t>
      </w:r>
    </w:p>
    <w:p>
      <w:pPr>
        <w:pStyle w:val="Compact"/>
        <w:numPr>
          <w:ilvl w:val="0"/>
          <w:numId w:val="1016"/>
        </w:numPr>
      </w:pPr>
      <w:r>
        <w:rPr>
          <w:rStyle w:val="VerbatimChar"/>
        </w:rPr>
        <w:t xml:space="preserve">mmap</w:t>
      </w:r>
      <w:r>
        <w:t xml:space="preserve">.</w:t>
      </w:r>
    </w:p>
    <w:p>
      <w:pPr>
        <w:pStyle w:val="Compact"/>
        <w:numPr>
          <w:ilvl w:val="0"/>
          <w:numId w:val="1016"/>
        </w:numPr>
      </w:pPr>
      <w:r>
        <w:t xml:space="preserve">Apache Arrow.</w:t>
      </w:r>
    </w:p>
    <w:p>
      <w:pPr>
        <w:pStyle w:val="Compact"/>
        <w:numPr>
          <w:ilvl w:val="0"/>
          <w:numId w:val="1016"/>
        </w:numPr>
      </w:pPr>
      <w:r>
        <w:t xml:space="preserve">Columnar in-memory layouts.</w:t>
      </w:r>
    </w:p>
    <w:p>
      <w:pPr>
        <w:pStyle w:val="Compact"/>
        <w:numPr>
          <w:ilvl w:val="0"/>
          <w:numId w:val="1016"/>
        </w:numPr>
      </w:pPr>
      <w:r>
        <w:t xml:space="preserve">Structure-of-arrays versus array-of-structures.</w:t>
      </w:r>
    </w:p>
    <w:p>
      <w:pPr>
        <w:pStyle w:val="Compact"/>
        <w:numPr>
          <w:ilvl w:val="0"/>
          <w:numId w:val="1016"/>
        </w:numPr>
      </w:pPr>
      <w:r>
        <w:t xml:space="preserve">SIMD/vectorized aggregation.</w:t>
      </w:r>
    </w:p>
    <w:p>
      <w:pPr>
        <w:pStyle w:val="Compact"/>
        <w:numPr>
          <w:ilvl w:val="0"/>
          <w:numId w:val="1016"/>
        </w:numPr>
      </w:pPr>
      <w:r>
        <w:t xml:space="preserve">CPU affinity and NUMA considerations.</w:t>
      </w:r>
    </w:p>
    <w:p>
      <w:pPr>
        <w:pStyle w:val="Compact"/>
        <w:numPr>
          <w:ilvl w:val="0"/>
          <w:numId w:val="1016"/>
        </w:numPr>
      </w:pPr>
      <w:r>
        <w:t xml:space="preserve">Asynchronous network I/O.</w:t>
      </w:r>
    </w:p>
    <w:p>
      <w:pPr>
        <w:pStyle w:val="Compact"/>
        <w:numPr>
          <w:ilvl w:val="0"/>
          <w:numId w:val="1016"/>
        </w:numPr>
      </w:pPr>
      <w:r>
        <w:t xml:space="preserve">Backpressure behavior.</w:t>
      </w:r>
    </w:p>
    <w:bookmarkEnd w:id="30"/>
    <w:bookmarkStart w:id="31" w:name="b.-market-data-ingestion"/>
    <w:p>
      <w:pPr>
        <w:pStyle w:val="Heading2"/>
      </w:pPr>
      <w:r>
        <w:t xml:space="preserve">B. Market-Data Ingestion</w:t>
      </w:r>
    </w:p>
    <w:p>
      <w:pPr>
        <w:pStyle w:val="FirstParagraph"/>
      </w:pPr>
      <w:r>
        <w:t xml:space="preserve">Design an event-sourced order-book reconstruction process.</w:t>
      </w:r>
    </w:p>
    <w:p>
      <w:pPr>
        <w:pStyle w:val="BodyText"/>
      </w:pPr>
      <w:r>
        <w:t xml:space="preserve">Represent each market event as:</w:t>
      </w:r>
    </w:p>
    <w:p>
      <w:pPr>
        <w:pStyle w:val="BodyText"/>
      </w:pPr>
      <m:oMathPara>
        <m:oMathParaPr>
          <m:jc m:val="center"/>
        </m:oMathParaPr>
        <m:oMath>
          <m:sSub>
            <m:e>
              <m:r>
                <m:t>e</m:t>
              </m:r>
            </m:e>
            <m:sub>
              <m:r>
                <m:t>i</m:t>
              </m:r>
            </m:sub>
          </m:sSub>
          <m:r>
            <m:rPr>
              <m:sty m:val="p"/>
            </m:rPr>
            <m:t>=</m:t>
          </m:r>
          <m:d>
            <m:dPr>
              <m:begChr m:val="("/>
              <m:sepChr m:val=""/>
              <m:endChr m:val=")"/>
              <m:grow/>
            </m:dPr>
            <m:e>
              <m:sSub>
                <m:e>
                  <m:r>
                    <m:t>τ</m:t>
                  </m:r>
                </m:e>
                <m:sub>
                  <m:r>
                    <m:t>i</m:t>
                  </m:r>
                </m:sub>
              </m:sSub>
              <m:r>
                <m:rPr>
                  <m:sty m:val="p"/>
                </m:rPr>
                <m:t>,</m:t>
              </m:r>
              <m:sSub>
                <m:e>
                  <m:r>
                    <m:t>s</m:t>
                  </m:r>
                </m:e>
                <m:sub>
                  <m:r>
                    <m:t>i</m:t>
                  </m:r>
                </m:sub>
              </m:sSub>
              <m:r>
                <m:rPr>
                  <m:sty m:val="p"/>
                </m:rPr>
                <m:t>,</m:t>
              </m:r>
              <m:sSub>
                <m:e>
                  <m:r>
                    <m:t>p</m:t>
                  </m:r>
                </m:e>
                <m:sub>
                  <m:r>
                    <m:t>i</m:t>
                  </m:r>
                </m:sub>
              </m:sSub>
              <m:r>
                <m:rPr>
                  <m:sty m:val="p"/>
                </m:rPr>
                <m:t>,</m:t>
              </m:r>
              <m:sSub>
                <m:e>
                  <m:r>
                    <m:t>v</m:t>
                  </m:r>
                </m:e>
                <m:sub>
                  <m:r>
                    <m:t>i</m:t>
                  </m:r>
                </m:sub>
              </m:sSub>
              <m:r>
                <m:rPr>
                  <m:sty m:val="p"/>
                </m:rPr>
                <m:t>,</m:t>
              </m:r>
              <m:sSub>
                <m:e>
                  <m:r>
                    <m:t>a</m:t>
                  </m:r>
                </m:e>
                <m:sub>
                  <m:r>
                    <m:t>i</m:t>
                  </m:r>
                </m:sub>
              </m:sSub>
            </m:e>
          </m:d>
        </m:oMath>
      </m:oMathPara>
    </w:p>
    <w:p>
      <w:pPr>
        <w:pStyle w:val="FirstParagraph"/>
      </w:pPr>
      <w:r>
        <w:t xml:space="preserve">where:</w:t>
      </w:r>
    </w:p>
    <w:p>
      <w:pPr>
        <w:pStyle w:val="Compact"/>
        <w:numPr>
          <w:ilvl w:val="0"/>
          <w:numId w:val="1017"/>
        </w:numPr>
      </w:pPr>
      <m:oMath>
        <m:sSub>
          <m:e>
            <m:r>
              <m:t>τ</m:t>
            </m:r>
          </m:e>
          <m:sub>
            <m:r>
              <m:t>i</m:t>
            </m:r>
          </m:sub>
        </m:sSub>
      </m:oMath>
      <w:r>
        <w:t xml:space="preserve"> </w:t>
      </w:r>
      <w:r>
        <w:t xml:space="preserve">is the exchange timestamp.</w:t>
      </w:r>
    </w:p>
    <w:p>
      <w:pPr>
        <w:pStyle w:val="Compact"/>
        <w:numPr>
          <w:ilvl w:val="0"/>
          <w:numId w:val="1017"/>
        </w:numPr>
      </w:pPr>
      <m:oMath>
        <m:sSub>
          <m:e>
            <m:r>
              <m:t>s</m:t>
            </m:r>
          </m:e>
          <m:sub>
            <m:r>
              <m:t>i</m:t>
            </m:r>
          </m:sub>
        </m:sSub>
      </m:oMath>
      <w:r>
        <w:t xml:space="preserve"> </w:t>
      </w:r>
      <w:r>
        <w:t xml:space="preserve">is side.</w:t>
      </w:r>
    </w:p>
    <w:p>
      <w:pPr>
        <w:pStyle w:val="Compact"/>
        <w:numPr>
          <w:ilvl w:val="0"/>
          <w:numId w:val="1017"/>
        </w:numPr>
      </w:pPr>
      <m:oMath>
        <m:sSub>
          <m:e>
            <m:r>
              <m:t>p</m:t>
            </m:r>
          </m:e>
          <m:sub>
            <m:r>
              <m:t>i</m:t>
            </m:r>
          </m:sub>
        </m:sSub>
      </m:oMath>
      <w:r>
        <w:t xml:space="preserve"> </w:t>
      </w:r>
      <w:r>
        <w:t xml:space="preserve">is price.</w:t>
      </w:r>
    </w:p>
    <w:p>
      <w:pPr>
        <w:pStyle w:val="Compact"/>
        <w:numPr>
          <w:ilvl w:val="0"/>
          <w:numId w:val="1017"/>
        </w:numPr>
      </w:pPr>
      <m:oMath>
        <m:sSub>
          <m:e>
            <m:r>
              <m:t>v</m:t>
            </m:r>
          </m:e>
          <m:sub>
            <m:r>
              <m:t>i</m:t>
            </m:r>
          </m:sub>
        </m:sSub>
      </m:oMath>
      <w:r>
        <w:t xml:space="preserve"> </w:t>
      </w:r>
      <w:r>
        <w:t xml:space="preserve">is quantity.</w:t>
      </w:r>
    </w:p>
    <w:p>
      <w:pPr>
        <w:pStyle w:val="Compact"/>
        <w:numPr>
          <w:ilvl w:val="0"/>
          <w:numId w:val="1017"/>
        </w:numPr>
      </w:pPr>
      <m:oMath>
        <m:sSub>
          <m:e>
            <m:r>
              <m:t>a</m:t>
            </m:r>
          </m:e>
          <m:sub>
            <m:r>
              <m:t>i</m:t>
            </m:r>
          </m:sub>
        </m:sSub>
      </m:oMath>
      <w:r>
        <w:t xml:space="preserve"> </w:t>
      </w:r>
      <w:r>
        <w:t xml:space="preserve">is action type.</w:t>
      </w:r>
    </w:p>
    <w:p>
      <w:pPr>
        <w:pStyle w:val="FirstParagraph"/>
      </w:pPr>
      <w:r>
        <w:t xml:space="preserve">Implement deterministic handling of:</w:t>
      </w:r>
    </w:p>
    <w:p>
      <w:pPr>
        <w:pStyle w:val="Compact"/>
        <w:numPr>
          <w:ilvl w:val="0"/>
          <w:numId w:val="1018"/>
        </w:numPr>
      </w:pPr>
      <w:r>
        <w:t xml:space="preserve">Snapshots.</w:t>
      </w:r>
    </w:p>
    <w:p>
      <w:pPr>
        <w:pStyle w:val="Compact"/>
        <w:numPr>
          <w:ilvl w:val="0"/>
          <w:numId w:val="1018"/>
        </w:numPr>
      </w:pPr>
      <w:r>
        <w:t xml:space="preserve">Incremental updates.</w:t>
      </w:r>
    </w:p>
    <w:p>
      <w:pPr>
        <w:pStyle w:val="Compact"/>
        <w:numPr>
          <w:ilvl w:val="0"/>
          <w:numId w:val="1018"/>
        </w:numPr>
      </w:pPr>
      <w:r>
        <w:t xml:space="preserve">Sequence numbers.</w:t>
      </w:r>
    </w:p>
    <w:p>
      <w:pPr>
        <w:pStyle w:val="Compact"/>
        <w:numPr>
          <w:ilvl w:val="0"/>
          <w:numId w:val="1018"/>
        </w:numPr>
      </w:pPr>
      <w:r>
        <w:t xml:space="preserve">Duplicates.</w:t>
      </w:r>
    </w:p>
    <w:p>
      <w:pPr>
        <w:pStyle w:val="Compact"/>
        <w:numPr>
          <w:ilvl w:val="0"/>
          <w:numId w:val="1018"/>
        </w:numPr>
      </w:pPr>
      <w:r>
        <w:t xml:space="preserve">Out-of-order messages.</w:t>
      </w:r>
    </w:p>
    <w:p>
      <w:pPr>
        <w:pStyle w:val="Compact"/>
        <w:numPr>
          <w:ilvl w:val="0"/>
          <w:numId w:val="1018"/>
        </w:numPr>
      </w:pPr>
      <w:r>
        <w:t xml:space="preserve">Reconnects.</w:t>
      </w:r>
    </w:p>
    <w:p>
      <w:pPr>
        <w:pStyle w:val="Compact"/>
        <w:numPr>
          <w:ilvl w:val="0"/>
          <w:numId w:val="1018"/>
        </w:numPr>
      </w:pPr>
      <w:r>
        <w:t xml:space="preserve">Stale books.</w:t>
      </w:r>
    </w:p>
    <w:p>
      <w:pPr>
        <w:pStyle w:val="Compact"/>
        <w:numPr>
          <w:ilvl w:val="0"/>
          <w:numId w:val="1018"/>
        </w:numPr>
      </w:pPr>
      <w:r>
        <w:t xml:space="preserve">Crossed books.</w:t>
      </w:r>
    </w:p>
    <w:p>
      <w:pPr>
        <w:pStyle w:val="Compact"/>
        <w:numPr>
          <w:ilvl w:val="0"/>
          <w:numId w:val="1018"/>
        </w:numPr>
      </w:pPr>
      <w:r>
        <w:t xml:space="preserve">Partial fills.</w:t>
      </w:r>
    </w:p>
    <w:p>
      <w:pPr>
        <w:pStyle w:val="Compact"/>
        <w:numPr>
          <w:ilvl w:val="0"/>
          <w:numId w:val="1018"/>
        </w:numPr>
      </w:pPr>
      <w:r>
        <w:t xml:space="preserve">Cancellations.</w:t>
      </w:r>
    </w:p>
    <w:p>
      <w:pPr>
        <w:pStyle w:val="Compact"/>
        <w:numPr>
          <w:ilvl w:val="0"/>
          <w:numId w:val="1018"/>
        </w:numPr>
      </w:pPr>
      <w:r>
        <w:t xml:space="preserve">Exchange acknowledgements.</w:t>
      </w:r>
    </w:p>
    <w:p>
      <w:pPr>
        <w:pStyle w:val="Compact"/>
        <w:numPr>
          <w:ilvl w:val="0"/>
          <w:numId w:val="1018"/>
        </w:numPr>
      </w:pPr>
      <w:r>
        <w:t xml:space="preserve">Clock drift.</w:t>
      </w:r>
    </w:p>
    <w:p>
      <w:pPr>
        <w:pStyle w:val="FirstParagraph"/>
      </w:pPr>
      <w:r>
        <w:t xml:space="preserve">Define monitoring for:</w:t>
      </w:r>
    </w:p>
    <w:p>
      <w:pPr>
        <w:pStyle w:val="BodyText"/>
      </w:pPr>
      <w:r>
        <w:t xml:space="preserve">$$</w:t>
      </w:r>
      <w:r>
        <w:t xml:space="preserve"> </w:t>
      </w:r>
      <w:r>
        <w:t xml:space="preserve">_t</w:t>
      </w:r>
      <w:r>
        <w:t xml:space="preserve"> </w:t>
      </w:r>
      <w:r>
        <w:t xml:space="preserve">=</w:t>
      </w:r>
      <w:r>
        <w:t xml:space="preserve"> </w:t>
      </w:r>
      <w:r>
        <w:t xml:space="preserve">_t^{</w:t>
      </w:r>
      <w:r>
        <w:t xml:space="preserve">}</w:t>
      </w:r>
    </w:p>
    <w:p>
      <w:pPr>
        <w:pStyle w:val="Compact"/>
        <w:numPr>
          <w:ilvl w:val="0"/>
          <w:numId w:val="1019"/>
        </w:numPr>
      </w:pPr>
      <w:r>
        <w:t xml:space="preserve">_t^{</w:t>
      </w:r>
      <w:r>
        <w:t xml:space="preserve">}</w:t>
      </w:r>
      <w:r>
        <w:t xml:space="preserve"> </w:t>
      </w:r>
      <w:r>
        <w:t xml:space="preserve">$$</w:t>
      </w:r>
    </w:p>
    <w:p>
      <w:pPr>
        <w:pStyle w:val="FirstParagraph"/>
      </w:pPr>
      <w:r>
        <w:t xml:space="preserve">and separate network latency from processing latency.</w:t>
      </w:r>
    </w:p>
    <w:bookmarkEnd w:id="31"/>
    <w:bookmarkStart w:id="32" w:name="c.-fault-tolerance"/>
    <w:p>
      <w:pPr>
        <w:pStyle w:val="Heading2"/>
      </w:pPr>
      <w:r>
        <w:t xml:space="preserve">C. Fault Tolerance</w:t>
      </w:r>
    </w:p>
    <w:p>
      <w:pPr>
        <w:pStyle w:val="FirstParagraph"/>
      </w:pPr>
      <w:r>
        <w:t xml:space="preserve">Specify fail-safe behavior for:</w:t>
      </w:r>
    </w:p>
    <w:p>
      <w:pPr>
        <w:pStyle w:val="Compact"/>
        <w:numPr>
          <w:ilvl w:val="0"/>
          <w:numId w:val="1020"/>
        </w:numPr>
      </w:pPr>
      <w:r>
        <w:t xml:space="preserve">Missing forecast cycles.</w:t>
      </w:r>
    </w:p>
    <w:p>
      <w:pPr>
        <w:pStyle w:val="Compact"/>
        <w:numPr>
          <w:ilvl w:val="0"/>
          <w:numId w:val="1020"/>
        </w:numPr>
      </w:pPr>
      <w:r>
        <w:t xml:space="preserve">Delayed NOAA releases.</w:t>
      </w:r>
    </w:p>
    <w:p>
      <w:pPr>
        <w:pStyle w:val="Compact"/>
        <w:numPr>
          <w:ilvl w:val="0"/>
          <w:numId w:val="1020"/>
        </w:numPr>
      </w:pPr>
      <w:r>
        <w:t xml:space="preserve">Corrupt NetCDF files.</w:t>
      </w:r>
    </w:p>
    <w:p>
      <w:pPr>
        <w:pStyle w:val="Compact"/>
        <w:numPr>
          <w:ilvl w:val="0"/>
          <w:numId w:val="1020"/>
        </w:numPr>
      </w:pPr>
      <w:r>
        <w:t xml:space="preserve">Exchange disconnects.</w:t>
      </w:r>
    </w:p>
    <w:p>
      <w:pPr>
        <w:pStyle w:val="Compact"/>
        <w:numPr>
          <w:ilvl w:val="0"/>
          <w:numId w:val="1020"/>
        </w:numPr>
      </w:pPr>
      <w:r>
        <w:t xml:space="preserve">API throttling.</w:t>
      </w:r>
    </w:p>
    <w:p>
      <w:pPr>
        <w:pStyle w:val="Compact"/>
        <w:numPr>
          <w:ilvl w:val="0"/>
          <w:numId w:val="1020"/>
        </w:numPr>
      </w:pPr>
      <w:r>
        <w:t xml:space="preserve">Clock desynchronization.</w:t>
      </w:r>
    </w:p>
    <w:p>
      <w:pPr>
        <w:pStyle w:val="Compact"/>
        <w:numPr>
          <w:ilvl w:val="0"/>
          <w:numId w:val="1020"/>
        </w:numPr>
      </w:pPr>
      <w:r>
        <w:t xml:space="preserve">Partial order acknowledgements.</w:t>
      </w:r>
    </w:p>
    <w:p>
      <w:pPr>
        <w:pStyle w:val="Compact"/>
        <w:numPr>
          <w:ilvl w:val="0"/>
          <w:numId w:val="1020"/>
        </w:numPr>
      </w:pPr>
      <w:r>
        <w:t xml:space="preserve">Model-service failure.</w:t>
      </w:r>
    </w:p>
    <w:p>
      <w:pPr>
        <w:pStyle w:val="Compact"/>
        <w:numPr>
          <w:ilvl w:val="0"/>
          <w:numId w:val="1020"/>
        </w:numPr>
      </w:pPr>
      <w:r>
        <w:t xml:space="preserve">Stale probability estimates.</w:t>
      </w:r>
    </w:p>
    <w:p>
      <w:pPr>
        <w:pStyle w:val="Compact"/>
        <w:numPr>
          <w:ilvl w:val="0"/>
          <w:numId w:val="1020"/>
        </w:numPr>
      </w:pPr>
      <w:r>
        <w:t xml:space="preserve">Abnormal data revisions.</w:t>
      </w:r>
    </w:p>
    <w:p>
      <w:pPr>
        <w:pStyle w:val="FirstParagraph"/>
      </w:pPr>
      <w:r>
        <w:t xml:space="preserve">The execution engine must default to reducing or freezing risk when critical data becomes stale.</w:t>
      </w:r>
    </w:p>
    <w:p>
      <w:r>
        <w:pict>
          <v:rect style="width:0;height:1.5pt" o:hralign="center" o:hrstd="t" o:hr="t"/>
        </w:pict>
      </w:r>
    </w:p>
    <w:bookmarkEnd w:id="32"/>
    <w:bookmarkEnd w:id="33"/>
    <w:bookmarkStart w:id="36" w:name="X9ef81ed3696b701d8facb9bcc25f38c6547696f"/>
    <w:p>
      <w:pPr>
        <w:pStyle w:val="Heading1"/>
      </w:pPr>
      <w:r>
        <w:t xml:space="preserve">4. Construction of the Climate State Variable</w:t>
      </w:r>
    </w:p>
    <w:p>
      <w:pPr>
        <w:pStyle w:val="FirstParagraph"/>
      </w:pPr>
      <w:r>
        <w:t xml:space="preserve">Define the exact mathematical quantity being forecast.</w:t>
      </w:r>
    </w:p>
    <w:p>
      <w:pPr>
        <w:pStyle w:val="BodyText"/>
      </w:pPr>
      <w:r>
        <w:t xml:space="preserve">If the target is a monthly mean anomaly:</w:t>
      </w:r>
    </w:p>
    <w:p>
      <w:pPr>
        <w:pStyle w:val="BodyText"/>
      </w:pPr>
      <m:oMathPara>
        <m:oMathParaPr>
          <m:jc m:val="center"/>
        </m:oMathParaPr>
        <m:oMath>
          <m:r>
            <m:t>M</m:t>
          </m:r>
          <m:r>
            <m:rPr>
              <m:sty m:val="p"/>
            </m:rPr>
            <m:t>=</m:t>
          </m:r>
          <m:f>
            <m:fPr>
              <m:type m:val="bar"/>
            </m:fPr>
            <m:num>
              <m:r>
                <m:t>1</m:t>
              </m:r>
            </m:num>
            <m:den>
              <m:r>
                <m:t>D</m:t>
              </m:r>
            </m:den>
          </m:f>
          <m:nary>
            <m:naryPr>
              <m:chr m:val="∑"/>
              <m:limLoc m:val="undOvr"/>
              <m:subHide m:val="off"/>
              <m:supHide m:val="off"/>
            </m:naryPr>
            <m:sub>
              <m:r>
                <m:t>d</m:t>
              </m:r>
              <m:r>
                <m:rPr>
                  <m:sty m:val="p"/>
                </m:rPr>
                <m:t>=</m:t>
              </m:r>
              <m:r>
                <m:t>1</m:t>
              </m:r>
            </m:sub>
            <m:sup>
              <m:r>
                <m:t>D</m:t>
              </m:r>
            </m:sup>
            <m:e>
              <m:sSub>
                <m:e>
                  <m:r>
                    <m:t>X</m:t>
                  </m:r>
                </m:e>
                <m:sub>
                  <m:r>
                    <m:t>d</m:t>
                  </m:r>
                </m:sub>
              </m:sSub>
            </m:e>
          </m:nary>
        </m:oMath>
      </m:oMathPara>
    </w:p>
    <w:p>
      <w:pPr>
        <w:pStyle w:val="FirstParagraph"/>
      </w:pPr>
      <w:r>
        <w:t xml:space="preserve">where</w:t>
      </w:r>
      <w:r>
        <w:t xml:space="preserve"> </w:t>
      </w:r>
      <m:oMath>
        <m:r>
          <m:t>D</m:t>
        </m:r>
      </m:oMath>
      <w:r>
        <w:t xml:space="preserve"> </w:t>
      </w:r>
      <w:r>
        <w:t xml:space="preserve">is the number of days in the month and</w:t>
      </w:r>
      <w:r>
        <w:t xml:space="preserve"> </w:t>
      </w:r>
      <m:oMath>
        <m:sSub>
          <m:e>
            <m:r>
              <m:t>X</m:t>
            </m:r>
          </m:e>
          <m:sub>
            <m:r>
              <m:t>d</m:t>
            </m:r>
          </m:sub>
        </m:sSub>
      </m:oMath>
      <w:r>
        <w:t xml:space="preserve"> </w:t>
      </w:r>
      <w:r>
        <w:t xml:space="preserve">is the relevant daily anomaly representation.</w:t>
      </w:r>
    </w:p>
    <w:p>
      <w:pPr>
        <w:pStyle w:val="BodyText"/>
      </w:pPr>
      <w:r>
        <w:t xml:space="preserve">After</w:t>
      </w:r>
      <w:r>
        <w:t xml:space="preserve"> </w:t>
      </w:r>
      <m:oMath>
        <m:r>
          <m:t>k</m:t>
        </m:r>
      </m:oMath>
      <w:r>
        <w:t xml:space="preserve"> </w:t>
      </w:r>
      <w:r>
        <w:t xml:space="preserve">observed days:</w:t>
      </w:r>
    </w:p>
    <w:p>
      <w:pPr>
        <w:pStyle w:val="BodyText"/>
      </w:pPr>
      <w:r>
        <w:t xml:space="preserve">$$</w:t>
      </w:r>
      <w:r>
        <w:t xml:space="preserve"> </w:t>
      </w:r>
      <w:r>
        <w:t xml:space="preserve">M</w:t>
      </w:r>
      <w:r>
        <w:t xml:space="preserve"> </w:t>
      </w:r>
      <w:r>
        <w:t xml:space="preserve">=</w:t>
      </w:r>
      <w:r>
        <w:t xml:space="preserve"> </w:t>
      </w:r>
      <w:r>
        <w:t xml:space="preserve"> </w:t>
      </w:r>
      <w:r>
        <w:t xml:space="preserve">(</w:t>
      </w:r>
      <w:r>
        <w:t xml:space="preserve"> </w:t>
      </w:r>
      <w:r>
        <w:t xml:space="preserve">_{d=1}^{k} X_d</w:t>
      </w:r>
    </w:p>
    <w:p>
      <w:pPr>
        <w:pStyle w:val="Compact"/>
        <w:numPr>
          <w:ilvl w:val="0"/>
          <w:numId w:val="1021"/>
        </w:numPr>
      </w:pPr>
      <w:r>
        <w:t xml:space="preserve">_{d=k+1}^{D} X_d</w:t>
      </w:r>
      <w:r>
        <w:t xml:space="preserve"> </w:t>
      </w:r>
      <w:r>
        <w:t xml:space="preserve">)</w:t>
      </w:r>
      <w:r>
        <w:t xml:space="preserve"> </w:t>
      </w:r>
      <w:r>
        <w:t xml:space="preserve">$$</w:t>
      </w:r>
    </w:p>
    <w:p>
      <w:pPr>
        <w:pStyle w:val="FirstParagraph"/>
      </w:pPr>
      <w:r>
        <w:t xml:space="preserve">Define:</w:t>
      </w:r>
    </w:p>
    <w:p>
      <w:pPr>
        <w:pStyle w:val="BodyText"/>
      </w:pPr>
      <m:oMathPara>
        <m:oMathParaPr>
          <m:jc m:val="center"/>
        </m:oMathParaPr>
        <m:oMath>
          <m:sSub>
            <m:e>
              <m:r>
                <m:t>B</m:t>
              </m:r>
            </m:e>
            <m:sub>
              <m:r>
                <m:t>k</m:t>
              </m:r>
            </m:sub>
          </m:sSub>
          <m:r>
            <m:rPr>
              <m:sty m:val="p"/>
            </m:rPr>
            <m:t>=</m:t>
          </m:r>
          <m:nary>
            <m:naryPr>
              <m:chr m:val="∑"/>
              <m:limLoc m:val="undOvr"/>
              <m:subHide m:val="off"/>
              <m:supHide m:val="off"/>
            </m:naryPr>
            <m:sub>
              <m:r>
                <m:t>d</m:t>
              </m:r>
              <m:r>
                <m:rPr>
                  <m:sty m:val="p"/>
                </m:rPr>
                <m:t>=</m:t>
              </m:r>
              <m:r>
                <m:t>1</m:t>
              </m:r>
            </m:sub>
            <m:sup>
              <m:r>
                <m:t>k</m:t>
              </m:r>
            </m:sup>
            <m:e>
              <m:sSub>
                <m:e>
                  <m:r>
                    <m:t>X</m:t>
                  </m:r>
                </m:e>
                <m:sub>
                  <m:r>
                    <m:t>d</m:t>
                  </m:r>
                </m:sub>
              </m:sSub>
            </m:e>
          </m:nary>
        </m:oMath>
      </m:oMathPara>
    </w:p>
    <w:p>
      <w:pPr>
        <w:pStyle w:val="FirstParagraph"/>
      </w:pPr>
      <w:r>
        <w:t xml:space="preserve">as the banked anomaly contribution, and:</w:t>
      </w:r>
    </w:p>
    <w:p>
      <w:pPr>
        <w:pStyle w:val="BodyText"/>
      </w:pPr>
      <m:oMathPara>
        <m:oMathParaPr>
          <m:jc m:val="center"/>
        </m:oMathParaPr>
        <m:oMath>
          <m:sSub>
            <m:e>
              <m:r>
                <m:t>R</m:t>
              </m:r>
            </m:e>
            <m:sub>
              <m:r>
                <m:t>k</m:t>
              </m:r>
            </m:sub>
          </m:sSub>
          <m:r>
            <m:rPr>
              <m:sty m:val="p"/>
            </m:rPr>
            <m:t>=</m:t>
          </m:r>
          <m:nary>
            <m:naryPr>
              <m:chr m:val="∑"/>
              <m:limLoc m:val="undOvr"/>
              <m:subHide m:val="off"/>
              <m:supHide m:val="off"/>
            </m:naryPr>
            <m:sub>
              <m:r>
                <m:t>d</m:t>
              </m:r>
              <m:r>
                <m:rPr>
                  <m:sty m:val="p"/>
                </m:rPr>
                <m:t>=</m:t>
              </m:r>
              <m:r>
                <m:t>k</m:t>
              </m:r>
              <m:r>
                <m:rPr>
                  <m:sty m:val="p"/>
                </m:rPr>
                <m:t>+</m:t>
              </m:r>
              <m:r>
                <m:t>1</m:t>
              </m:r>
            </m:sub>
            <m:sup>
              <m:r>
                <m:t>D</m:t>
              </m:r>
            </m:sup>
            <m:e>
              <m:sSub>
                <m:e>
                  <m:r>
                    <m:t>X</m:t>
                  </m:r>
                </m:e>
                <m:sub>
                  <m:r>
                    <m:t>d</m:t>
                  </m:r>
                </m:sub>
              </m:sSub>
            </m:e>
          </m:nary>
        </m:oMath>
      </m:oMathPara>
    </w:p>
    <w:p>
      <w:pPr>
        <w:pStyle w:val="FirstParagraph"/>
      </w:pPr>
      <w:r>
        <w:t xml:space="preserve">as the remaining uncertain contribution.</w:t>
      </w:r>
    </w:p>
    <w:p>
      <w:pPr>
        <w:pStyle w:val="BodyText"/>
      </w:pPr>
      <w:r>
        <w:t xml:space="preserve">For a target threshold</w:t>
      </w:r>
      <w:r>
        <w:t xml:space="preserve"> </w:t>
      </w:r>
      <m:oMath>
        <m:r>
          <m:t>K</m:t>
        </m:r>
      </m:oMath>
      <w:r>
        <w:t xml:space="preserve">, the remaining days must average:</w:t>
      </w:r>
    </w:p>
    <w:p>
      <w:pPr>
        <w:pStyle w:val="BodyText"/>
      </w:pPr>
      <m:oMathPara>
        <m:oMathParaPr>
          <m:jc m:val="center"/>
        </m:oMathParaPr>
        <m:oMath>
          <m:sSub>
            <m:e>
              <m:acc>
                <m:accPr>
                  <m:chr m:val="‾"/>
                </m:accPr>
                <m:e>
                  <m:r>
                    <m:t>X</m:t>
                  </m:r>
                </m:e>
              </m:acc>
            </m:e>
            <m:sub>
              <m:r>
                <m:rPr>
                  <m:nor/>
                  <m:sty m:val="p"/>
                </m:rPr>
                <m:t>required</m:t>
              </m:r>
              <m:r>
                <m:rPr>
                  <m:sty m:val="p"/>
                </m:rPr>
                <m:t>,</m:t>
              </m:r>
              <m:r>
                <m:t>k</m:t>
              </m:r>
            </m:sub>
          </m:sSub>
          <m:r>
            <m:rPr>
              <m:sty m:val="p"/>
            </m:rPr>
            <m:t>=</m:t>
          </m:r>
          <m:f>
            <m:fPr>
              <m:type m:val="bar"/>
            </m:fPr>
            <m:num>
              <m:r>
                <m:t>D</m:t>
              </m:r>
              <m:r>
                <m:t>K</m:t>
              </m:r>
              <m:r>
                <m:rPr>
                  <m:sty m:val="p"/>
                </m:rPr>
                <m:t>−</m:t>
              </m:r>
              <m:sSub>
                <m:e>
                  <m:r>
                    <m:t>B</m:t>
                  </m:r>
                </m:e>
                <m:sub>
                  <m:r>
                    <m:t>k</m:t>
                  </m:r>
                </m:sub>
              </m:sSub>
            </m:num>
            <m:den>
              <m:r>
                <m:t>D</m:t>
              </m:r>
              <m:r>
                <m:rPr>
                  <m:sty m:val="p"/>
                </m:rPr>
                <m:t>−</m:t>
              </m:r>
              <m:r>
                <m:t>k</m:t>
              </m:r>
            </m:den>
          </m:f>
        </m:oMath>
      </m:oMathPara>
    </w:p>
    <w:p>
      <w:pPr>
        <w:pStyle w:val="FirstParagraph"/>
      </w:pPr>
      <w:r>
        <w:t xml:space="preserve">Use this identity as an interpretable diagnostic, but not as the complete probabilistic model.</w:t>
      </w:r>
    </w:p>
    <w:bookmarkStart w:id="34" w:name="a.-global-spatial-aggregation"/>
    <w:p>
      <w:pPr>
        <w:pStyle w:val="Heading2"/>
      </w:pPr>
      <w:r>
        <w:t xml:space="preserve">A. Global Spatial Aggregation</w:t>
      </w:r>
    </w:p>
    <w:p>
      <w:pPr>
        <w:pStyle w:val="FirstParagraph"/>
      </w:pPr>
      <w:r>
        <w:t xml:space="preserve">If constructing global means from gridded data, use area weights such as:</w:t>
      </w:r>
    </w:p>
    <w:p>
      <w:pPr>
        <w:pStyle w:val="BodyText"/>
      </w:pPr>
      <m:oMathPara>
        <m:oMathParaPr>
          <m:jc m:val="center"/>
        </m:oMathParaPr>
        <m:oMath>
          <m:sSub>
            <m:e>
              <m:r>
                <m:t>w</m:t>
              </m:r>
            </m:e>
            <m:sub>
              <m:r>
                <m:t>i</m:t>
              </m:r>
            </m:sub>
          </m:sSub>
          <m:r>
            <m:rPr>
              <m:sty m:val="p"/>
            </m:rPr>
            <m:t>=</m:t>
          </m:r>
          <m:f>
            <m:fPr>
              <m:type m:val="bar"/>
            </m:fPr>
            <m:num>
              <m:r>
                <m:rPr>
                  <m:sty m:val="p"/>
                </m:rPr>
                <m:t>cos</m:t>
              </m:r>
              <m:d>
                <m:dPr>
                  <m:begChr m:val="("/>
                  <m:sepChr m:val=""/>
                  <m:endChr m:val=")"/>
                  <m:grow/>
                </m:dPr>
                <m:e>
                  <m:sSub>
                    <m:e>
                      <m:r>
                        <m:t>ϕ</m:t>
                      </m:r>
                    </m:e>
                    <m:sub>
                      <m:r>
                        <m:t>i</m:t>
                      </m:r>
                    </m:sub>
                  </m:sSub>
                </m:e>
              </m:d>
            </m:num>
            <m:den>
              <m:nary>
                <m:naryPr>
                  <m:chr m:val="∑"/>
                  <m:limLoc m:val="undOvr"/>
                  <m:subHide m:val="off"/>
                  <m:supHide m:val="on"/>
                </m:naryPr>
                <m:sub>
                  <m:r>
                    <m:t>j</m:t>
                  </m:r>
                </m:sub>
                <m:sup>
                  <m:r>
                    <m:t>​</m:t>
                  </m:r>
                </m:sup>
                <m:e>
                  <m:r>
                    <m:rPr>
                      <m:sty m:val="p"/>
                    </m:rPr>
                    <m:t>cos</m:t>
                  </m:r>
                </m:e>
              </m:nary>
              <m:d>
                <m:dPr>
                  <m:begChr m:val="("/>
                  <m:sepChr m:val=""/>
                  <m:endChr m:val=")"/>
                  <m:grow/>
                </m:dPr>
                <m:e>
                  <m:sSub>
                    <m:e>
                      <m:r>
                        <m:t>ϕ</m:t>
                      </m:r>
                    </m:e>
                    <m:sub>
                      <m:r>
                        <m:t>j</m:t>
                      </m:r>
                    </m:sub>
                  </m:sSub>
                </m:e>
              </m:d>
            </m:den>
          </m:f>
        </m:oMath>
      </m:oMathPara>
    </w:p>
    <w:p>
      <w:pPr>
        <w:pStyle w:val="FirstParagraph"/>
      </w:pPr>
      <w:r>
        <w:t xml:space="preserve">for a regular latitude-longitude grid, subject to the exact dataset geometry.</w:t>
      </w:r>
    </w:p>
    <w:p>
      <w:pPr>
        <w:pStyle w:val="BodyText"/>
      </w:pPr>
      <w:r>
        <w:t xml:space="preserve">Then:</w:t>
      </w:r>
    </w:p>
    <w:p>
      <w:pPr>
        <w:pStyle w:val="BodyText"/>
      </w:pPr>
      <m:oMathPara>
        <m:oMathParaPr>
          <m:jc m:val="center"/>
        </m:oMathParaPr>
        <m:oMath>
          <m:sSub>
            <m:e>
              <m:r>
                <m:t>X</m:t>
              </m:r>
            </m:e>
            <m:sub>
              <m:r>
                <m:t>d</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sSub>
            <m:e>
              <m:r>
                <m:t>X</m:t>
              </m:r>
            </m:e>
            <m:sub>
              <m:r>
                <m:t>i</m:t>
              </m:r>
              <m:r>
                <m:rPr>
                  <m:sty m:val="p"/>
                </m:rPr>
                <m:t>,</m:t>
              </m:r>
              <m:r>
                <m:t>d</m:t>
              </m:r>
            </m:sub>
          </m:sSub>
        </m:oMath>
      </m:oMathPara>
    </w:p>
    <w:p>
      <w:pPr>
        <w:pStyle w:val="FirstParagraph"/>
      </w:pPr>
      <w:r>
        <w:t xml:space="preserve">Discuss:</w:t>
      </w:r>
    </w:p>
    <w:p>
      <w:pPr>
        <w:pStyle w:val="Compact"/>
        <w:numPr>
          <w:ilvl w:val="0"/>
          <w:numId w:val="1022"/>
        </w:numPr>
      </w:pPr>
      <w:r>
        <w:t xml:space="preserve">Irregular grids.</w:t>
      </w:r>
    </w:p>
    <w:p>
      <w:pPr>
        <w:pStyle w:val="Compact"/>
        <w:numPr>
          <w:ilvl w:val="0"/>
          <w:numId w:val="1022"/>
        </w:numPr>
      </w:pPr>
      <w:r>
        <w:t xml:space="preserve">Land-ocean blending.</w:t>
      </w:r>
    </w:p>
    <w:p>
      <w:pPr>
        <w:pStyle w:val="Compact"/>
        <w:numPr>
          <w:ilvl w:val="0"/>
          <w:numId w:val="1022"/>
        </w:numPr>
      </w:pPr>
      <w:r>
        <w:t xml:space="preserve">Cell-area variables.</w:t>
      </w:r>
    </w:p>
    <w:p>
      <w:pPr>
        <w:pStyle w:val="Compact"/>
        <w:numPr>
          <w:ilvl w:val="0"/>
          <w:numId w:val="1022"/>
        </w:numPr>
      </w:pPr>
      <w:r>
        <w:t xml:space="preserve">Polar cells.</w:t>
      </w:r>
    </w:p>
    <w:p>
      <w:pPr>
        <w:pStyle w:val="Compact"/>
        <w:numPr>
          <w:ilvl w:val="0"/>
          <w:numId w:val="1022"/>
        </w:numPr>
      </w:pPr>
      <w:r>
        <w:t xml:space="preserve">Missing cells.</w:t>
      </w:r>
    </w:p>
    <w:p>
      <w:pPr>
        <w:pStyle w:val="Compact"/>
        <w:numPr>
          <w:ilvl w:val="0"/>
          <w:numId w:val="1022"/>
        </w:numPr>
      </w:pPr>
      <w:r>
        <w:t xml:space="preserve">SST coverage.</w:t>
      </w:r>
    </w:p>
    <w:p>
      <w:pPr>
        <w:pStyle w:val="Compact"/>
        <w:numPr>
          <w:ilvl w:val="0"/>
          <w:numId w:val="1022"/>
        </w:numPr>
      </w:pPr>
      <w:r>
        <w:t xml:space="preserve">Reanalysis versus observational products.</w:t>
      </w:r>
    </w:p>
    <w:p>
      <w:pPr>
        <w:pStyle w:val="Compact"/>
        <w:numPr>
          <w:ilvl w:val="0"/>
          <w:numId w:val="1022"/>
        </w:numPr>
      </w:pPr>
      <w:r>
        <w:t xml:space="preserve">Spatial covariance.</w:t>
      </w:r>
    </w:p>
    <w:p>
      <w:pPr>
        <w:pStyle w:val="Compact"/>
        <w:numPr>
          <w:ilvl w:val="0"/>
          <w:numId w:val="1022"/>
        </w:numPr>
      </w:pPr>
      <w:r>
        <w:t xml:space="preserve">Changes in observational coverage.</w:t>
      </w:r>
    </w:p>
    <w:bookmarkEnd w:id="34"/>
    <w:bookmarkStart w:id="35" w:name="b.-baseline-transformation"/>
    <w:p>
      <w:pPr>
        <w:pStyle w:val="Heading2"/>
      </w:pPr>
      <w:r>
        <w:t xml:space="preserve">B. Baseline Transformation</w:t>
      </w:r>
    </w:p>
    <w:p>
      <w:pPr>
        <w:pStyle w:val="FirstParagraph"/>
      </w:pPr>
      <w:r>
        <w:t xml:space="preserve">For dataset</w:t>
      </w:r>
      <w:r>
        <w:t xml:space="preserve"> </w:t>
      </w:r>
      <m:oMath>
        <m:r>
          <m:t>j</m:t>
        </m:r>
      </m:oMath>
      <w:r>
        <w:t xml:space="preserve"> </w:t>
      </w:r>
      <w:r>
        <w:t xml:space="preserve">with baseline climatology</w:t>
      </w:r>
      <w:r>
        <w:t xml:space="preserve"> </w:t>
      </w:r>
      <m:oMath>
        <m:sSubSup>
          <m:e>
            <m:r>
              <m:t>μ</m:t>
            </m:r>
          </m:e>
          <m:sub>
            <m:r>
              <m:t>j</m:t>
            </m:r>
            <m:r>
              <m:rPr>
                <m:sty m:val="p"/>
              </m:rPr>
              <m:t>,</m:t>
            </m:r>
            <m:r>
              <m:t>m</m:t>
            </m:r>
          </m:sub>
          <m:sup>
            <m:d>
              <m:dPr>
                <m:begChr m:val="("/>
                <m:sepChr m:val=""/>
                <m:endChr m:val=")"/>
                <m:grow/>
              </m:dPr>
              <m:e>
                <m:sSub>
                  <m:e>
                    <m:r>
                      <m:t>B</m:t>
                    </m:r>
                  </m:e>
                  <m:sub>
                    <m:r>
                      <m:t>j</m:t>
                    </m:r>
                  </m:sub>
                </m:sSub>
              </m:e>
            </m:d>
          </m:sup>
        </m:sSubSup>
      </m:oMath>
      <w:r>
        <w:t xml:space="preserve">:</w:t>
      </w:r>
    </w:p>
    <w:p>
      <w:pPr>
        <w:pStyle w:val="BodyText"/>
      </w:pPr>
      <w:r>
        <w:t xml:space="preserve">$$</w:t>
      </w:r>
      <w:r>
        <w:t xml:space="preserve"> </w:t>
      </w:r>
      <w:r>
        <w:t xml:space="preserve">A_{j,t}^{(B_j)}</w:t>
      </w:r>
      <w:r>
        <w:t xml:space="preserve"> </w:t>
      </w:r>
      <w:r>
        <w:t xml:space="preserve">=</w:t>
      </w:r>
      <w:r>
        <w:t xml:space="preserve"> </w:t>
      </w:r>
      <w:r>
        <w:t xml:space="preserve">T_{j,t}</w:t>
      </w:r>
    </w:p>
    <w:p>
      <w:pPr>
        <w:pStyle w:val="Compact"/>
        <w:numPr>
          <w:ilvl w:val="0"/>
          <w:numId w:val="1023"/>
        </w:numPr>
      </w:pPr>
      <w:r>
        <w:t xml:space="preserve">_{j,m(t)}^{(B_j)}</w:t>
      </w:r>
      <w:r>
        <w:t xml:space="preserve"> </w:t>
      </w:r>
      <w:r>
        <w:t xml:space="preserve">$$</w:t>
      </w:r>
    </w:p>
    <w:p>
      <w:pPr>
        <w:pStyle w:val="FirstParagraph"/>
      </w:pPr>
      <w:r>
        <w:t xml:space="preserve">Translate anomalies to a common baseline before comparing them.</w:t>
      </w:r>
    </w:p>
    <w:p>
      <w:pPr>
        <w:pStyle w:val="BodyText"/>
      </w:pPr>
      <w:r>
        <w:t xml:space="preserve">If two baselines differ by a monthly offset:</w:t>
      </w:r>
    </w:p>
    <w:p>
      <w:pPr>
        <w:pStyle w:val="BodyText"/>
      </w:pPr>
      <w:r>
        <w:t xml:space="preserve">$$</w:t>
      </w:r>
      <w:r>
        <w:t xml:space="preserve"> </w:t>
      </w:r>
      <w:r>
        <w:t xml:space="preserve">A_t^{(B_2)}</w:t>
      </w:r>
      <w:r>
        <w:t xml:space="preserve"> </w:t>
      </w:r>
      <w:r>
        <w:t xml:space="preserve">=</w:t>
      </w:r>
      <w:r>
        <w:t xml:space="preserve"> </w:t>
      </w:r>
      <w:r>
        <w:t xml:space="preserve">A_t^{(B_1)}</w:t>
      </w:r>
    </w:p>
    <w:p>
      <w:pPr>
        <w:numPr>
          <w:ilvl w:val="0"/>
          <w:numId w:val="1024"/>
        </w:numPr>
      </w:pPr>
      <w:r>
        <w:t xml:space="preserve">_{m(t)}^{(B_1)}</w:t>
      </w:r>
    </w:p>
    <w:p>
      <w:pPr>
        <w:numPr>
          <w:ilvl w:val="0"/>
          <w:numId w:val="1024"/>
        </w:numPr>
      </w:pPr>
      <w:r>
        <w:t xml:space="preserve">_{m(t)}^{(B_2)}</w:t>
      </w:r>
      <w:r>
        <w:t xml:space="preserve"> </w:t>
      </w:r>
      <w:r>
        <w:t xml:space="preserve">$$</w:t>
      </w:r>
    </w:p>
    <w:p>
      <w:pPr>
        <w:pStyle w:val="FirstParagraph"/>
      </w:pPr>
      <w:r>
        <w:t xml:space="preserve">Do not treat baseline differences as stochastic alpha when they are deterministic climatological transformations.</w:t>
      </w:r>
    </w:p>
    <w:p>
      <w:r>
        <w:pict>
          <v:rect style="width:0;height:1.5pt" o:hralign="center" o:hrstd="t" o:hr="t"/>
        </w:pict>
      </w:r>
    </w:p>
    <w:bookmarkEnd w:id="35"/>
    <w:bookmarkEnd w:id="36"/>
    <w:bookmarkStart w:id="40" w:name="X9ea5b527b9abd9add60fa764e3ce06d41099ea7"/>
    <w:p>
      <w:pPr>
        <w:pStyle w:val="Heading1"/>
      </w:pPr>
      <w:r>
        <w:t xml:space="preserve">5. Ensemble Forecast Processing and Calibration</w:t>
      </w:r>
    </w:p>
    <w:p>
      <w:pPr>
        <w:pStyle w:val="FirstParagraph"/>
      </w:pPr>
      <w:r>
        <w:t xml:space="preserve">Use ECMWF ENS members as a conditional forecast ensemble, not automatically as a Bayesian prior.</w:t>
      </w:r>
    </w:p>
    <w:p>
      <w:pPr>
        <w:pStyle w:val="BodyText"/>
      </w:pPr>
      <w:r>
        <w:t xml:space="preserve">For member</w:t>
      </w:r>
      <w:r>
        <w:t xml:space="preserve"> </w:t>
      </w:r>
      <m:oMath>
        <m:r>
          <m:t>m</m:t>
        </m:r>
      </m:oMath>
      <w:r>
        <w:t xml:space="preserve">:</w:t>
      </w:r>
    </w:p>
    <w:p>
      <w:pPr>
        <w:pStyle w:val="BodyText"/>
      </w:pPr>
      <w:r>
        <w:t xml:space="preserve">$$</w:t>
      </w:r>
      <w:r>
        <w:t xml:space="preserve"> </w:t>
      </w:r>
      <w:r>
        <w:t xml:space="preserve">M_T^{(m)}</w:t>
      </w:r>
      <w:r>
        <w:t xml:space="preserve"> </w:t>
      </w:r>
      <w:r>
        <w:t xml:space="preserve">=</w:t>
      </w:r>
      <w:r>
        <w:t xml:space="preserve"> </w:t>
      </w:r>
      <w:r>
        <w:t xml:space="preserve"> </w:t>
      </w:r>
      <w:r>
        <w:t xml:space="preserve">(</w:t>
      </w:r>
      <w:r>
        <w:t xml:space="preserve"> </w:t>
      </w:r>
      <w:r>
        <w:t xml:space="preserve">B_k</w:t>
      </w:r>
    </w:p>
    <w:p>
      <w:pPr>
        <w:pStyle w:val="Compact"/>
        <w:numPr>
          <w:ilvl w:val="0"/>
          <w:numId w:val="1025"/>
        </w:numPr>
      </w:pPr>
      <w:r>
        <w:t xml:space="preserve">_{d=k+1}^{D}</w:t>
      </w:r>
      <w:r>
        <w:t xml:space="preserve"> </w:t>
      </w:r>
      <w:r>
        <w:t xml:space="preserve">X_d^{(m)}</w:t>
      </w:r>
      <w:r>
        <w:t xml:space="preserve"> </w:t>
      </w:r>
      <w:r>
        <w:t xml:space="preserve">)</w:t>
      </w:r>
      <w:r>
        <w:t xml:space="preserve"> </w:t>
      </w:r>
      <w:r>
        <w:t xml:space="preserve">$$</w:t>
      </w:r>
    </w:p>
    <w:p>
      <w:pPr>
        <w:pStyle w:val="FirstParagraph"/>
      </w:pPr>
      <w:r>
        <w:t xml:space="preserve">The raw ensemble probability is:</w:t>
      </w:r>
    </w:p>
    <w:p>
      <w:pPr>
        <w:pStyle w:val="BodyText"/>
      </w:pPr>
      <m:oMathPara>
        <m:oMathParaPr>
          <m:jc m:val="center"/>
        </m:oMathParaPr>
        <m:oMath>
          <m:sSub>
            <m:e>
              <m:acc>
                <m:accPr>
                  <m:chr m:val="̂"/>
                </m:accPr>
                <m:e>
                  <m:r>
                    <m:t>p</m:t>
                  </m:r>
                </m:e>
              </m:acc>
            </m:e>
            <m:sub>
              <m:r>
                <m:rPr>
                  <m:nor/>
                  <m:sty m:val="p"/>
                </m:rPr>
                <m:t>raw</m:t>
              </m:r>
            </m:sub>
          </m:sSub>
          <m:r>
            <m:rPr>
              <m:sty m:val="p"/>
            </m:rPr>
            <m:t>=</m:t>
          </m:r>
          <m:f>
            <m:fPr>
              <m:type m:val="bar"/>
            </m:fPr>
            <m:num>
              <m:r>
                <m:t>1</m:t>
              </m:r>
            </m:num>
            <m:den>
              <m:r>
                <m:t>N</m:t>
              </m:r>
            </m:den>
          </m:f>
          <m:nary>
            <m:naryPr>
              <m:chr m:val="∑"/>
              <m:limLoc m:val="undOvr"/>
              <m:subHide m:val="off"/>
              <m:supHide m:val="off"/>
            </m:naryPr>
            <m:sub>
              <m:r>
                <m:t>m</m:t>
              </m:r>
              <m:r>
                <m:rPr>
                  <m:sty m:val="p"/>
                </m:rPr>
                <m:t>=</m:t>
              </m:r>
              <m:r>
                <m:t>1</m:t>
              </m:r>
            </m:sub>
            <m:sup>
              <m:r>
                <m:t>N</m:t>
              </m:r>
            </m:sup>
            <m:e>
              <m:r>
                <m:rPr>
                  <m:sty m:val="b"/>
                </m:rPr>
                <m:t>1</m:t>
              </m:r>
            </m:e>
          </m:nary>
          <m:d>
            <m:dPr>
              <m:begChr m:val="{"/>
              <m:sepChr m:val=""/>
              <m:endChr m:val="}"/>
              <m:grow/>
            </m:dPr>
            <m:e>
              <m:sSubSup>
                <m:e>
                  <m:r>
                    <m:t>M</m:t>
                  </m:r>
                </m:e>
                <m:sub>
                  <m:r>
                    <m:t>T</m:t>
                  </m:r>
                </m:sub>
                <m:sup>
                  <m:d>
                    <m:dPr>
                      <m:begChr m:val="("/>
                      <m:sepChr m:val=""/>
                      <m:endChr m:val=")"/>
                      <m:grow/>
                    </m:dPr>
                    <m:e>
                      <m:r>
                        <m:t>m</m:t>
                      </m:r>
                    </m:e>
                  </m:d>
                </m:sup>
              </m:sSubSup>
              <m:r>
                <m:rPr>
                  <m:sty m:val="p"/>
                </m:rPr>
                <m:t>∈</m:t>
              </m:r>
              <m:r>
                <m:rPr>
                  <m:sty m:val="p"/>
                  <m:scr m:val="script"/>
                </m:rPr>
                <m:t>S</m:t>
              </m:r>
            </m:e>
          </m:d>
        </m:oMath>
      </m:oMathPara>
    </w:p>
    <w:p>
      <w:pPr>
        <w:pStyle w:val="FirstParagraph"/>
      </w:pPr>
      <w:r>
        <w:t xml:space="preserve">where</w:t>
      </w:r>
      <w:r>
        <w:t xml:space="preserve"> </w:t>
      </w:r>
      <m:oMath>
        <m:r>
          <m:rPr>
            <m:sty m:val="p"/>
            <m:scr m:val="script"/>
          </m:rPr>
          <m:t>S</m:t>
        </m:r>
      </m:oMath>
      <w:r>
        <w:t xml:space="preserve"> </w:t>
      </w:r>
      <w:r>
        <w:t xml:space="preserve">is the exact settlement region.</w:t>
      </w:r>
    </w:p>
    <w:p>
      <w:pPr>
        <w:pStyle w:val="BodyText"/>
      </w:pPr>
      <w:r>
        <w:t xml:space="preserve">Explain why the raw fraction of ensemble members may be miscalibrated because of:</w:t>
      </w:r>
    </w:p>
    <w:p>
      <w:pPr>
        <w:pStyle w:val="Compact"/>
        <w:numPr>
          <w:ilvl w:val="0"/>
          <w:numId w:val="1026"/>
        </w:numPr>
      </w:pPr>
      <w:r>
        <w:t xml:space="preserve">Underdispersion.</w:t>
      </w:r>
    </w:p>
    <w:p>
      <w:pPr>
        <w:pStyle w:val="Compact"/>
        <w:numPr>
          <w:ilvl w:val="0"/>
          <w:numId w:val="1026"/>
        </w:numPr>
      </w:pPr>
      <w:r>
        <w:t xml:space="preserve">Shared model error.</w:t>
      </w:r>
    </w:p>
    <w:p>
      <w:pPr>
        <w:pStyle w:val="Compact"/>
        <w:numPr>
          <w:ilvl w:val="0"/>
          <w:numId w:val="1026"/>
        </w:numPr>
      </w:pPr>
      <w:r>
        <w:t xml:space="preserve">Initial-condition dependence.</w:t>
      </w:r>
    </w:p>
    <w:p>
      <w:pPr>
        <w:pStyle w:val="Compact"/>
        <w:numPr>
          <w:ilvl w:val="0"/>
          <w:numId w:val="1026"/>
        </w:numPr>
      </w:pPr>
      <w:r>
        <w:t xml:space="preserve">Member dependence.</w:t>
      </w:r>
    </w:p>
    <w:p>
      <w:pPr>
        <w:pStyle w:val="Compact"/>
        <w:numPr>
          <w:ilvl w:val="0"/>
          <w:numId w:val="1026"/>
        </w:numPr>
      </w:pPr>
      <w:r>
        <w:t xml:space="preserve">Bias.</w:t>
      </w:r>
    </w:p>
    <w:p>
      <w:pPr>
        <w:pStyle w:val="Compact"/>
        <w:numPr>
          <w:ilvl w:val="0"/>
          <w:numId w:val="1026"/>
        </w:numPr>
      </w:pPr>
      <w:r>
        <w:t xml:space="preserve">Resolution changes.</w:t>
      </w:r>
    </w:p>
    <w:p>
      <w:pPr>
        <w:pStyle w:val="Compact"/>
        <w:numPr>
          <w:ilvl w:val="0"/>
          <w:numId w:val="1026"/>
        </w:numPr>
      </w:pPr>
      <w:r>
        <w:t xml:space="preserve">Forecast-horizon effects.</w:t>
      </w:r>
    </w:p>
    <w:p>
      <w:pPr>
        <w:pStyle w:val="Compact"/>
        <w:numPr>
          <w:ilvl w:val="0"/>
          <w:numId w:val="1026"/>
        </w:numPr>
      </w:pPr>
      <w:r>
        <w:t xml:space="preserve">Regime-dependent forecast skill.</w:t>
      </w:r>
    </w:p>
    <w:bookmarkStart w:id="37" w:name="a.-ensemble-model-output-statistics"/>
    <w:p>
      <w:pPr>
        <w:pStyle w:val="Heading2"/>
      </w:pPr>
      <w:r>
        <w:t xml:space="preserve">A. Ensemble Model Output Statistics</w:t>
      </w:r>
    </w:p>
    <w:p>
      <w:pPr>
        <w:pStyle w:val="FirstParagraph"/>
      </w:pPr>
      <w:r>
        <w:t xml:space="preserve">Develop an EMOS-style calibration model:</w:t>
      </w:r>
    </w:p>
    <w:p>
      <w:pPr>
        <w:pStyle w:val="BodyText"/>
      </w:pPr>
      <m:oMathPara>
        <m:oMathParaPr>
          <m:jc m:val="center"/>
        </m:oMathParaPr>
        <m:oMath>
          <m:r>
            <m:t>Y</m:t>
          </m:r>
          <m:r>
            <m:rPr>
              <m:sty m:val="p"/>
            </m:rPr>
            <m:t>∣</m:t>
          </m:r>
          <m:acc>
            <m:accPr>
              <m:chr m:val="‾"/>
            </m:accPr>
            <m:e>
              <m:r>
                <m:t>f</m:t>
              </m:r>
            </m:e>
          </m:acc>
          <m:r>
            <m:rPr>
              <m:sty m:val="p"/>
            </m:rPr>
            <m:t>,</m:t>
          </m:r>
          <m:sSub>
            <m:e>
              <m:r>
                <m:t>s</m:t>
              </m:r>
            </m:e>
            <m:sub>
              <m:r>
                <m:t>f</m:t>
              </m:r>
            </m:sub>
          </m:sSub>
          <m:r>
            <m:rPr>
              <m:sty m:val="p"/>
            </m:rPr>
            <m:t>∼</m:t>
          </m:r>
          <m:r>
            <m:rPr>
              <m:sty m:val="p"/>
              <m:scr m:val="script"/>
            </m:rPr>
            <m:t>D</m:t>
          </m:r>
          <m:d>
            <m:dPr>
              <m:begChr m:val="("/>
              <m:sepChr m:val=""/>
              <m:endChr m:val=")"/>
              <m:grow/>
            </m:dPr>
            <m:e>
              <m:r>
                <m:t>a</m:t>
              </m:r>
              <m:r>
                <m:rPr>
                  <m:sty m:val="p"/>
                </m:rPr>
                <m:t>+</m:t>
              </m:r>
              <m:r>
                <m:t>b</m:t>
              </m:r>
              <m:acc>
                <m:accPr>
                  <m:chr m:val="‾"/>
                </m:accPr>
                <m:e>
                  <m:r>
                    <m:t>f</m:t>
                  </m:r>
                </m:e>
              </m:acc>
              <m:r>
                <m:rPr>
                  <m:sty m:val="p"/>
                </m:rPr>
                <m:t>,</m:t>
              </m:r>
              <m:r>
                <m:t> </m:t>
              </m:r>
              <m:r>
                <m:t>c</m:t>
              </m:r>
              <m:r>
                <m:rPr>
                  <m:sty m:val="p"/>
                </m:rPr>
                <m:t>+</m:t>
              </m:r>
              <m:r>
                <m:t>d</m:t>
              </m:r>
              <m:sSubSup>
                <m:e>
                  <m:r>
                    <m:t>s</m:t>
                  </m:r>
                </m:e>
                <m:sub>
                  <m:r>
                    <m:t>f</m:t>
                  </m:r>
                </m:sub>
                <m:sup>
                  <m:r>
                    <m:t>2</m:t>
                  </m:r>
                </m:sup>
              </m:sSubSup>
            </m:e>
          </m:d>
        </m:oMath>
      </m:oMathPara>
    </w:p>
    <w:p>
      <w:pPr>
        <w:pStyle w:val="FirstParagraph"/>
      </w:pPr>
      <w:r>
        <w:t xml:space="preserve">where:</w:t>
      </w:r>
    </w:p>
    <w:p>
      <w:pPr>
        <w:pStyle w:val="Compact"/>
        <w:numPr>
          <w:ilvl w:val="0"/>
          <w:numId w:val="1027"/>
        </w:numPr>
      </w:pPr>
      <m:oMath>
        <m:acc>
          <m:accPr>
            <m:chr m:val="‾"/>
          </m:accPr>
          <m:e>
            <m:r>
              <m:t>f</m:t>
            </m:r>
          </m:e>
        </m:acc>
      </m:oMath>
      <w:r>
        <w:t xml:space="preserve"> </w:t>
      </w:r>
      <w:r>
        <w:t xml:space="preserve">is the ensemble mean.</w:t>
      </w:r>
    </w:p>
    <w:p>
      <w:pPr>
        <w:pStyle w:val="Compact"/>
        <w:numPr>
          <w:ilvl w:val="0"/>
          <w:numId w:val="1027"/>
        </w:numPr>
      </w:pPr>
      <m:oMath>
        <m:sSubSup>
          <m:e>
            <m:r>
              <m:t>s</m:t>
            </m:r>
          </m:e>
          <m:sub>
            <m:r>
              <m:t>f</m:t>
            </m:r>
          </m:sub>
          <m:sup>
            <m:r>
              <m:t>2</m:t>
            </m:r>
          </m:sup>
        </m:sSubSup>
      </m:oMath>
      <w:r>
        <w:t xml:space="preserve"> </w:t>
      </w:r>
      <w:r>
        <w:t xml:space="preserve">is ensemble variance.</w:t>
      </w:r>
    </w:p>
    <w:p>
      <w:pPr>
        <w:pStyle w:val="Compact"/>
        <w:numPr>
          <w:ilvl w:val="0"/>
          <w:numId w:val="1027"/>
        </w:numPr>
      </w:pPr>
      <m:oMath>
        <m:r>
          <m:rPr>
            <m:sty m:val="p"/>
            <m:scr m:val="script"/>
          </m:rPr>
          <m:t>D</m:t>
        </m:r>
      </m:oMath>
      <w:r>
        <w:t xml:space="preserve"> </w:t>
      </w:r>
      <w:r>
        <w:t xml:space="preserve">may be Gaussian, skew-normal, Student-</w:t>
      </w:r>
      <m:oMath>
        <m:r>
          <m:t>t</m:t>
        </m:r>
      </m:oMath>
      <w:r>
        <w:t xml:space="preserve">, or another empirically justified distribution.</w:t>
      </w:r>
    </w:p>
    <w:p>
      <w:pPr>
        <w:pStyle w:val="FirstParagraph"/>
      </w:pPr>
      <w:r>
        <w:t xml:space="preserve">Estimate parameters with rolling, expanding, and seasonally matched windows.</w:t>
      </w:r>
    </w:p>
    <w:bookmarkEnd w:id="37"/>
    <w:bookmarkStart w:id="38" w:name="b.-bayesian-model-averaging"/>
    <w:p>
      <w:pPr>
        <w:pStyle w:val="Heading2"/>
      </w:pPr>
      <w:r>
        <w:t xml:space="preserve">B. Bayesian Model Averaging</w:t>
      </w:r>
    </w:p>
    <w:p>
      <w:pPr>
        <w:pStyle w:val="FirstParagraph"/>
      </w:pPr>
      <w:r>
        <w:t xml:space="preserve">Construct:</w:t>
      </w:r>
    </w:p>
    <w:p>
      <w:pPr>
        <w:pStyle w:val="BodyText"/>
      </w:pPr>
      <m:oMathPara>
        <m:oMathParaPr>
          <m:jc m:val="center"/>
        </m:oMathParaPr>
        <m:oMath>
          <m:r>
            <m:t>p</m:t>
          </m:r>
          <m:d>
            <m:dPr>
              <m:begChr m:val="("/>
              <m:sepChr m:val=""/>
              <m:endChr m:val=")"/>
              <m:grow/>
            </m:dPr>
            <m:e>
              <m:r>
                <m:t>Y</m:t>
              </m:r>
              <m:r>
                <m:rPr>
                  <m:sty m:val="p"/>
                </m:rPr>
                <m:t>∣</m:t>
              </m:r>
              <m:sSub>
                <m:e>
                  <m:r>
                    <m:t>f</m:t>
                  </m:r>
                </m:e>
                <m:sub>
                  <m:r>
                    <m:t>1</m:t>
                  </m:r>
                </m:sub>
              </m:sSub>
              <m:r>
                <m:rPr>
                  <m:sty m:val="p"/>
                </m:rPr>
                <m:t>,</m:t>
              </m:r>
              <m:r>
                <m:rPr>
                  <m:sty m:val="p"/>
                </m:rPr>
                <m:t>…</m:t>
              </m:r>
              <m:r>
                <m:rPr>
                  <m:sty m:val="p"/>
                </m:rPr>
                <m:t>,</m:t>
              </m:r>
              <m:sSub>
                <m:e>
                  <m:r>
                    <m:t>f</m:t>
                  </m:r>
                </m:e>
                <m:sub>
                  <m:r>
                    <m:t>N</m:t>
                  </m:r>
                </m:sub>
              </m:sSub>
            </m:e>
          </m:d>
          <m:r>
            <m:rPr>
              <m:sty m:val="p"/>
            </m:rPr>
            <m:t>=</m:t>
          </m:r>
          <m:nary>
            <m:naryPr>
              <m:chr m:val="∑"/>
              <m:limLoc m:val="undOvr"/>
              <m:subHide m:val="off"/>
              <m:supHide m:val="off"/>
            </m:naryPr>
            <m:sub>
              <m:r>
                <m:t>m</m:t>
              </m:r>
              <m:r>
                <m:rPr>
                  <m:sty m:val="p"/>
                </m:rPr>
                <m:t>=</m:t>
              </m:r>
              <m:r>
                <m:t>1</m:t>
              </m:r>
            </m:sub>
            <m:sup>
              <m:r>
                <m:t>N</m:t>
              </m:r>
            </m:sup>
            <m:e>
              <m:sSub>
                <m:e>
                  <m:r>
                    <m:t>ω</m:t>
                  </m:r>
                </m:e>
                <m:sub>
                  <m:r>
                    <m:t>m</m:t>
                  </m:r>
                </m:sub>
              </m:sSub>
            </m:e>
          </m:nary>
          <m:sSub>
            <m:e>
              <m:r>
                <m:t>g</m:t>
              </m:r>
            </m:e>
            <m:sub>
              <m:r>
                <m:t>m</m:t>
              </m:r>
            </m:sub>
          </m:sSub>
          <m:d>
            <m:dPr>
              <m:begChr m:val="("/>
              <m:sepChr m:val=""/>
              <m:endChr m:val=")"/>
              <m:grow/>
            </m:dPr>
            <m:e>
              <m:r>
                <m:t>Y</m:t>
              </m:r>
              <m:r>
                <m:rPr>
                  <m:sty m:val="p"/>
                </m:rPr>
                <m:t>∣</m:t>
              </m:r>
              <m:sSub>
                <m:e>
                  <m:r>
                    <m:t>f</m:t>
                  </m:r>
                </m:e>
                <m:sub>
                  <m:r>
                    <m:t>m</m:t>
                  </m:r>
                </m:sub>
              </m:sSub>
            </m:e>
          </m:d>
        </m:oMath>
      </m:oMathPara>
    </w:p>
    <w:p>
      <w:pPr>
        <w:pStyle w:val="FirstParagraph"/>
      </w:pPr>
      <w:r>
        <w:t xml:space="preserve">with:</w:t>
      </w:r>
    </w:p>
    <w:p>
      <w:pPr>
        <w:pStyle w:val="BodyText"/>
      </w:pPr>
      <m:oMathPara>
        <m:oMathParaPr>
          <m:jc m:val="center"/>
        </m:oMathParaPr>
        <m:oMath>
          <m:sSub>
            <m:e>
              <m:r>
                <m:t>ω</m:t>
              </m:r>
            </m:e>
            <m:sub>
              <m:r>
                <m:t>m</m:t>
              </m:r>
            </m:sub>
          </m:sSub>
          <m:r>
            <m:rPr>
              <m:sty m:val="p"/>
            </m:rPr>
            <m:t>≥</m:t>
          </m:r>
          <m:r>
            <m:t>0</m:t>
          </m:r>
          <m:r>
            <m:rPr>
              <m:sty m:val="p"/>
            </m:rPr>
            <m:t>,</m:t>
          </m:r>
          <m:r>
            <m:t>  </m:t>
          </m:r>
          <m:nary>
            <m:naryPr>
              <m:chr m:val="∑"/>
              <m:limLoc m:val="undOvr"/>
              <m:subHide m:val="off"/>
              <m:supHide m:val="off"/>
            </m:naryPr>
            <m:sub>
              <m:r>
                <m:t>m</m:t>
              </m:r>
              <m:r>
                <m:rPr>
                  <m:sty m:val="p"/>
                </m:rPr>
                <m:t>=</m:t>
              </m:r>
              <m:r>
                <m:t>1</m:t>
              </m:r>
            </m:sub>
            <m:sup>
              <m:r>
                <m:t>N</m:t>
              </m:r>
            </m:sup>
            <m:e>
              <m:sSub>
                <m:e>
                  <m:r>
                    <m:t>ω</m:t>
                  </m:r>
                </m:e>
                <m:sub>
                  <m:r>
                    <m:t>m</m:t>
                  </m:r>
                </m:sub>
              </m:sSub>
            </m:e>
          </m:nary>
          <m:r>
            <m:rPr>
              <m:sty m:val="p"/>
            </m:rPr>
            <m:t>=</m:t>
          </m:r>
          <m:r>
            <m:t>1</m:t>
          </m:r>
        </m:oMath>
      </m:oMathPara>
    </w:p>
    <w:p>
      <w:pPr>
        <w:pStyle w:val="FirstParagraph"/>
      </w:pPr>
      <w:r>
        <w:t xml:space="preserve">Evaluate whether equal weighting, cluster weighting, lagged-ensemble weighting, or weather-regime weighting is justified.</w:t>
      </w:r>
    </w:p>
    <w:bookmarkEnd w:id="38"/>
    <w:bookmarkStart w:id="39" w:name="c.-calibration-diagnostics"/>
    <w:p>
      <w:pPr>
        <w:pStyle w:val="Heading2"/>
      </w:pPr>
      <w:r>
        <w:t xml:space="preserve">C. Calibration Diagnostics</w:t>
      </w:r>
    </w:p>
    <w:p>
      <w:pPr>
        <w:pStyle w:val="FirstParagraph"/>
      </w:pPr>
      <w:r>
        <w:t xml:space="preserve">Report:</w:t>
      </w:r>
    </w:p>
    <w:p>
      <w:pPr>
        <w:pStyle w:val="Compact"/>
        <w:numPr>
          <w:ilvl w:val="0"/>
          <w:numId w:val="1028"/>
        </w:numPr>
      </w:pPr>
      <w:r>
        <w:t xml:space="preserve">CRPS.</w:t>
      </w:r>
    </w:p>
    <w:p>
      <w:pPr>
        <w:pStyle w:val="Compact"/>
        <w:numPr>
          <w:ilvl w:val="0"/>
          <w:numId w:val="1028"/>
        </w:numPr>
      </w:pPr>
      <w:r>
        <w:t xml:space="preserve">Brier score.</w:t>
      </w:r>
    </w:p>
    <w:p>
      <w:pPr>
        <w:pStyle w:val="Compact"/>
        <w:numPr>
          <w:ilvl w:val="0"/>
          <w:numId w:val="1028"/>
        </w:numPr>
      </w:pPr>
      <w:r>
        <w:t xml:space="preserve">Log loss.</w:t>
      </w:r>
    </w:p>
    <w:p>
      <w:pPr>
        <w:pStyle w:val="Compact"/>
        <w:numPr>
          <w:ilvl w:val="0"/>
          <w:numId w:val="1028"/>
        </w:numPr>
      </w:pPr>
      <w:r>
        <w:t xml:space="preserve">Reliability diagrams.</w:t>
      </w:r>
    </w:p>
    <w:p>
      <w:pPr>
        <w:pStyle w:val="Compact"/>
        <w:numPr>
          <w:ilvl w:val="0"/>
          <w:numId w:val="1028"/>
        </w:numPr>
      </w:pPr>
      <w:r>
        <w:t xml:space="preserve">PIT histograms.</w:t>
      </w:r>
    </w:p>
    <w:p>
      <w:pPr>
        <w:pStyle w:val="Compact"/>
        <w:numPr>
          <w:ilvl w:val="0"/>
          <w:numId w:val="1028"/>
        </w:numPr>
      </w:pPr>
      <w:r>
        <w:t xml:space="preserve">Rank histograms.</w:t>
      </w:r>
    </w:p>
    <w:p>
      <w:pPr>
        <w:pStyle w:val="Compact"/>
        <w:numPr>
          <w:ilvl w:val="0"/>
          <w:numId w:val="1028"/>
        </w:numPr>
      </w:pPr>
      <w:r>
        <w:t xml:space="preserve">Spread-skill ratio.</w:t>
      </w:r>
    </w:p>
    <w:p>
      <w:pPr>
        <w:pStyle w:val="Compact"/>
        <w:numPr>
          <w:ilvl w:val="0"/>
          <w:numId w:val="1028"/>
        </w:numPr>
      </w:pPr>
      <w:r>
        <w:t xml:space="preserve">Sharpness.</w:t>
      </w:r>
    </w:p>
    <w:p>
      <w:pPr>
        <w:pStyle w:val="Compact"/>
        <w:numPr>
          <w:ilvl w:val="0"/>
          <w:numId w:val="1028"/>
        </w:numPr>
      </w:pPr>
      <w:r>
        <w:t xml:space="preserve">Coverage of predictive intervals.</w:t>
      </w:r>
    </w:p>
    <w:p>
      <w:pPr>
        <w:pStyle w:val="Compact"/>
        <w:numPr>
          <w:ilvl w:val="0"/>
          <w:numId w:val="1028"/>
        </w:numPr>
      </w:pPr>
      <w:r>
        <w:t xml:space="preserve">Threshold-specific calibration.</w:t>
      </w:r>
    </w:p>
    <w:p>
      <w:pPr>
        <w:pStyle w:val="Compact"/>
        <w:numPr>
          <w:ilvl w:val="0"/>
          <w:numId w:val="1028"/>
        </w:numPr>
      </w:pPr>
      <w:r>
        <w:t xml:space="preserve">Forecast skill by lead time.</w:t>
      </w:r>
    </w:p>
    <w:p>
      <w:pPr>
        <w:pStyle w:val="Compact"/>
        <w:numPr>
          <w:ilvl w:val="0"/>
          <w:numId w:val="1028"/>
        </w:numPr>
      </w:pPr>
      <w:r>
        <w:t xml:space="preserve">Forecast skill by climate regime.</w:t>
      </w:r>
    </w:p>
    <w:p>
      <w:pPr>
        <w:pStyle w:val="FirstParagraph"/>
      </w:pPr>
      <w:r>
        <w:t xml:space="preserve">For binary outcomes:</w:t>
      </w:r>
    </w:p>
    <w:p>
      <w:pPr>
        <w:pStyle w:val="BodyText"/>
      </w:pPr>
      <m:oMathPara>
        <m:oMathParaPr>
          <m:jc m:val="center"/>
        </m:oMathParaPr>
        <m:oMath>
          <m:r>
            <m:rPr>
              <m:nor/>
              <m:sty m:val="p"/>
            </m:rPr>
            <m:t>Brier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p</m:t>
                          </m:r>
                        </m:e>
                        <m:sub>
                          <m:r>
                            <m:t>i</m:t>
                          </m:r>
                        </m:sub>
                      </m:sSub>
                      <m:r>
                        <m:rPr>
                          <m:sty m:val="p"/>
                        </m:rPr>
                        <m:t>−</m:t>
                      </m:r>
                      <m:sSub>
                        <m:e>
                          <m:r>
                            <m:t>y</m:t>
                          </m:r>
                        </m:e>
                        <m:sub>
                          <m:r>
                            <m:t>i</m:t>
                          </m:r>
                        </m:sub>
                      </m:sSub>
                    </m:e>
                  </m:d>
                </m:e>
                <m:sup>
                  <m:r>
                    <m:t>2</m:t>
                  </m:r>
                </m:sup>
              </m:sSup>
            </m:e>
          </m:nary>
        </m:oMath>
      </m:oMathPara>
    </w:p>
    <w:p>
      <w:pPr>
        <w:pStyle w:val="FirstParagraph"/>
      </w:pPr>
      <w:r>
        <w:t xml:space="preserve">and:</w:t>
      </w:r>
    </w:p>
    <w:p>
      <w:pPr>
        <w:pStyle w:val="BodyText"/>
      </w:pPr>
      <w:r>
        <w:t xml:space="preserve">$$</w:t>
      </w:r>
      <w:r>
        <w:t xml:space="preserve"> </w:t>
      </w:r>
      <w:r>
        <w:t xml:space="preserve"> </w:t>
      </w:r>
      <w:r>
        <w:t xml:space="preserve">=</w:t>
      </w:r>
      <w:r>
        <w:t xml:space="preserve"> </w:t>
      </w:r>
      <w:r>
        <w:t xml:space="preserve">-</w:t>
      </w:r>
      <w:r>
        <w:t xml:space="preserve"> </w:t>
      </w:r>
      <w:r>
        <w:t xml:space="preserve">_{i=1}^{N}</w:t>
      </w:r>
      <w:r>
        <w:t xml:space="preserve"> </w:t>
      </w:r>
      <w:r>
        <w:t xml:space="preserve">$$</w:t>
      </w:r>
    </w:p>
    <w:p>
      <w:pPr>
        <w:pStyle w:val="BodyText"/>
      </w:pPr>
      <w:r>
        <w:t xml:space="preserve">Apply probability clipping only for numerical stability and document the clipping level.</w:t>
      </w:r>
    </w:p>
    <w:p>
      <w:r>
        <w:pict>
          <v:rect style="width:0;height:1.5pt" o:hralign="center" o:hrstd="t" o:hr="t"/>
        </w:pict>
      </w:r>
    </w:p>
    <w:bookmarkEnd w:id="39"/>
    <w:bookmarkEnd w:id="40"/>
    <w:bookmarkStart w:id="49" w:name="X47b4550cfd0060a1091d4349622502ffe3b64da"/>
    <w:p>
      <w:pPr>
        <w:pStyle w:val="Heading1"/>
      </w:pPr>
      <w:r>
        <w:t xml:space="preserve">6. Dynamic Translation Between ERA5 and the Settlement Oracle</w:t>
      </w:r>
    </w:p>
    <w:p>
      <w:pPr>
        <w:pStyle w:val="FirstParagraph"/>
      </w:pPr>
      <w:r>
        <w:t xml:space="preserve">Do not rely solely on static OLS.</w:t>
      </w:r>
    </w:p>
    <w:p>
      <w:pPr>
        <w:pStyle w:val="BodyText"/>
      </w:pPr>
      <w:r>
        <w:t xml:space="preserve">Begin with:</w:t>
      </w:r>
    </w:p>
    <w:p>
      <w:pPr>
        <w:pStyle w:val="BodyText"/>
      </w:pPr>
      <w:r>
        <w:t xml:space="preserve">$$</w:t>
      </w:r>
      <w:r>
        <w:t xml:space="preserve"> </w:t>
      </w:r>
      <w:r>
        <w:t xml:space="preserve">Y_t^{</w:t>
      </w:r>
      <w:r>
        <w:t xml:space="preserve">}</w:t>
      </w:r>
      <w:r>
        <w:t xml:space="preserve"> </w:t>
      </w:r>
      <w:r>
        <w:t xml:space="preserve">=</w:t>
      </w:r>
      <w:r>
        <w:t xml:space="preserve"> </w:t>
      </w:r>
    </w:p>
    <w:p>
      <w:pPr>
        <w:numPr>
          <w:ilvl w:val="0"/>
          <w:numId w:val="1029"/>
        </w:numPr>
      </w:pPr>
      <w:r>
        <w:t xml:space="preserve">X_t^{</w:t>
      </w:r>
      <w:r>
        <w:t xml:space="preserve">}</w:t>
      </w:r>
    </w:p>
    <w:p>
      <w:pPr>
        <w:numPr>
          <w:ilvl w:val="0"/>
          <w:numId w:val="1029"/>
        </w:numPr>
      </w:pPr>
      <w:r>
        <w:t xml:space="preserve">_t</w:t>
      </w:r>
      <w:r>
        <w:t xml:space="preserve"> </w:t>
      </w:r>
      <w:r>
        <w:t xml:space="preserve">$$</w:t>
      </w:r>
    </w:p>
    <w:p>
      <w:pPr>
        <w:pStyle w:val="FirstParagraph"/>
      </w:pPr>
      <w:r>
        <w:t xml:space="preserve">but explicitly examine:</w:t>
      </w:r>
    </w:p>
    <w:p>
      <w:pPr>
        <w:pStyle w:val="Compact"/>
        <w:numPr>
          <w:ilvl w:val="0"/>
          <w:numId w:val="1030"/>
        </w:numPr>
      </w:pPr>
      <w:r>
        <w:t xml:space="preserve">Errors in both variables.</w:t>
      </w:r>
    </w:p>
    <w:p>
      <w:pPr>
        <w:pStyle w:val="Compact"/>
        <w:numPr>
          <w:ilvl w:val="0"/>
          <w:numId w:val="1030"/>
        </w:numPr>
      </w:pPr>
      <w:r>
        <w:t xml:space="preserve">Autocorrelation.</w:t>
      </w:r>
    </w:p>
    <w:p>
      <w:pPr>
        <w:pStyle w:val="Compact"/>
        <w:numPr>
          <w:ilvl w:val="0"/>
          <w:numId w:val="1030"/>
        </w:numPr>
      </w:pPr>
      <w:r>
        <w:t xml:space="preserve">Heteroskedasticity.</w:t>
      </w:r>
    </w:p>
    <w:p>
      <w:pPr>
        <w:pStyle w:val="Compact"/>
        <w:numPr>
          <w:ilvl w:val="0"/>
          <w:numId w:val="1030"/>
        </w:numPr>
      </w:pPr>
      <w:r>
        <w:t xml:space="preserve">Nonlinearity.</w:t>
      </w:r>
    </w:p>
    <w:p>
      <w:pPr>
        <w:pStyle w:val="Compact"/>
        <w:numPr>
          <w:ilvl w:val="0"/>
          <w:numId w:val="1030"/>
        </w:numPr>
      </w:pPr>
      <w:r>
        <w:t xml:space="preserve">Seasonal effects.</w:t>
      </w:r>
    </w:p>
    <w:p>
      <w:pPr>
        <w:pStyle w:val="Compact"/>
        <w:numPr>
          <w:ilvl w:val="0"/>
          <w:numId w:val="1030"/>
        </w:numPr>
      </w:pPr>
      <w:r>
        <w:t xml:space="preserve">Right-tail behavior.</w:t>
      </w:r>
    </w:p>
    <w:p>
      <w:pPr>
        <w:pStyle w:val="Compact"/>
        <w:numPr>
          <w:ilvl w:val="0"/>
          <w:numId w:val="1030"/>
        </w:numPr>
      </w:pPr>
      <w:r>
        <w:t xml:space="preserve">Small-sample uncertainty.</w:t>
      </w:r>
    </w:p>
    <w:p>
      <w:pPr>
        <w:pStyle w:val="Compact"/>
        <w:numPr>
          <w:ilvl w:val="0"/>
          <w:numId w:val="1030"/>
        </w:numPr>
      </w:pPr>
      <w:r>
        <w:t xml:space="preserve">Dataset revisions.</w:t>
      </w:r>
    </w:p>
    <w:p>
      <w:pPr>
        <w:pStyle w:val="Compact"/>
        <w:numPr>
          <w:ilvl w:val="0"/>
          <w:numId w:val="1030"/>
        </w:numPr>
      </w:pPr>
      <w:r>
        <w:t xml:space="preserve">Structural breaks.</w:t>
      </w:r>
    </w:p>
    <w:p>
      <w:pPr>
        <w:pStyle w:val="Compact"/>
        <w:numPr>
          <w:ilvl w:val="0"/>
          <w:numId w:val="1030"/>
        </w:numPr>
      </w:pPr>
      <w:r>
        <w:t xml:space="preserve">Changing observational coverage.</w:t>
      </w:r>
    </w:p>
    <w:p>
      <w:pPr>
        <w:pStyle w:val="Compact"/>
        <w:numPr>
          <w:ilvl w:val="0"/>
          <w:numId w:val="1030"/>
        </w:numPr>
      </w:pPr>
      <w:r>
        <w:t xml:space="preserve">Leverage from extreme years.</w:t>
      </w:r>
    </w:p>
    <w:bookmarkStart w:id="41" w:name="a.-errors-in-variables-regression"/>
    <w:p>
      <w:pPr>
        <w:pStyle w:val="Heading2"/>
      </w:pPr>
      <w:r>
        <w:t xml:space="preserve">A. Errors-in-Variables Regression</w:t>
      </w:r>
    </w:p>
    <w:p>
      <w:pPr>
        <w:pStyle w:val="FirstParagraph"/>
      </w:pPr>
      <w:r>
        <w:t xml:space="preserve">If ERA5 itself contains measurement or representation error, compare OLS with:</w:t>
      </w:r>
    </w:p>
    <w:p>
      <w:pPr>
        <w:pStyle w:val="Compact"/>
        <w:numPr>
          <w:ilvl w:val="0"/>
          <w:numId w:val="1031"/>
        </w:numPr>
      </w:pPr>
      <w:r>
        <w:t xml:space="preserve">Deming regression.</w:t>
      </w:r>
    </w:p>
    <w:p>
      <w:pPr>
        <w:pStyle w:val="Compact"/>
        <w:numPr>
          <w:ilvl w:val="0"/>
          <w:numId w:val="1031"/>
        </w:numPr>
      </w:pPr>
      <w:r>
        <w:t xml:space="preserve">Total least squares.</w:t>
      </w:r>
    </w:p>
    <w:p>
      <w:pPr>
        <w:pStyle w:val="Compact"/>
        <w:numPr>
          <w:ilvl w:val="0"/>
          <w:numId w:val="1031"/>
        </w:numPr>
      </w:pPr>
      <w:r>
        <w:t xml:space="preserve">Bayesian measurement-error models.</w:t>
      </w:r>
    </w:p>
    <w:p>
      <w:pPr>
        <w:pStyle w:val="FirstParagraph"/>
      </w:pPr>
      <w:r>
        <w:t xml:space="preserve">A Deming-regression objective may be written:</w:t>
      </w:r>
    </w:p>
    <w:p>
      <w:pPr>
        <w:pStyle w:val="BodyText"/>
      </w:pPr>
      <m:oMathPara>
        <m:oMathParaPr>
          <m:jc m:val="center"/>
        </m:oMathParaPr>
        <m:oMath>
          <m:limLow>
            <m:e>
              <m:r>
                <m:rPr>
                  <m:sty m:val="p"/>
                </m:rPr>
                <m:t>min</m:t>
              </m:r>
            </m:e>
            <m:lim>
              <m:r>
                <m:t>α</m:t>
              </m:r>
              <m:r>
                <m:rPr>
                  <m:sty m:val="p"/>
                </m:rPr>
                <m:t>,</m:t>
              </m:r>
              <m:r>
                <m:t>β</m:t>
              </m:r>
            </m:lim>
          </m:limLow>
          <m:nary>
            <m:naryPr>
              <m:chr m:val="∑"/>
              <m:limLoc m:val="undOvr"/>
              <m:subHide m:val="off"/>
              <m:supHide m:val="on"/>
            </m:naryPr>
            <m:sub>
              <m:r>
                <m:t>t</m:t>
              </m:r>
            </m:sub>
            <m:sup>
              <m:r>
                <m:t>​</m:t>
              </m:r>
            </m:sup>
            <m:e>
              <m:f>
                <m:fPr>
                  <m:type m:val="bar"/>
                </m:fPr>
                <m:num>
                  <m:sSup>
                    <m:e>
                      <m:d>
                        <m:dPr>
                          <m:begChr m:val="("/>
                          <m:sepChr m:val=""/>
                          <m:endChr m:val=")"/>
                          <m:grow/>
                        </m:dPr>
                        <m:e>
                          <m:sSub>
                            <m:e>
                              <m:r>
                                <m:t>Y</m:t>
                              </m:r>
                            </m:e>
                            <m:sub>
                              <m:r>
                                <m:t>t</m:t>
                              </m:r>
                            </m:sub>
                          </m:sSub>
                          <m:r>
                            <m:rPr>
                              <m:sty m:val="p"/>
                            </m:rPr>
                            <m:t>−</m:t>
                          </m:r>
                          <m:r>
                            <m:t>α</m:t>
                          </m:r>
                          <m:r>
                            <m:rPr>
                              <m:sty m:val="p"/>
                            </m:rPr>
                            <m:t>−</m:t>
                          </m:r>
                          <m:r>
                            <m:t>β</m:t>
                          </m:r>
                          <m:sSub>
                            <m:e>
                              <m:r>
                                <m:t>X</m:t>
                              </m:r>
                            </m:e>
                            <m:sub>
                              <m:r>
                                <m:t>t</m:t>
                              </m:r>
                            </m:sub>
                          </m:sSub>
                        </m:e>
                      </m:d>
                    </m:e>
                    <m:sup>
                      <m:r>
                        <m:t>2</m:t>
                      </m:r>
                    </m:sup>
                  </m:sSup>
                </m:num>
                <m:den>
                  <m:sSubSup>
                    <m:e>
                      <m:r>
                        <m:t>σ</m:t>
                      </m:r>
                    </m:e>
                    <m:sub>
                      <m:r>
                        <m:t>Y</m:t>
                      </m:r>
                    </m:sub>
                    <m:sup>
                      <m:r>
                        <m:t>2</m:t>
                      </m:r>
                    </m:sup>
                  </m:sSubSup>
                  <m:r>
                    <m:rPr>
                      <m:sty m:val="p"/>
                    </m:rPr>
                    <m:t>+</m:t>
                  </m:r>
                  <m:sSup>
                    <m:e>
                      <m:r>
                        <m:t>β</m:t>
                      </m:r>
                    </m:e>
                    <m:sup>
                      <m:r>
                        <m:t>2</m:t>
                      </m:r>
                    </m:sup>
                  </m:sSup>
                  <m:sSubSup>
                    <m:e>
                      <m:r>
                        <m:t>σ</m:t>
                      </m:r>
                    </m:e>
                    <m:sub>
                      <m:r>
                        <m:t>X</m:t>
                      </m:r>
                    </m:sub>
                    <m:sup>
                      <m:r>
                        <m:t>2</m:t>
                      </m:r>
                    </m:sup>
                  </m:sSubSup>
                </m:den>
              </m:f>
            </m:e>
          </m:nary>
        </m:oMath>
      </m:oMathPara>
    </w:p>
    <w:bookmarkEnd w:id="41"/>
    <w:bookmarkStart w:id="47" w:name="b.-dynamic-linear-model"/>
    <w:p>
      <w:pPr>
        <w:pStyle w:val="Heading2"/>
      </w:pPr>
      <w:r>
        <w:t xml:space="preserve">B. Dynamic Linear Model</w:t>
      </w:r>
    </w:p>
    <w:p>
      <w:pPr>
        <w:pStyle w:val="FirstParagraph"/>
      </w:pPr>
      <w:r>
        <w:t xml:space="preserve">Construct a state-space model:</w:t>
      </w:r>
    </w:p>
    <w:bookmarkStart w:id="42" w:name="observation-equation"/>
    <w:p>
      <w:pPr>
        <w:pStyle w:val="Heading3"/>
      </w:pPr>
      <w:r>
        <w:t xml:space="preserve">Observation equation</w:t>
      </w:r>
    </w:p>
    <w:p>
      <w:pPr>
        <w:pStyle w:val="FirstParagraph"/>
      </w:pPr>
      <w:r>
        <w:t xml:space="preserve">$$</w:t>
      </w:r>
      <w:r>
        <w:t xml:space="preserve"> </w:t>
      </w:r>
      <w:r>
        <w:t xml:space="preserve">Y_t</w:t>
      </w:r>
      <w:r>
        <w:t xml:space="preserve"> </w:t>
      </w:r>
      <w:r>
        <w:t xml:space="preserve">=</w:t>
      </w:r>
      <w:r>
        <w:t xml:space="preserve"> </w:t>
      </w:r>
      <w:r>
        <w:t xml:space="preserve">_t</w:t>
      </w:r>
    </w:p>
    <w:p>
      <w:pPr>
        <w:numPr>
          <w:ilvl w:val="0"/>
          <w:numId w:val="1032"/>
        </w:numPr>
      </w:pPr>
      <w:r>
        <w:t xml:space="preserve">_t X_t</w:t>
      </w:r>
    </w:p>
    <w:p>
      <w:pPr>
        <w:numPr>
          <w:ilvl w:val="0"/>
          <w:numId w:val="1032"/>
        </w:numPr>
      </w:pPr>
      <w:r>
        <w:t xml:space="preserve">_t Z_t</w:t>
      </w:r>
    </w:p>
    <w:p>
      <w:pPr>
        <w:numPr>
          <w:ilvl w:val="0"/>
          <w:numId w:val="1032"/>
        </w:numPr>
      </w:pPr>
      <w:r>
        <w:t xml:space="preserve">_t</w:t>
      </w:r>
      <w:r>
        <w:t xml:space="preserve"> </w:t>
      </w:r>
      <w:r>
        <w:t xml:space="preserve">$$</w:t>
      </w:r>
    </w:p>
    <w:p>
      <w:pPr>
        <w:pStyle w:val="FirstParagraph"/>
      </w:pPr>
      <m:oMathPara>
        <m:oMathParaPr>
          <m:jc m:val="center"/>
        </m:oMathParaPr>
        <m:oMath>
          <m:sSub>
            <m:e>
              <m:r>
                <m:t>ε</m:t>
              </m:r>
            </m:e>
            <m:sub>
              <m:r>
                <m:t>t</m:t>
              </m:r>
            </m:sub>
          </m:sSub>
          <m:r>
            <m:rPr>
              <m:sty m:val="p"/>
            </m:rPr>
            <m:t>∼</m:t>
          </m:r>
          <m:r>
            <m:rPr>
              <m:sty m:val="p"/>
              <m:scr m:val="script"/>
            </m:rPr>
            <m:t>N</m:t>
          </m:r>
          <m:d>
            <m:dPr>
              <m:begChr m:val="("/>
              <m:sepChr m:val=""/>
              <m:endChr m:val=")"/>
              <m:grow/>
            </m:dPr>
            <m:e>
              <m:r>
                <m:t>0</m:t>
              </m:r>
              <m:r>
                <m:rPr>
                  <m:sty m:val="p"/>
                </m:rPr>
                <m:t>,</m:t>
              </m:r>
              <m:sSub>
                <m:e>
                  <m:r>
                    <m:t>R</m:t>
                  </m:r>
                </m:e>
                <m:sub>
                  <m:r>
                    <m:t>t</m:t>
                  </m:r>
                </m:sub>
              </m:sSub>
            </m:e>
          </m:d>
        </m:oMath>
      </m:oMathPara>
    </w:p>
    <w:bookmarkEnd w:id="42"/>
    <w:bookmarkStart w:id="43" w:name="state-equation"/>
    <w:p>
      <w:pPr>
        <w:pStyle w:val="Heading3"/>
      </w:pPr>
      <w:r>
        <w:t xml:space="preserve">State equation</w:t>
      </w:r>
    </w:p>
    <w:p>
      <w:pPr>
        <w:pStyle w:val="FirstParagraph"/>
      </w:pPr>
      <w:r>
        <w:t xml:space="preserve">$$</w:t>
      </w:r>
    </w:p>
    <w:p>
      <w:pPr>
        <w:pStyle w:val="BodyText"/>
      </w:pPr>
      <w:r>
        <w:t xml:space="preserve">=</w:t>
      </w:r>
    </w:p>
    <w:p>
      <w:pPr>
        <w:pStyle w:val="Compact"/>
        <w:numPr>
          <w:ilvl w:val="0"/>
          <w:numId w:val="1033"/>
        </w:numPr>
      </w:pPr>
      <w:r>
        <w:t xml:space="preserve">_t</w:t>
      </w:r>
      <w:r>
        <w:t xml:space="preserve"> </w:t>
      </w:r>
      <w:r>
        <w:t xml:space="preserve">$$</w:t>
      </w:r>
    </w:p>
    <w:p>
      <w:pPr>
        <w:pStyle w:val="FirstParagraph"/>
      </w:pPr>
      <m:oMathPara>
        <m:oMathParaPr>
          <m:jc m:val="center"/>
        </m:oMathParaPr>
        <m:oMath>
          <m:sSub>
            <m:e>
              <m:r>
                <m:t>η</m:t>
              </m:r>
            </m:e>
            <m:sub>
              <m:r>
                <m:t>t</m:t>
              </m:r>
            </m:sub>
          </m:sSub>
          <m:r>
            <m:rPr>
              <m:sty m:val="p"/>
            </m:rPr>
            <m:t>∼</m:t>
          </m:r>
          <m:r>
            <m:rPr>
              <m:sty m:val="p"/>
              <m:scr m:val="script"/>
            </m:rPr>
            <m:t>N</m:t>
          </m:r>
          <m:d>
            <m:dPr>
              <m:begChr m:val="("/>
              <m:sepChr m:val=""/>
              <m:endChr m:val=")"/>
              <m:grow/>
            </m:dPr>
            <m:e>
              <m:r>
                <m:t>0</m:t>
              </m:r>
              <m:r>
                <m:rPr>
                  <m:sty m:val="p"/>
                </m:rPr>
                <m:t>,</m:t>
              </m:r>
              <m:sSub>
                <m:e>
                  <m:r>
                    <m:t>Q</m:t>
                  </m:r>
                </m:e>
                <m:sub>
                  <m:r>
                    <m:t>t</m:t>
                  </m:r>
                </m:sub>
              </m:sSub>
            </m:e>
          </m:d>
        </m:oMath>
      </m:oMathPara>
    </w:p>
    <w:p>
      <w:pPr>
        <w:pStyle w:val="FirstParagraph"/>
      </w:pPr>
      <w:r>
        <w:t xml:space="preserve">Possible covariates</w:t>
      </w:r>
      <w:r>
        <w:t xml:space="preserve"> </w:t>
      </w:r>
      <m:oMath>
        <m:sSub>
          <m:e>
            <m:r>
              <m:t>Z</m:t>
            </m:r>
          </m:e>
          <m:sub>
            <m:r>
              <m:t>t</m:t>
            </m:r>
          </m:sub>
        </m:sSub>
      </m:oMath>
      <w:r>
        <w:t xml:space="preserve"> </w:t>
      </w:r>
      <w:r>
        <w:t xml:space="preserve">may include:</w:t>
      </w:r>
    </w:p>
    <w:p>
      <w:pPr>
        <w:pStyle w:val="Compact"/>
        <w:numPr>
          <w:ilvl w:val="0"/>
          <w:numId w:val="1034"/>
        </w:numPr>
      </w:pPr>
      <w:r>
        <w:t xml:space="preserve">ENSO indices.</w:t>
      </w:r>
    </w:p>
    <w:p>
      <w:pPr>
        <w:pStyle w:val="Compact"/>
        <w:numPr>
          <w:ilvl w:val="0"/>
          <w:numId w:val="1034"/>
        </w:numPr>
      </w:pPr>
      <w:r>
        <w:t xml:space="preserve">Volcanic aerosol measures.</w:t>
      </w:r>
    </w:p>
    <w:p>
      <w:pPr>
        <w:pStyle w:val="Compact"/>
        <w:numPr>
          <w:ilvl w:val="0"/>
          <w:numId w:val="1034"/>
        </w:numPr>
      </w:pPr>
      <w:r>
        <w:t xml:space="preserve">Sea-ice anomalies.</w:t>
      </w:r>
    </w:p>
    <w:p>
      <w:pPr>
        <w:pStyle w:val="Compact"/>
        <w:numPr>
          <w:ilvl w:val="0"/>
          <w:numId w:val="1034"/>
        </w:numPr>
      </w:pPr>
      <w:r>
        <w:t xml:space="preserve">Global SST anomalies.</w:t>
      </w:r>
    </w:p>
    <w:p>
      <w:pPr>
        <w:pStyle w:val="Compact"/>
        <w:numPr>
          <w:ilvl w:val="0"/>
          <w:numId w:val="1034"/>
        </w:numPr>
      </w:pPr>
      <w:r>
        <w:t xml:space="preserve">Observational coverage.</w:t>
      </w:r>
    </w:p>
    <w:p>
      <w:pPr>
        <w:pStyle w:val="Compact"/>
        <w:numPr>
          <w:ilvl w:val="0"/>
          <w:numId w:val="1034"/>
        </w:numPr>
      </w:pPr>
      <w:r>
        <w:t xml:space="preserve">Land-ocean contrast.</w:t>
      </w:r>
    </w:p>
    <w:p>
      <w:pPr>
        <w:pStyle w:val="Compact"/>
        <w:numPr>
          <w:ilvl w:val="0"/>
          <w:numId w:val="1034"/>
        </w:numPr>
      </w:pPr>
      <w:r>
        <w:t xml:space="preserve">Dataset-version indicators.</w:t>
      </w:r>
    </w:p>
    <w:p>
      <w:pPr>
        <w:pStyle w:val="Compact"/>
        <w:numPr>
          <w:ilvl w:val="0"/>
          <w:numId w:val="1034"/>
        </w:numPr>
      </w:pPr>
      <w:r>
        <w:t xml:space="preserve">Extreme-temperature indicators.</w:t>
      </w:r>
    </w:p>
    <w:p>
      <w:pPr>
        <w:pStyle w:val="FirstParagraph"/>
      </w:pPr>
      <w:r>
        <w:t xml:space="preserve">Provide the Kalman prediction and update equations.</w:t>
      </w:r>
    </w:p>
    <w:bookmarkEnd w:id="43"/>
    <w:bookmarkStart w:id="44" w:name="prediction"/>
    <w:p>
      <w:pPr>
        <w:pStyle w:val="Heading3"/>
      </w:pPr>
      <w:r>
        <w:t xml:space="preserve">Prediction</w:t>
      </w:r>
    </w:p>
    <w:p>
      <w:pPr>
        <w:pStyle w:val="FirstParagraph"/>
      </w:pPr>
      <m:oMathPara>
        <m:oMathParaPr>
          <m:jc m:val="center"/>
        </m:oMathParaPr>
        <m:oMath>
          <m:sSub>
            <m:e>
              <m:acc>
                <m:accPr>
                  <m:chr m:val="̂"/>
                </m:accPr>
                <m:e>
                  <m:r>
                    <m:t>θ</m:t>
                  </m:r>
                </m:e>
              </m:acc>
            </m:e>
            <m:sub>
              <m:r>
                <m:t>t</m:t>
              </m:r>
              <m:r>
                <m:rPr>
                  <m:sty m:val="p"/>
                </m:rPr>
                <m:t>|</m:t>
              </m:r>
              <m:r>
                <m:t>t</m:t>
              </m:r>
              <m:r>
                <m:rPr>
                  <m:sty m:val="p"/>
                </m:rPr>
                <m:t>−</m:t>
              </m:r>
              <m:r>
                <m:t>1</m:t>
              </m:r>
            </m:sub>
          </m:sSub>
          <m:r>
            <m:rPr>
              <m:sty m:val="p"/>
            </m:rPr>
            <m:t>=</m:t>
          </m:r>
          <m:sSub>
            <m:e>
              <m:r>
                <m:t>F</m:t>
              </m:r>
            </m:e>
            <m:sub>
              <m:r>
                <m:t>t</m:t>
              </m:r>
            </m:sub>
          </m:sSub>
          <m:sSub>
            <m:e>
              <m:acc>
                <m:accPr>
                  <m:chr m:val="̂"/>
                </m:accPr>
                <m:e>
                  <m:r>
                    <m:t>θ</m:t>
                  </m:r>
                </m:e>
              </m:acc>
            </m:e>
            <m:sub>
              <m:r>
                <m:t>t</m:t>
              </m:r>
              <m:r>
                <m:rPr>
                  <m:sty m:val="p"/>
                </m:rPr>
                <m:t>−</m:t>
              </m:r>
              <m:r>
                <m:t>1</m:t>
              </m:r>
              <m:r>
                <m:rPr>
                  <m:sty m:val="p"/>
                </m:rPr>
                <m:t>|</m:t>
              </m:r>
              <m:r>
                <m:t>t</m:t>
              </m:r>
              <m:r>
                <m:rPr>
                  <m:sty m:val="p"/>
                </m:rPr>
                <m:t>−</m:t>
              </m:r>
              <m:r>
                <m:t>1</m:t>
              </m:r>
            </m:sub>
          </m:sSub>
        </m:oMath>
      </m:oMathPara>
    </w:p>
    <w:p>
      <w:pPr>
        <w:pStyle w:val="FirstParagraph"/>
      </w:pPr>
      <w:r>
        <w:t xml:space="preserve">$$</w:t>
      </w:r>
      <w:r>
        <w:t xml:space="preserve"> </w:t>
      </w:r>
      <w:r>
        <w:t xml:space="preserve">P_{t|t-1}</w:t>
      </w:r>
      <w:r>
        <w:t xml:space="preserve"> </w:t>
      </w:r>
      <w:r>
        <w:t xml:space="preserve">=</w:t>
      </w:r>
      <w:r>
        <w:t xml:space="preserve"> </w:t>
      </w:r>
      <w:r>
        <w:t xml:space="preserve">F_tP_{t-1|t-1}F_t^</w:t>
      </w:r>
    </w:p>
    <w:p>
      <w:pPr>
        <w:pStyle w:val="Compact"/>
        <w:numPr>
          <w:ilvl w:val="0"/>
          <w:numId w:val="1035"/>
        </w:numPr>
      </w:pPr>
      <w:r>
        <w:t xml:space="preserve">Q_t</w:t>
      </w:r>
      <w:r>
        <w:t xml:space="preserve"> </w:t>
      </w:r>
      <w:r>
        <w:t xml:space="preserve">$$</w:t>
      </w:r>
    </w:p>
    <w:bookmarkEnd w:id="44"/>
    <w:bookmarkStart w:id="45" w:name="innovation"/>
    <w:p>
      <w:pPr>
        <w:pStyle w:val="Heading3"/>
      </w:pPr>
      <w:r>
        <w:t xml:space="preserve">Innovation</w:t>
      </w:r>
    </w:p>
    <w:p>
      <w:pPr>
        <w:pStyle w:val="FirstParagraph"/>
      </w:pPr>
      <m:oMathPara>
        <m:oMathParaPr>
          <m:jc m:val="center"/>
        </m:oMathParaPr>
        <m:oMath>
          <m:sSub>
            <m:e>
              <m:r>
                <m:t>ν</m:t>
              </m:r>
            </m:e>
            <m:sub>
              <m:r>
                <m:t>t</m:t>
              </m:r>
            </m:sub>
          </m:sSub>
          <m:r>
            <m:rPr>
              <m:sty m:val="p"/>
            </m:rPr>
            <m:t>=</m:t>
          </m:r>
          <m:sSub>
            <m:e>
              <m:r>
                <m:t>Y</m:t>
              </m:r>
            </m:e>
            <m:sub>
              <m:r>
                <m:t>t</m:t>
              </m:r>
            </m:sub>
          </m:sSub>
          <m:r>
            <m:rPr>
              <m:sty m:val="p"/>
            </m:rPr>
            <m:t>−</m:t>
          </m:r>
          <m:sSub>
            <m:e>
              <m:r>
                <m:t>H</m:t>
              </m:r>
            </m:e>
            <m:sub>
              <m:r>
                <m:t>t</m:t>
              </m:r>
            </m:sub>
          </m:sSub>
          <m:sSub>
            <m:e>
              <m:acc>
                <m:accPr>
                  <m:chr m:val="̂"/>
                </m:accPr>
                <m:e>
                  <m:r>
                    <m:t>θ</m:t>
                  </m:r>
                </m:e>
              </m:acc>
            </m:e>
            <m:sub>
              <m:r>
                <m:t>t</m:t>
              </m:r>
              <m:r>
                <m:rPr>
                  <m:sty m:val="p"/>
                </m:rPr>
                <m:t>|</m:t>
              </m:r>
              <m:r>
                <m:t>t</m:t>
              </m:r>
              <m:r>
                <m:rPr>
                  <m:sty m:val="p"/>
                </m:rPr>
                <m:t>−</m:t>
              </m:r>
              <m:r>
                <m:t>1</m:t>
              </m:r>
            </m:sub>
          </m:sSub>
        </m:oMath>
      </m:oMathPara>
    </w:p>
    <w:p>
      <w:pPr>
        <w:pStyle w:val="FirstParagraph"/>
      </w:pPr>
      <w:r>
        <w:t xml:space="preserve">$$</w:t>
      </w:r>
      <w:r>
        <w:t xml:space="preserve"> </w:t>
      </w:r>
      <w:r>
        <w:t xml:space="preserve">S_t</w:t>
      </w:r>
      <w:r>
        <w:t xml:space="preserve"> </w:t>
      </w:r>
      <w:r>
        <w:t xml:space="preserve">=</w:t>
      </w:r>
      <w:r>
        <w:t xml:space="preserve"> </w:t>
      </w:r>
      <w:r>
        <w:t xml:space="preserve">H_tP_{t|t-1}H_t^</w:t>
      </w:r>
    </w:p>
    <w:p>
      <w:pPr>
        <w:pStyle w:val="Compact"/>
        <w:numPr>
          <w:ilvl w:val="0"/>
          <w:numId w:val="1036"/>
        </w:numPr>
      </w:pPr>
      <w:r>
        <w:t xml:space="preserve">R_t</w:t>
      </w:r>
      <w:r>
        <w:t xml:space="preserve"> </w:t>
      </w:r>
      <w:r>
        <w:t xml:space="preserve">$$</w:t>
      </w:r>
    </w:p>
    <w:bookmarkEnd w:id="45"/>
    <w:bookmarkStart w:id="46" w:name="update"/>
    <w:p>
      <w:pPr>
        <w:pStyle w:val="Heading3"/>
      </w:pPr>
      <w:r>
        <w:t xml:space="preserve">Update</w:t>
      </w:r>
    </w:p>
    <w:p>
      <w:pPr>
        <w:pStyle w:val="FirstParagraph"/>
      </w:pPr>
      <m:oMathPara>
        <m:oMathParaPr>
          <m:jc m:val="center"/>
        </m:oMathParaPr>
        <m:oMath>
          <m:sSub>
            <m:e>
              <m:r>
                <m:t>K</m:t>
              </m:r>
            </m:e>
            <m:sub>
              <m:r>
                <m:t>t</m:t>
              </m:r>
            </m:sub>
          </m:sSub>
          <m:r>
            <m:rPr>
              <m:sty m:val="p"/>
            </m:rPr>
            <m:t>=</m:t>
          </m:r>
          <m:sSub>
            <m:e>
              <m:r>
                <m:t>P</m:t>
              </m:r>
            </m:e>
            <m:sub>
              <m:r>
                <m:t>t</m:t>
              </m:r>
              <m:r>
                <m:rPr>
                  <m:sty m:val="p"/>
                </m:rPr>
                <m:t>|</m:t>
              </m:r>
              <m:r>
                <m:t>t</m:t>
              </m:r>
              <m:r>
                <m:rPr>
                  <m:sty m:val="p"/>
                </m:rPr>
                <m:t>−</m:t>
              </m:r>
              <m:r>
                <m:t>1</m:t>
              </m:r>
            </m:sub>
          </m:sSub>
          <m:sSubSup>
            <m:e>
              <m:r>
                <m:t>H</m:t>
              </m:r>
            </m:e>
            <m:sub>
              <m:r>
                <m:t>t</m:t>
              </m:r>
            </m:sub>
            <m:sup>
              <m:r>
                <m:rPr>
                  <m:sty m:val="p"/>
                </m:rPr>
                <m:t>⊤</m:t>
              </m:r>
            </m:sup>
          </m:sSubSup>
          <m:sSubSup>
            <m:e>
              <m:r>
                <m:t>S</m:t>
              </m:r>
            </m:e>
            <m:sub>
              <m:r>
                <m:t>t</m:t>
              </m:r>
            </m:sub>
            <m:sup>
              <m:r>
                <m:rPr>
                  <m:sty m:val="p"/>
                </m:rPr>
                <m:t>−</m:t>
              </m:r>
              <m:r>
                <m:t>1</m:t>
              </m:r>
            </m:sup>
          </m:sSubSup>
        </m:oMath>
      </m:oMathPara>
    </w:p>
    <w:p>
      <w:pPr>
        <w:pStyle w:val="FirstParagraph"/>
      </w:pPr>
      <w:r>
        <w:t xml:space="preserve">$$</w:t>
      </w:r>
      <w:r>
        <w:t xml:space="preserve"> </w:t>
      </w:r>
      <w:r>
        <w:rPr>
          <w:i/>
          <w:iCs/>
        </w:rPr>
        <w:t xml:space="preserve">{t|t}</w:t>
      </w:r>
      <w:r>
        <w:rPr>
          <w:i/>
          <w:iCs/>
        </w:rPr>
        <w:t xml:space="preserve"> </w:t>
      </w:r>
      <w:r>
        <w:rPr>
          <w:i/>
          <w:iCs/>
        </w:rPr>
        <w:t xml:space="preserve">=</w:t>
      </w:r>
      <w:r>
        <w:rPr>
          <w:i/>
          <w:iCs/>
        </w:rPr>
        <w:t xml:space="preserve"> </w:t>
      </w:r>
      <w:r>
        <w:t xml:space="preserve">{t|t-1}</w:t>
      </w:r>
    </w:p>
    <w:p>
      <w:pPr>
        <w:pStyle w:val="Compact"/>
        <w:numPr>
          <w:ilvl w:val="0"/>
          <w:numId w:val="1037"/>
        </w:numPr>
      </w:pPr>
      <w:r>
        <w:t xml:space="preserve">K_t</w:t>
      </w:r>
      <w:r>
        <w:t xml:space="preserve">_t</w:t>
      </w:r>
      <w:r>
        <w:t xml:space="preserve"> </w:t>
      </w:r>
      <w:r>
        <w:t xml:space="preserve">$$</w:t>
      </w:r>
    </w:p>
    <w:p>
      <w:pPr>
        <w:pStyle w:val="FirstParagraph"/>
      </w:pPr>
      <m:oMathPara>
        <m:oMathParaPr>
          <m:jc m:val="center"/>
        </m:oMathParaPr>
        <m:oMath>
          <m:sSub>
            <m:e>
              <m:r>
                <m:t>P</m:t>
              </m:r>
            </m:e>
            <m:sub>
              <m:r>
                <m:t>t</m:t>
              </m:r>
              <m:r>
                <m:rPr>
                  <m:sty m:val="p"/>
                </m:rPr>
                <m:t>|</m:t>
              </m:r>
              <m:r>
                <m:t>t</m:t>
              </m:r>
            </m:sub>
          </m:sSub>
          <m:r>
            <m:rPr>
              <m:sty m:val="p"/>
            </m:rPr>
            <m:t>=</m:t>
          </m:r>
          <m:d>
            <m:dPr>
              <m:begChr m:val="("/>
              <m:sepChr m:val=""/>
              <m:endChr m:val=")"/>
              <m:grow/>
            </m:dPr>
            <m:e>
              <m:r>
                <m:t>I</m:t>
              </m:r>
              <m:r>
                <m:rPr>
                  <m:sty m:val="p"/>
                </m:rPr>
                <m:t>−</m:t>
              </m:r>
              <m:sSub>
                <m:e>
                  <m:r>
                    <m:t>K</m:t>
                  </m:r>
                </m:e>
                <m:sub>
                  <m:r>
                    <m:t>t</m:t>
                  </m:r>
                </m:sub>
              </m:sSub>
              <m:sSub>
                <m:e>
                  <m:r>
                    <m:t>H</m:t>
                  </m:r>
                </m:e>
                <m:sub>
                  <m:r>
                    <m:t>t</m:t>
                  </m:r>
                </m:sub>
              </m:sSub>
            </m:e>
          </m:d>
          <m:sSub>
            <m:e>
              <m:r>
                <m:t>P</m:t>
              </m:r>
            </m:e>
            <m:sub>
              <m:r>
                <m:t>t</m:t>
              </m:r>
              <m:r>
                <m:rPr>
                  <m:sty m:val="p"/>
                </m:rPr>
                <m:t>|</m:t>
              </m:r>
              <m:r>
                <m:t>t</m:t>
              </m:r>
              <m:r>
                <m:rPr>
                  <m:sty m:val="p"/>
                </m:rPr>
                <m:t>−</m:t>
              </m:r>
              <m:r>
                <m:t>1</m:t>
              </m:r>
            </m:sub>
          </m:sSub>
        </m:oMath>
      </m:oMathPara>
    </w:p>
    <w:p>
      <w:pPr>
        <w:pStyle w:val="FirstParagraph"/>
      </w:pPr>
      <w:r>
        <w:t xml:space="preserve">Compare:</w:t>
      </w:r>
    </w:p>
    <w:p>
      <w:pPr>
        <w:pStyle w:val="Compact"/>
        <w:numPr>
          <w:ilvl w:val="0"/>
          <w:numId w:val="1038"/>
        </w:numPr>
      </w:pPr>
      <w:r>
        <w:t xml:space="preserve">Random-walk coefficients.</w:t>
      </w:r>
    </w:p>
    <w:p>
      <w:pPr>
        <w:pStyle w:val="Compact"/>
        <w:numPr>
          <w:ilvl w:val="0"/>
          <w:numId w:val="1038"/>
        </w:numPr>
      </w:pPr>
      <w:r>
        <w:t xml:space="preserve">Mean-reverting coefficients.</w:t>
      </w:r>
    </w:p>
    <w:p>
      <w:pPr>
        <w:pStyle w:val="Compact"/>
        <w:numPr>
          <w:ilvl w:val="0"/>
          <w:numId w:val="1038"/>
        </w:numPr>
      </w:pPr>
      <w:r>
        <w:t xml:space="preserve">Discount-factor dynamic linear models.</w:t>
      </w:r>
    </w:p>
    <w:p>
      <w:pPr>
        <w:pStyle w:val="Compact"/>
        <w:numPr>
          <w:ilvl w:val="0"/>
          <w:numId w:val="1038"/>
        </w:numPr>
      </w:pPr>
      <w:r>
        <w:t xml:space="preserve">Change-point models.</w:t>
      </w:r>
    </w:p>
    <w:p>
      <w:pPr>
        <w:pStyle w:val="Compact"/>
        <w:numPr>
          <w:ilvl w:val="0"/>
          <w:numId w:val="1038"/>
        </w:numPr>
      </w:pPr>
      <w:r>
        <w:t xml:space="preserve">Markov-switching regressions.</w:t>
      </w:r>
    </w:p>
    <w:bookmarkEnd w:id="46"/>
    <w:bookmarkEnd w:id="47"/>
    <w:bookmarkStart w:id="48" w:name="c.-nonlinear-translation"/>
    <w:p>
      <w:pPr>
        <w:pStyle w:val="Heading2"/>
      </w:pPr>
      <w:r>
        <w:t xml:space="preserve">C. Nonlinear Translation</w:t>
      </w:r>
    </w:p>
    <w:p>
      <w:pPr>
        <w:pStyle w:val="FirstParagraph"/>
      </w:pPr>
      <w:r>
        <w:t xml:space="preserve">Test whether right-tail values require:</w:t>
      </w:r>
    </w:p>
    <w:p>
      <w:pPr>
        <w:pStyle w:val="Compact"/>
        <w:numPr>
          <w:ilvl w:val="0"/>
          <w:numId w:val="1039"/>
        </w:numPr>
      </w:pPr>
      <w:r>
        <w:t xml:space="preserve">Splines.</w:t>
      </w:r>
    </w:p>
    <w:p>
      <w:pPr>
        <w:pStyle w:val="Compact"/>
        <w:numPr>
          <w:ilvl w:val="0"/>
          <w:numId w:val="1039"/>
        </w:numPr>
      </w:pPr>
      <w:r>
        <w:t xml:space="preserve">Gaussian processes.</w:t>
      </w:r>
    </w:p>
    <w:p>
      <w:pPr>
        <w:pStyle w:val="Compact"/>
        <w:numPr>
          <w:ilvl w:val="0"/>
          <w:numId w:val="1039"/>
        </w:numPr>
      </w:pPr>
      <w:r>
        <w:t xml:space="preserve">Threshold regression.</w:t>
      </w:r>
    </w:p>
    <w:p>
      <w:pPr>
        <w:pStyle w:val="Compact"/>
        <w:numPr>
          <w:ilvl w:val="0"/>
          <w:numId w:val="1039"/>
        </w:numPr>
      </w:pPr>
      <w:r>
        <w:t xml:space="preserve">Quantile regression.</w:t>
      </w:r>
    </w:p>
    <w:p>
      <w:pPr>
        <w:pStyle w:val="Compact"/>
        <w:numPr>
          <w:ilvl w:val="0"/>
          <w:numId w:val="1039"/>
        </w:numPr>
      </w:pPr>
      <w:r>
        <w:t xml:space="preserve">Generalized additive models.</w:t>
      </w:r>
    </w:p>
    <w:p>
      <w:pPr>
        <w:pStyle w:val="Compact"/>
        <w:numPr>
          <w:ilvl w:val="0"/>
          <w:numId w:val="1039"/>
        </w:numPr>
      </w:pPr>
      <w:r>
        <w:t xml:space="preserve">Monotonic regression.</w:t>
      </w:r>
    </w:p>
    <w:p>
      <w:pPr>
        <w:pStyle w:val="Compact"/>
        <w:numPr>
          <w:ilvl w:val="0"/>
          <w:numId w:val="1039"/>
        </w:numPr>
      </w:pPr>
      <w:r>
        <w:t xml:space="preserve">Student-</w:t>
      </w:r>
      <m:oMath>
        <m:r>
          <m:t>t</m:t>
        </m:r>
      </m:oMath>
      <w:r>
        <w:t xml:space="preserve"> </w:t>
      </w:r>
      <w:r>
        <w:t xml:space="preserve">residuals.</w:t>
      </w:r>
    </w:p>
    <w:p>
      <w:pPr>
        <w:pStyle w:val="Compact"/>
        <w:numPr>
          <w:ilvl w:val="0"/>
          <w:numId w:val="1039"/>
        </w:numPr>
      </w:pPr>
      <w:r>
        <w:t xml:space="preserve">Mixture distributions.</w:t>
      </w:r>
    </w:p>
    <w:p>
      <w:pPr>
        <w:pStyle w:val="FirstParagraph"/>
      </w:pPr>
      <w:r>
        <w:t xml:space="preserve">For example:</w:t>
      </w:r>
    </w:p>
    <w:p>
      <w:pPr>
        <w:pStyle w:val="BodyText"/>
      </w:pPr>
      <w:r>
        <w:t xml:space="preserve">$$</w:t>
      </w:r>
      <w:r>
        <w:t xml:space="preserve"> </w:t>
      </w:r>
      <w:r>
        <w:t xml:space="preserve">Y_t</w:t>
      </w:r>
      <w:r>
        <w:t xml:space="preserve"> </w:t>
      </w:r>
      <w:r>
        <w:t xml:space="preserve">=</w:t>
      </w:r>
      <w:r>
        <w:t xml:space="preserve"> </w:t>
      </w:r>
    </w:p>
    <w:p>
      <w:pPr>
        <w:numPr>
          <w:ilvl w:val="0"/>
          <w:numId w:val="1040"/>
        </w:numPr>
      </w:pPr>
      <w:r>
        <w:t xml:space="preserve">_1X_t</w:t>
      </w:r>
    </w:p>
    <w:p>
      <w:pPr>
        <w:numPr>
          <w:ilvl w:val="0"/>
          <w:numId w:val="1040"/>
        </w:numPr>
      </w:pPr>
      <w:r>
        <w:rPr>
          <w:i/>
          <w:iCs/>
        </w:rPr>
        <w:t xml:space="preserve">2(X_t-c)</w:t>
      </w:r>
      <w:r>
        <w:t xml:space="preserve">+</w:t>
      </w:r>
    </w:p>
    <w:p>
      <w:pPr>
        <w:numPr>
          <w:ilvl w:val="0"/>
          <w:numId w:val="1040"/>
        </w:numPr>
      </w:pPr>
      <w:r>
        <w:t xml:space="preserve">_t</w:t>
      </w:r>
      <w:r>
        <w:t xml:space="preserve"> </w:t>
      </w:r>
      <w:r>
        <w:t xml:space="preserve">$$</w:t>
      </w:r>
    </w:p>
    <w:p>
      <w:pPr>
        <w:pStyle w:val="FirstParagraph"/>
      </w:pPr>
      <w:r>
        <w:t xml:space="preserve">where:</w:t>
      </w:r>
    </w:p>
    <w:p>
      <w:pPr>
        <w:pStyle w:val="BodyText"/>
      </w:pPr>
      <m:oMathPara>
        <m:oMathParaPr>
          <m:jc m:val="center"/>
        </m:oMathParaPr>
        <m:oMath>
          <m:sSub>
            <m:e>
              <m:d>
                <m:dPr>
                  <m:begChr m:val="("/>
                  <m:sepChr m:val=""/>
                  <m:endChr m:val=")"/>
                  <m:grow/>
                </m:dPr>
                <m:e>
                  <m:r>
                    <m:t>x</m:t>
                  </m:r>
                  <m:r>
                    <m:rPr>
                      <m:sty m:val="p"/>
                    </m:rPr>
                    <m:t>−</m:t>
                  </m:r>
                  <m:r>
                    <m:t>c</m:t>
                  </m:r>
                </m:e>
              </m:d>
            </m:e>
            <m:sub>
              <m:r>
                <m:rPr>
                  <m:sty m:val="p"/>
                </m:rPr>
                <m:t>+</m:t>
              </m:r>
            </m:sub>
          </m:sSub>
          <m:r>
            <m:rPr>
              <m:sty m:val="p"/>
            </m:rPr>
            <m:t>=</m:t>
          </m:r>
          <m:r>
            <m:rPr>
              <m:sty m:val="p"/>
            </m:rPr>
            <m:t>max</m:t>
          </m:r>
          <m:d>
            <m:dPr>
              <m:begChr m:val="("/>
              <m:sepChr m:val=""/>
              <m:endChr m:val=")"/>
              <m:grow/>
            </m:dPr>
            <m:e>
              <m:r>
                <m:t>x</m:t>
              </m:r>
              <m:r>
                <m:rPr>
                  <m:sty m:val="p"/>
                </m:rPr>
                <m:t>−</m:t>
              </m:r>
              <m:r>
                <m:t>c</m:t>
              </m:r>
              <m:r>
                <m:rPr>
                  <m:sty m:val="p"/>
                </m:rPr>
                <m:t>,</m:t>
              </m:r>
              <m:r>
                <m:t>0</m:t>
              </m:r>
            </m:e>
          </m:d>
        </m:oMath>
      </m:oMathPara>
    </w:p>
    <w:p>
      <w:pPr>
        <w:pStyle w:val="FirstParagraph"/>
      </w:pPr>
      <w:r>
        <w:t xml:space="preserve">Determine whether any nonlinear improvement survives out-of-sample testing.</w:t>
      </w:r>
    </w:p>
    <w:p>
      <w:r>
        <w:pict>
          <v:rect style="width:0;height:1.5pt" o:hralign="center" o:hrstd="t" o:hr="t"/>
        </w:pict>
      </w:r>
    </w:p>
    <w:bookmarkEnd w:id="48"/>
    <w:bookmarkEnd w:id="49"/>
    <w:bookmarkStart w:id="51" w:name="sequential-bayesian-updating"/>
    <w:p>
      <w:pPr>
        <w:pStyle w:val="Heading1"/>
      </w:pPr>
      <w:r>
        <w:t xml:space="preserve">7. Sequential Bayesian Updating</w:t>
      </w:r>
    </w:p>
    <w:p>
      <w:pPr>
        <w:pStyle w:val="FirstParagraph"/>
      </w:pPr>
      <w:r>
        <w:t xml:space="preserve">Construct a posterior distribution for the final settlement-oracle value:</w:t>
      </w:r>
    </w:p>
    <w:p>
      <w:pPr>
        <w:pStyle w:val="BodyText"/>
      </w:pPr>
      <m:oMathPara>
        <m:oMathParaPr>
          <m:jc m:val="center"/>
        </m:oMathParaPr>
        <m:oMath>
          <m:r>
            <m:t>p</m:t>
          </m:r>
          <m:d>
            <m:dPr>
              <m:begChr m:val="("/>
              <m:sepChr m:val=""/>
              <m:endChr m:val=")"/>
              <m:grow/>
            </m:dPr>
            <m:e>
              <m:sSub>
                <m:e>
                  <m:r>
                    <m:t>Y</m:t>
                  </m:r>
                </m:e>
                <m:sub>
                  <m:r>
                    <m:t>T</m:t>
                  </m:r>
                </m:sub>
              </m:sSub>
              <m:r>
                <m:rPr>
                  <m:sty m:val="p"/>
                </m:rPr>
                <m:t>∣</m:t>
              </m:r>
              <m:sSub>
                <m:e>
                  <m:r>
                    <m:rPr>
                      <m:sty m:val="p"/>
                      <m:scr m:val="script"/>
                    </m:rPr>
                    <m:t>I</m:t>
                  </m:r>
                </m:e>
                <m:sub>
                  <m:r>
                    <m:t>t</m:t>
                  </m:r>
                </m:sub>
              </m:sSub>
            </m:e>
          </m:d>
          <m:r>
            <m:rPr>
              <m:sty m:val="p"/>
            </m:rPr>
            <m:t>∝</m:t>
          </m:r>
          <m:r>
            <m:t>p</m:t>
          </m:r>
          <m:d>
            <m:dPr>
              <m:begChr m:val="("/>
              <m:sepChr m:val=""/>
              <m:endChr m:val=")"/>
              <m:grow/>
            </m:dPr>
            <m:e>
              <m:sSub>
                <m:e>
                  <m:r>
                    <m:t>D</m:t>
                  </m:r>
                </m:e>
                <m:sub>
                  <m:r>
                    <m:t>t</m:t>
                  </m:r>
                </m:sub>
              </m:sSub>
              <m:r>
                <m:rPr>
                  <m:sty m:val="p"/>
                </m:rPr>
                <m:t>∣</m:t>
              </m:r>
              <m:sSub>
                <m:e>
                  <m:r>
                    <m:t>Y</m:t>
                  </m:r>
                </m:e>
                <m:sub>
                  <m:r>
                    <m:t>T</m:t>
                  </m:r>
                </m:sub>
              </m:sSub>
              <m:r>
                <m:rPr>
                  <m:sty m:val="p"/>
                </m:rPr>
                <m:t>,</m:t>
              </m:r>
              <m:sSub>
                <m:e>
                  <m:r>
                    <m:t>Θ</m:t>
                  </m:r>
                </m:e>
                <m:sub>
                  <m:r>
                    <m:t>t</m:t>
                  </m:r>
                </m:sub>
              </m:sSub>
            </m:e>
          </m:d>
          <m:r>
            <m:t>p</m:t>
          </m:r>
          <m:d>
            <m:dPr>
              <m:begChr m:val="("/>
              <m:sepChr m:val=""/>
              <m:endChr m:val=")"/>
              <m:grow/>
            </m:dPr>
            <m:e>
              <m:sSub>
                <m:e>
                  <m:r>
                    <m:t>Y</m:t>
                  </m:r>
                </m:e>
                <m:sub>
                  <m:r>
                    <m:t>T</m:t>
                  </m:r>
                </m:sub>
              </m:sSub>
              <m:r>
                <m:rPr>
                  <m:sty m:val="p"/>
                </m:rPr>
                <m:t>∣</m:t>
              </m:r>
              <m:sSub>
                <m:e>
                  <m:r>
                    <m:t>F</m:t>
                  </m:r>
                </m:e>
                <m:sub>
                  <m:r>
                    <m:t>t</m:t>
                  </m:r>
                </m:sub>
              </m:sSub>
              <m:r>
                <m:rPr>
                  <m:sty m:val="p"/>
                </m:rPr>
                <m:t>,</m:t>
              </m:r>
              <m:sSub>
                <m:e>
                  <m:r>
                    <m:t>Θ</m:t>
                  </m:r>
                </m:e>
                <m:sub>
                  <m:r>
                    <m:t>t</m:t>
                  </m:r>
                </m:sub>
              </m:sSub>
            </m:e>
          </m:d>
          <m:r>
            <m:t>p</m:t>
          </m:r>
          <m:d>
            <m:dPr>
              <m:begChr m:val="("/>
              <m:sepChr m:val=""/>
              <m:endChr m:val=")"/>
              <m:grow/>
            </m:dPr>
            <m:e>
              <m:sSub>
                <m:e>
                  <m:r>
                    <m:t>Θ</m:t>
                  </m:r>
                </m:e>
                <m:sub>
                  <m:r>
                    <m:t>t</m:t>
                  </m:r>
                </m:sub>
              </m:sSub>
            </m:e>
          </m:d>
        </m:oMath>
      </m:oMathPara>
    </w:p>
    <w:p>
      <w:pPr>
        <w:pStyle w:val="FirstParagraph"/>
      </w:pPr>
      <w:r>
        <w:t xml:space="preserve">where:</w:t>
      </w:r>
    </w:p>
    <w:p>
      <w:pPr>
        <w:pStyle w:val="Compact"/>
        <w:numPr>
          <w:ilvl w:val="0"/>
          <w:numId w:val="1041"/>
        </w:numPr>
      </w:pPr>
      <m:oMath>
        <m:sSub>
          <m:e>
            <m:r>
              <m:t>D</m:t>
            </m:r>
          </m:e>
          <m:sub>
            <m:r>
              <m:t>t</m:t>
            </m:r>
          </m:sub>
        </m:sSub>
      </m:oMath>
      <w:r>
        <w:t xml:space="preserve"> </w:t>
      </w:r>
      <w:r>
        <w:t xml:space="preserve">contains observations available by time</w:t>
      </w:r>
      <w:r>
        <w:t xml:space="preserve"> </w:t>
      </w:r>
      <m:oMath>
        <m:r>
          <m:t>t</m:t>
        </m:r>
      </m:oMath>
      <w:r>
        <w:t xml:space="preserve">.</w:t>
      </w:r>
    </w:p>
    <w:p>
      <w:pPr>
        <w:pStyle w:val="Compact"/>
        <w:numPr>
          <w:ilvl w:val="0"/>
          <w:numId w:val="1041"/>
        </w:numPr>
      </w:pPr>
      <m:oMath>
        <m:sSub>
          <m:e>
            <m:r>
              <m:t>F</m:t>
            </m:r>
          </m:e>
          <m:sub>
            <m:r>
              <m:t>t</m:t>
            </m:r>
          </m:sub>
        </m:sSub>
      </m:oMath>
      <w:r>
        <w:t xml:space="preserve"> </w:t>
      </w:r>
      <w:r>
        <w:t xml:space="preserve">contains forecast information.</w:t>
      </w:r>
    </w:p>
    <w:p>
      <w:pPr>
        <w:pStyle w:val="Compact"/>
        <w:numPr>
          <w:ilvl w:val="0"/>
          <w:numId w:val="1041"/>
        </w:numPr>
      </w:pPr>
      <m:oMath>
        <m:sSub>
          <m:e>
            <m:r>
              <m:t>Θ</m:t>
            </m:r>
          </m:e>
          <m:sub>
            <m:r>
              <m:t>t</m:t>
            </m:r>
          </m:sub>
        </m:sSub>
      </m:oMath>
      <w:r>
        <w:t xml:space="preserve"> </w:t>
      </w:r>
      <w:r>
        <w:t xml:space="preserve">contains translation, calibration, and covariance parameters.</w:t>
      </w:r>
    </w:p>
    <w:p>
      <w:pPr>
        <w:pStyle w:val="FirstParagraph"/>
      </w:pPr>
      <w:r>
        <w:t xml:space="preserve">The final contract probability is:</w:t>
      </w:r>
    </w:p>
    <w:p>
      <w:pPr>
        <w:pStyle w:val="BodyText"/>
      </w:pPr>
      <m:oMathPara>
        <m:oMathParaPr>
          <m:jc m:val="center"/>
        </m:oMathParaPr>
        <m:oMath>
          <m:sSub>
            <m:e>
              <m:r>
                <m:t>p</m:t>
              </m:r>
            </m:e>
            <m:sub>
              <m:r>
                <m:t>t</m:t>
              </m:r>
            </m:sub>
          </m:sSub>
          <m:r>
            <m:rPr>
              <m:sty m:val="p"/>
            </m:rPr>
            <m:t>=</m:t>
          </m:r>
          <m:r>
            <m:rPr>
              <m:sty m:val="p"/>
            </m:rPr>
            <m:t>∫</m:t>
          </m:r>
          <m:r>
            <m:rPr>
              <m:sty m:val="b"/>
            </m:rPr>
            <m:t>1</m:t>
          </m:r>
          <m:r>
            <m:rPr>
              <m:sty m:val="p"/>
            </m:rPr>
            <m:t>{</m:t>
          </m:r>
          <m:r>
            <m:t>y</m:t>
          </m:r>
          <m:r>
            <m:rPr>
              <m:sty m:val="p"/>
            </m:rPr>
            <m:t>∈</m:t>
          </m:r>
          <m:r>
            <m:rPr>
              <m:sty m:val="p"/>
              <m:scr m:val="script"/>
            </m:rPr>
            <m:t>S</m:t>
          </m:r>
          <m:r>
            <m:rPr>
              <m:sty m:val="p"/>
            </m:rPr>
            <m:t>}</m:t>
          </m:r>
          <m:r>
            <m:t>p</m:t>
          </m:r>
          <m:d>
            <m:dPr>
              <m:begChr m:val="("/>
              <m:sepChr m:val=""/>
              <m:endChr m:val=")"/>
              <m:grow/>
            </m:dPr>
            <m:e>
              <m:r>
                <m:t>y</m:t>
              </m:r>
              <m:r>
                <m:rPr>
                  <m:sty m:val="p"/>
                </m:rPr>
                <m:t>∣</m:t>
              </m:r>
              <m:sSub>
                <m:e>
                  <m:r>
                    <m:rPr>
                      <m:sty m:val="p"/>
                      <m:scr m:val="script"/>
                    </m:rPr>
                    <m:t>I</m:t>
                  </m:r>
                </m:e>
                <m:sub>
                  <m:r>
                    <m:t>t</m:t>
                  </m:r>
                </m:sub>
              </m:sSub>
            </m:e>
          </m:d>
          <m:r>
            <m:t> </m:t>
          </m:r>
          <m:r>
            <m:t>d</m:t>
          </m:r>
          <m:r>
            <m:t>y</m:t>
          </m:r>
        </m:oMath>
      </m:oMathPara>
    </w:p>
    <w:p>
      <w:pPr>
        <w:pStyle w:val="FirstParagraph"/>
      </w:pPr>
      <w:r>
        <w:t xml:space="preserve">Integrate uncertainty from:</w:t>
      </w:r>
    </w:p>
    <w:p>
      <w:pPr>
        <w:pStyle w:val="Compact"/>
        <w:numPr>
          <w:ilvl w:val="0"/>
          <w:numId w:val="1042"/>
        </w:numPr>
      </w:pPr>
      <w:r>
        <w:t xml:space="preserve">Remaining-day weather.</w:t>
      </w:r>
    </w:p>
    <w:p>
      <w:pPr>
        <w:pStyle w:val="Compact"/>
        <w:numPr>
          <w:ilvl w:val="0"/>
          <w:numId w:val="1042"/>
        </w:numPr>
      </w:pPr>
      <w:r>
        <w:t xml:space="preserve">Ensemble calibration.</w:t>
      </w:r>
    </w:p>
    <w:p>
      <w:pPr>
        <w:pStyle w:val="Compact"/>
        <w:numPr>
          <w:ilvl w:val="0"/>
          <w:numId w:val="1042"/>
        </w:numPr>
      </w:pPr>
      <w:r>
        <w:t xml:space="preserve">ERA5-to-oracle translation.</w:t>
      </w:r>
    </w:p>
    <w:p>
      <w:pPr>
        <w:pStyle w:val="Compact"/>
        <w:numPr>
          <w:ilvl w:val="0"/>
          <w:numId w:val="1042"/>
        </w:numPr>
      </w:pPr>
      <w:r>
        <w:t xml:space="preserve">Baseline conversion.</w:t>
      </w:r>
    </w:p>
    <w:p>
      <w:pPr>
        <w:pStyle w:val="Compact"/>
        <w:numPr>
          <w:ilvl w:val="0"/>
          <w:numId w:val="1042"/>
        </w:numPr>
      </w:pPr>
      <w:r>
        <w:t xml:space="preserve">Observation revisions.</w:t>
      </w:r>
    </w:p>
    <w:p>
      <w:pPr>
        <w:pStyle w:val="Compact"/>
        <w:numPr>
          <w:ilvl w:val="0"/>
          <w:numId w:val="1042"/>
        </w:numPr>
      </w:pPr>
      <w:r>
        <w:t xml:space="preserve">Model structural breaks.</w:t>
      </w:r>
    </w:p>
    <w:p>
      <w:pPr>
        <w:pStyle w:val="Compact"/>
        <w:numPr>
          <w:ilvl w:val="0"/>
          <w:numId w:val="1042"/>
        </w:numPr>
      </w:pPr>
      <w:r>
        <w:t xml:space="preserve">Rounding and settlement rules.</w:t>
      </w:r>
    </w:p>
    <w:p>
      <w:pPr>
        <w:pStyle w:val="Compact"/>
        <w:numPr>
          <w:ilvl w:val="0"/>
          <w:numId w:val="1042"/>
        </w:numPr>
      </w:pPr>
      <w:r>
        <w:t xml:space="preserve">Parameter uncertainty.</w:t>
      </w:r>
    </w:p>
    <w:p>
      <w:pPr>
        <w:pStyle w:val="Compact"/>
        <w:numPr>
          <w:ilvl w:val="0"/>
          <w:numId w:val="1042"/>
        </w:numPr>
      </w:pPr>
      <w:r>
        <w:t xml:space="preserve">Regime uncertainty.</w:t>
      </w:r>
    </w:p>
    <w:p>
      <w:pPr>
        <w:pStyle w:val="Compact"/>
        <w:numPr>
          <w:ilvl w:val="0"/>
          <w:numId w:val="1042"/>
        </w:numPr>
      </w:pPr>
      <w:r>
        <w:t xml:space="preserve">Data latency.</w:t>
      </w:r>
    </w:p>
    <w:p>
      <w:pPr>
        <w:pStyle w:val="FirstParagraph"/>
      </w:pPr>
      <w:r>
        <w:t xml:space="preserve">Do not use a plug-in point estimate when a posterior predictive distribution is required.</w:t>
      </w:r>
    </w:p>
    <w:bookmarkStart w:id="50" w:name="variance-collapse-schedule"/>
    <w:p>
      <w:pPr>
        <w:pStyle w:val="Heading2"/>
      </w:pPr>
      <w:r>
        <w:t xml:space="preserve">Variance-Collapse Schedule</w:t>
      </w:r>
    </w:p>
    <w:p>
      <w:pPr>
        <w:pStyle w:val="FirstParagraph"/>
      </w:pPr>
      <w:r>
        <w:t xml:space="preserve">Derive how uncertainty changes as observed days replace forecast days.</w:t>
      </w:r>
    </w:p>
    <w:p>
      <w:pPr>
        <w:pStyle w:val="BodyText"/>
      </w:pPr>
      <w:r>
        <w:t xml:space="preserve">If daily residuals have covariance matrix</w:t>
      </w:r>
      <w:r>
        <w:t xml:space="preserve"> </w:t>
      </w:r>
      <m:oMath>
        <m:sSub>
          <m:e>
            <m:r>
              <m:t>Σ</m:t>
            </m:r>
          </m:e>
          <m:sub>
            <m:r>
              <m:t>k</m:t>
            </m:r>
          </m:sub>
        </m:sSub>
      </m:oMath>
      <w:r>
        <w:t xml:space="preserve">:</w:t>
      </w:r>
    </w:p>
    <w:p>
      <w:pPr>
        <w:pStyle w:val="BodyText"/>
      </w:pPr>
      <w:r>
        <w:t xml:space="preserve">$$</w:t>
      </w:r>
      <w:r>
        <w:t xml:space="preserve"> </w:t>
      </w:r>
      <w:r>
        <w:t xml:space="preserve">(M</w:t>
      </w:r>
      <w:r>
        <w:t xml:space="preserve">_k)</w:t>
      </w:r>
      <w:r>
        <w:t xml:space="preserve"> </w:t>
      </w:r>
      <w:r>
        <w:t xml:space="preserve">=</w:t>
      </w:r>
      <w:r>
        <w:t xml:space="preserve"> </w:t>
      </w:r>
      <w:r>
        <w:t xml:space="preserve"> </w:t>
      </w:r>
      <w:r>
        <w:t xml:space="preserve">^</w:t>
      </w:r>
      <w:r>
        <w:t xml:space="preserve"> </w:t>
      </w:r>
      <w:r>
        <w:t xml:space="preserve">_k</w:t>
      </w:r>
      <w:r>
        <w:t xml:space="preserve"> </w:t>
      </w:r>
    </w:p>
    <w:p>
      <w:pPr>
        <w:numPr>
          <w:ilvl w:val="0"/>
          <w:numId w:val="1043"/>
        </w:numPr>
      </w:pPr>
      <w:r>
        <w:t xml:space="preserve">_{</w:t>
      </w:r>
      <w:r>
        <w:t xml:space="preserve">,k}^2</w:t>
      </w:r>
    </w:p>
    <w:p>
      <w:pPr>
        <w:numPr>
          <w:ilvl w:val="0"/>
          <w:numId w:val="1043"/>
        </w:numPr>
      </w:pPr>
      <w:r>
        <w:t xml:space="preserve">_{</w:t>
      </w:r>
      <w:r>
        <w:t xml:space="preserve">,k}^2</w:t>
      </w:r>
      <w:r>
        <w:t xml:space="preserve"> </w:t>
      </w:r>
      <w:r>
        <w:t xml:space="preserve">$$</w:t>
      </w:r>
    </w:p>
    <w:p>
      <w:pPr>
        <w:pStyle w:val="FirstParagraph"/>
      </w:pPr>
      <w:r>
        <w:t xml:space="preserve">Do not assume daily forecast errors are independent.</w:t>
      </w:r>
    </w:p>
    <w:p>
      <w:pPr>
        <w:pStyle w:val="BodyText"/>
      </w:pPr>
      <w:r>
        <w:t xml:space="preserve">With common pairwise correlation</w:t>
      </w:r>
      <w:r>
        <w:t xml:space="preserve"> </w:t>
      </w:r>
      <m:oMath>
        <m:r>
          <m:t>ρ</m:t>
        </m:r>
      </m:oMath>
      <w:r>
        <w:t xml:space="preserve"> </w:t>
      </w:r>
      <w:r>
        <w:t xml:space="preserve">and daily variance</w:t>
      </w:r>
      <w:r>
        <w:t xml:space="preserve"> </w:t>
      </w:r>
      <m:oMath>
        <m:sSup>
          <m:e>
            <m:r>
              <m:t>σ</m:t>
            </m:r>
          </m:e>
          <m:sup>
            <m:r>
              <m:t>2</m:t>
            </m:r>
          </m:sup>
        </m:sSup>
      </m:oMath>
      <w:r>
        <w:t xml:space="preserve"> </w:t>
      </w:r>
      <w:r>
        <w:t xml:space="preserve">across</w:t>
      </w:r>
      <w:r>
        <w:t xml:space="preserve"> </w:t>
      </w:r>
      <m:oMath>
        <m:r>
          <m:t>n</m:t>
        </m:r>
      </m:oMath>
      <w:r>
        <w:t xml:space="preserve"> </w:t>
      </w:r>
      <w:r>
        <w:t xml:space="preserve">remaining days:</w:t>
      </w:r>
    </w:p>
    <w:p>
      <w:pPr>
        <w:pStyle w:val="BodyText"/>
      </w:pPr>
      <w:r>
        <w:t xml:space="preserve">$$</w:t>
      </w:r>
      <w:r>
        <w:t xml:space="preserve"> </w:t>
      </w:r>
      <w:r>
        <w:t xml:space="preserve"> </w:t>
      </w:r>
      <w:r>
        <w:t xml:space="preserve">(</w:t>
      </w:r>
      <w:r>
        <w:t xml:space="preserve"> </w:t>
      </w:r>
      <w:r>
        <w:t xml:space="preserve">_{i=1}^{n}</w:t>
      </w:r>
      <w:r>
        <w:t xml:space="preserve">_i</w:t>
      </w:r>
      <w:r>
        <w:t xml:space="preserve"> </w:t>
      </w:r>
      <w:r>
        <w:t xml:space="preserve">)</w:t>
      </w:r>
      <w:r>
        <w:t xml:space="preserve"> </w:t>
      </w:r>
      <w:r>
        <w:t xml:space="preserve">=</w:t>
      </w:r>
      <w:r>
        <w:t xml:space="preserve"> </w:t>
      </w:r>
      <w:r>
        <w:t xml:space="preserve">n</w:t>
      </w:r>
      <w:r>
        <w:t xml:space="preserve">^2</w:t>
      </w:r>
    </w:p>
    <w:p>
      <w:pPr>
        <w:pStyle w:val="Compact"/>
        <w:numPr>
          <w:ilvl w:val="0"/>
          <w:numId w:val="1044"/>
        </w:numPr>
      </w:pPr>
      <w:r>
        <w:t xml:space="preserve">n(n-1)</w:t>
      </w:r>
      <w:r>
        <w:t xml:space="preserve">^2</w:t>
      </w:r>
      <w:r>
        <w:t xml:space="preserve"> </w:t>
      </w:r>
      <w:r>
        <w:t xml:space="preserve">$$</w:t>
      </w:r>
    </w:p>
    <w:p>
      <w:pPr>
        <w:pStyle w:val="FirstParagraph"/>
      </w:pPr>
      <w:r>
        <w:t xml:space="preserve">Quantify the effective sample size:</w:t>
      </w:r>
    </w:p>
    <w:p>
      <w:pPr>
        <w:pStyle w:val="BodyText"/>
      </w:pPr>
      <m:oMathPara>
        <m:oMathParaPr>
          <m:jc m:val="center"/>
        </m:oMathParaPr>
        <m:oMath>
          <m:sSub>
            <m:e>
              <m:r>
                <m:t>n</m:t>
              </m:r>
            </m:e>
            <m:sub>
              <m:r>
                <m:rPr>
                  <m:nor/>
                  <m:sty m:val="p"/>
                </m:rPr>
                <m:t>eff</m:t>
              </m:r>
            </m:sub>
          </m:sSub>
          <m:r>
            <m:rPr>
              <m:sty m:val="p"/>
            </m:rPr>
            <m:t>=</m:t>
          </m:r>
          <m:f>
            <m:fPr>
              <m:type m:val="bar"/>
            </m:fPr>
            <m:num>
              <m:r>
                <m:t>n</m:t>
              </m:r>
            </m:num>
            <m:den>
              <m:r>
                <m:t>1</m:t>
              </m:r>
              <m:r>
                <m:rPr>
                  <m:sty m:val="p"/>
                </m:rPr>
                <m:t>+</m:t>
              </m:r>
              <m:d>
                <m:dPr>
                  <m:begChr m:val="("/>
                  <m:sepChr m:val=""/>
                  <m:endChr m:val=")"/>
                  <m:grow/>
                </m:dPr>
                <m:e>
                  <m:r>
                    <m:t>n</m:t>
                  </m:r>
                  <m:r>
                    <m:rPr>
                      <m:sty m:val="p"/>
                    </m:rPr>
                    <m:t>−</m:t>
                  </m:r>
                  <m:r>
                    <m:t>1</m:t>
                  </m:r>
                </m:e>
              </m:d>
              <m:r>
                <m:t>ρ</m:t>
              </m:r>
            </m:den>
          </m:f>
        </m:oMath>
      </m:oMathPara>
    </w:p>
    <w:p>
      <w:pPr>
        <w:pStyle w:val="FirstParagraph"/>
      </w:pPr>
      <w:r>
        <w:t xml:space="preserve">Explain how persistent synoptic regimes prevent uncertainty from declining at the independent-day rate.</w:t>
      </w:r>
    </w:p>
    <w:p>
      <w:r>
        <w:pict>
          <v:rect style="width:0;height:1.5pt" o:hralign="center" o:hrstd="t" o:hr="t"/>
        </w:pict>
      </w:r>
    </w:p>
    <w:bookmarkEnd w:id="50"/>
    <w:bookmarkEnd w:id="51"/>
    <w:bookmarkStart w:id="52" w:name="atmospheric-regime-detection"/>
    <w:p>
      <w:pPr>
        <w:pStyle w:val="Heading1"/>
      </w:pPr>
      <w:r>
        <w:t xml:space="preserve">8. Atmospheric Regime Detection</w:t>
      </w:r>
    </w:p>
    <w:p>
      <w:pPr>
        <w:pStyle w:val="FirstParagraph"/>
      </w:pPr>
      <w:r>
        <w:t xml:space="preserve">Develop a Hidden Markov Model or Markov-switching model for latent weather regimes.</w:t>
      </w:r>
    </w:p>
    <w:p>
      <w:pPr>
        <w:pStyle w:val="BodyText"/>
      </w:pPr>
      <w:r>
        <w:t xml:space="preserve">Let:</w:t>
      </w:r>
    </w:p>
    <w:p>
      <w:pPr>
        <w:pStyle w:val="BodyText"/>
      </w:pPr>
      <m:oMathPara>
        <m:oMathParaPr>
          <m:jc m:val="center"/>
        </m:oMathParaPr>
        <m:oMath>
          <m:sSub>
            <m:e>
              <m:r>
                <m:t>S</m:t>
              </m:r>
            </m:e>
            <m:sub>
              <m:r>
                <m:t>t</m:t>
              </m:r>
            </m:sub>
          </m:sSub>
          <m:r>
            <m:rPr>
              <m:sty m:val="p"/>
            </m:rPr>
            <m:t>∈</m:t>
          </m:r>
          <m:r>
            <m:rPr>
              <m:sty m:val="p"/>
            </m:rPr>
            <m:t>{</m:t>
          </m:r>
          <m:r>
            <m:t>1</m:t>
          </m:r>
          <m:r>
            <m:rPr>
              <m:sty m:val="p"/>
            </m:rPr>
            <m:t>,</m:t>
          </m:r>
          <m:r>
            <m:rPr>
              <m:sty m:val="p"/>
            </m:rPr>
            <m:t>…</m:t>
          </m:r>
          <m:r>
            <m:rPr>
              <m:sty m:val="p"/>
            </m:rPr>
            <m:t>,</m:t>
          </m:r>
          <m:r>
            <m:t>K</m:t>
          </m:r>
          <m:r>
            <m:rPr>
              <m:sty m:val="p"/>
            </m:rPr>
            <m:t>}</m:t>
          </m:r>
        </m:oMath>
      </m:oMathPara>
    </w:p>
    <w:p>
      <w:pPr>
        <w:pStyle w:val="FirstParagraph"/>
      </w:pPr>
      <w:r>
        <w:t xml:space="preserve">represent states such as:</w:t>
      </w:r>
    </w:p>
    <w:p>
      <w:pPr>
        <w:pStyle w:val="Compact"/>
        <w:numPr>
          <w:ilvl w:val="0"/>
          <w:numId w:val="1045"/>
        </w:numPr>
      </w:pPr>
      <w:r>
        <w:t xml:space="preserve">Zonal flow.</w:t>
      </w:r>
    </w:p>
    <w:p>
      <w:pPr>
        <w:pStyle w:val="Compact"/>
        <w:numPr>
          <w:ilvl w:val="0"/>
          <w:numId w:val="1045"/>
        </w:numPr>
      </w:pPr>
      <w:r>
        <w:t xml:space="preserve">Blocking.</w:t>
      </w:r>
    </w:p>
    <w:p>
      <w:pPr>
        <w:pStyle w:val="Compact"/>
        <w:numPr>
          <w:ilvl w:val="0"/>
          <w:numId w:val="1045"/>
        </w:numPr>
      </w:pPr>
      <w:r>
        <w:t xml:space="preserve">Strong tropical warmth.</w:t>
      </w:r>
    </w:p>
    <w:p>
      <w:pPr>
        <w:pStyle w:val="Compact"/>
        <w:numPr>
          <w:ilvl w:val="0"/>
          <w:numId w:val="1045"/>
        </w:numPr>
      </w:pPr>
      <w:r>
        <w:t xml:space="preserve">Rapid forecast reversal.</w:t>
      </w:r>
    </w:p>
    <w:p>
      <w:pPr>
        <w:pStyle w:val="Compact"/>
        <w:numPr>
          <w:ilvl w:val="0"/>
          <w:numId w:val="1045"/>
        </w:numPr>
      </w:pPr>
      <w:r>
        <w:t xml:space="preserve">High land-temperature anomaly.</w:t>
      </w:r>
    </w:p>
    <w:p>
      <w:pPr>
        <w:pStyle w:val="Compact"/>
        <w:numPr>
          <w:ilvl w:val="0"/>
          <w:numId w:val="1045"/>
        </w:numPr>
      </w:pPr>
      <w:r>
        <w:t xml:space="preserve">High ocean-temperature anomaly.</w:t>
      </w:r>
    </w:p>
    <w:p>
      <w:pPr>
        <w:pStyle w:val="Compact"/>
        <w:numPr>
          <w:ilvl w:val="0"/>
          <w:numId w:val="1045"/>
        </w:numPr>
      </w:pPr>
      <w:r>
        <w:t xml:space="preserve">Forecast-disagreement regime.</w:t>
      </w:r>
    </w:p>
    <w:p>
      <w:pPr>
        <w:pStyle w:val="FirstParagraph"/>
      </w:pPr>
      <w:r>
        <w:t xml:space="preserve">State transitions satisfy:</w:t>
      </w:r>
    </w:p>
    <w:p>
      <w:pPr>
        <w:pStyle w:val="BodyText"/>
      </w:pPr>
      <m:oMathPara>
        <m:oMathParaPr>
          <m:jc m:val="center"/>
        </m:oMathParaPr>
        <m:oMath>
          <m:r>
            <m:rPr>
              <m:sty m:val="p"/>
            </m:rPr>
            <m:t>Pr</m:t>
          </m:r>
          <m:d>
            <m:dPr>
              <m:begChr m:val="("/>
              <m:sepChr m:val=""/>
              <m:endChr m:val=")"/>
              <m:grow/>
            </m:dPr>
            <m:e>
              <m:sSub>
                <m:e>
                  <m:r>
                    <m:t>S</m:t>
                  </m:r>
                </m:e>
                <m:sub>
                  <m:r>
                    <m:t>t</m:t>
                  </m:r>
                </m:sub>
              </m:sSub>
              <m:r>
                <m:rPr>
                  <m:sty m:val="p"/>
                </m:rPr>
                <m:t>=</m:t>
              </m:r>
              <m:r>
                <m:t>j</m:t>
              </m:r>
              <m:r>
                <m:rPr>
                  <m:sty m:val="p"/>
                </m:rPr>
                <m:t>∣</m:t>
              </m:r>
              <m:sSub>
                <m:e>
                  <m:r>
                    <m:t>S</m:t>
                  </m:r>
                </m:e>
                <m:sub>
                  <m:r>
                    <m:t>t</m:t>
                  </m:r>
                  <m:r>
                    <m:rPr>
                      <m:sty m:val="p"/>
                    </m:rPr>
                    <m:t>−</m:t>
                  </m:r>
                  <m:r>
                    <m:t>1</m:t>
                  </m:r>
                </m:sub>
              </m:sSub>
              <m:r>
                <m:rPr>
                  <m:sty m:val="p"/>
                </m:rPr>
                <m:t>=</m:t>
              </m:r>
              <m:r>
                <m:t>i</m:t>
              </m:r>
            </m:e>
          </m:d>
          <m:r>
            <m:rPr>
              <m:sty m:val="p"/>
            </m:rPr>
            <m:t>=</m:t>
          </m:r>
          <m:sSub>
            <m:e>
              <m:r>
                <m:t>P</m:t>
              </m:r>
            </m:e>
            <m:sub>
              <m:r>
                <m:t>i</m:t>
              </m:r>
              <m:r>
                <m:t>j</m:t>
              </m:r>
            </m:sub>
          </m:sSub>
        </m:oMath>
      </m:oMathPara>
    </w:p>
    <w:p>
      <w:pPr>
        <w:pStyle w:val="FirstParagraph"/>
      </w:pPr>
      <w:r>
        <w:t xml:space="preserve">Conditional forecast errors follow:</w:t>
      </w:r>
    </w:p>
    <w:p>
      <w:pPr>
        <w:pStyle w:val="BodyText"/>
      </w:pPr>
      <m:oMathPara>
        <m:oMathParaPr>
          <m:jc m:val="center"/>
        </m:oMathParaPr>
        <m:oMath>
          <m:sSub>
            <m:e>
              <m:r>
                <m:t>ε</m:t>
              </m:r>
            </m:e>
            <m:sub>
              <m:r>
                <m:t>t</m:t>
              </m:r>
            </m:sub>
          </m:sSub>
          <m:r>
            <m:rPr>
              <m:sty m:val="p"/>
            </m:rPr>
            <m:t>∣</m:t>
          </m:r>
          <m:sSub>
            <m:e>
              <m:r>
                <m:t>S</m:t>
              </m:r>
            </m:e>
            <m:sub>
              <m:r>
                <m:t>t</m:t>
              </m:r>
            </m:sub>
          </m:sSub>
          <m:r>
            <m:rPr>
              <m:sty m:val="p"/>
            </m:rPr>
            <m:t>=</m:t>
          </m:r>
          <m:r>
            <m:t>j</m:t>
          </m:r>
          <m:r>
            <m:rPr>
              <m:sty m:val="p"/>
            </m:rPr>
            <m:t>∼</m:t>
          </m:r>
          <m:r>
            <m:rPr>
              <m:sty m:val="p"/>
              <m:scr m:val="script"/>
            </m:rPr>
            <m:t>D</m:t>
          </m:r>
          <m:d>
            <m:dPr>
              <m:begChr m:val="("/>
              <m:sepChr m:val=""/>
              <m:endChr m:val=")"/>
              <m:grow/>
            </m:dPr>
            <m:e>
              <m:sSub>
                <m:e>
                  <m:r>
                    <m:t>μ</m:t>
                  </m:r>
                </m:e>
                <m:sub>
                  <m:r>
                    <m:t>j</m:t>
                  </m:r>
                </m:sub>
              </m:sSub>
              <m:r>
                <m:rPr>
                  <m:sty m:val="p"/>
                </m:rPr>
                <m:t>,</m:t>
              </m:r>
              <m:sSub>
                <m:e>
                  <m:r>
                    <m:t>σ</m:t>
                  </m:r>
                </m:e>
                <m:sub>
                  <m:r>
                    <m:t>j</m:t>
                  </m:r>
                </m:sub>
              </m:sSub>
              <m:r>
                <m:rPr>
                  <m:sty m:val="p"/>
                </m:rPr>
                <m:t>,</m:t>
              </m:r>
              <m:sSub>
                <m:e>
                  <m:r>
                    <m:t>ν</m:t>
                  </m:r>
                </m:e>
                <m:sub>
                  <m:r>
                    <m:t>j</m:t>
                  </m:r>
                </m:sub>
              </m:sSub>
            </m:e>
          </m:d>
        </m:oMath>
      </m:oMathPara>
    </w:p>
    <w:p>
      <w:pPr>
        <w:pStyle w:val="FirstParagraph"/>
      </w:pPr>
      <w:r>
        <w:t xml:space="preserve">where</w:t>
      </w:r>
      <w:r>
        <w:t xml:space="preserve"> </w:t>
      </w:r>
      <m:oMath>
        <m:r>
          <m:rPr>
            <m:sty m:val="p"/>
            <m:scr m:val="script"/>
          </m:rPr>
          <m:t>D</m:t>
        </m:r>
      </m:oMath>
      <w:r>
        <w:t xml:space="preserve"> </w:t>
      </w:r>
      <w:r>
        <w:t xml:space="preserve">may be Gaussian, skew-</w:t>
      </w:r>
      <m:oMath>
        <m:r>
          <m:t>t</m:t>
        </m:r>
      </m:oMath>
      <w:r>
        <w:t xml:space="preserve">, or Student-</w:t>
      </w:r>
      <m:oMath>
        <m:r>
          <m:t>t</m:t>
        </m:r>
      </m:oMath>
      <w:r>
        <w:t xml:space="preserve">.</w:t>
      </w:r>
    </w:p>
    <w:p>
      <w:pPr>
        <w:pStyle w:val="BodyText"/>
      </w:pPr>
      <w:r>
        <w:t xml:space="preserve">Use explanatory variables such as:</w:t>
      </w:r>
    </w:p>
    <w:p>
      <w:pPr>
        <w:pStyle w:val="Compact"/>
        <w:numPr>
          <w:ilvl w:val="0"/>
          <w:numId w:val="1046"/>
        </w:numPr>
      </w:pPr>
      <w:r>
        <w:t xml:space="preserve">500-hPa geopotential-height patterns.</w:t>
      </w:r>
    </w:p>
    <w:p>
      <w:pPr>
        <w:pStyle w:val="Compact"/>
        <w:numPr>
          <w:ilvl w:val="0"/>
          <w:numId w:val="1046"/>
        </w:numPr>
      </w:pPr>
      <w:r>
        <w:t xml:space="preserve">Blocking indices.</w:t>
      </w:r>
    </w:p>
    <w:p>
      <w:pPr>
        <w:pStyle w:val="Compact"/>
        <w:numPr>
          <w:ilvl w:val="0"/>
          <w:numId w:val="1046"/>
        </w:numPr>
      </w:pPr>
      <w:r>
        <w:t xml:space="preserve">NAO.</w:t>
      </w:r>
    </w:p>
    <w:p>
      <w:pPr>
        <w:pStyle w:val="Compact"/>
        <w:numPr>
          <w:ilvl w:val="0"/>
          <w:numId w:val="1046"/>
        </w:numPr>
      </w:pPr>
      <w:r>
        <w:t xml:space="preserve">AO.</w:t>
      </w:r>
    </w:p>
    <w:p>
      <w:pPr>
        <w:pStyle w:val="Compact"/>
        <w:numPr>
          <w:ilvl w:val="0"/>
          <w:numId w:val="1046"/>
        </w:numPr>
      </w:pPr>
      <w:r>
        <w:t xml:space="preserve">PNA.</w:t>
      </w:r>
    </w:p>
    <w:p>
      <w:pPr>
        <w:pStyle w:val="Compact"/>
        <w:numPr>
          <w:ilvl w:val="0"/>
          <w:numId w:val="1046"/>
        </w:numPr>
      </w:pPr>
      <w:r>
        <w:t xml:space="preserve">MJO.</w:t>
      </w:r>
    </w:p>
    <w:p>
      <w:pPr>
        <w:pStyle w:val="Compact"/>
        <w:numPr>
          <w:ilvl w:val="0"/>
          <w:numId w:val="1046"/>
        </w:numPr>
      </w:pPr>
      <w:r>
        <w:t xml:space="preserve">ENSO.</w:t>
      </w:r>
    </w:p>
    <w:p>
      <w:pPr>
        <w:pStyle w:val="Compact"/>
        <w:numPr>
          <w:ilvl w:val="0"/>
          <w:numId w:val="1046"/>
        </w:numPr>
      </w:pPr>
      <w:r>
        <w:t xml:space="preserve">Global SST state.</w:t>
      </w:r>
    </w:p>
    <w:p>
      <w:pPr>
        <w:pStyle w:val="Compact"/>
        <w:numPr>
          <w:ilvl w:val="0"/>
          <w:numId w:val="1046"/>
        </w:numPr>
      </w:pPr>
      <w:r>
        <w:t xml:space="preserve">Soil-moisture anomalies.</w:t>
      </w:r>
    </w:p>
    <w:p>
      <w:pPr>
        <w:pStyle w:val="Compact"/>
        <w:numPr>
          <w:ilvl w:val="0"/>
          <w:numId w:val="1046"/>
        </w:numPr>
      </w:pPr>
      <w:r>
        <w:t xml:space="preserve">Sea-ice anomalies.</w:t>
      </w:r>
    </w:p>
    <w:p>
      <w:pPr>
        <w:pStyle w:val="Compact"/>
        <w:numPr>
          <w:ilvl w:val="0"/>
          <w:numId w:val="1046"/>
        </w:numPr>
      </w:pPr>
      <w:r>
        <w:t xml:space="preserve">Forecast spread.</w:t>
      </w:r>
    </w:p>
    <w:p>
      <w:pPr>
        <w:pStyle w:val="Compact"/>
        <w:numPr>
          <w:ilvl w:val="0"/>
          <w:numId w:val="1046"/>
        </w:numPr>
      </w:pPr>
      <w:r>
        <w:t xml:space="preserve">Forecast-cycle disagreement.</w:t>
      </w:r>
    </w:p>
    <w:p>
      <w:pPr>
        <w:pStyle w:val="FirstParagraph"/>
      </w:pPr>
      <w:r>
        <w:t xml:space="preserve">Show how regime probabilities alter the posterior:</w:t>
      </w:r>
    </w:p>
    <w:p>
      <w:pPr>
        <w:pStyle w:val="BodyText"/>
      </w:pPr>
      <m:oMathPara>
        <m:oMathParaPr>
          <m:jc m:val="center"/>
        </m:oMathParaPr>
        <m:oMath>
          <m:r>
            <m:t>p</m:t>
          </m:r>
          <m:d>
            <m:dPr>
              <m:begChr m:val="("/>
              <m:sepChr m:val=""/>
              <m:endChr m:val=")"/>
              <m:grow/>
            </m:dPr>
            <m:e>
              <m:sSub>
                <m:e>
                  <m:r>
                    <m:t>Y</m:t>
                  </m:r>
                </m:e>
                <m:sub>
                  <m:r>
                    <m:t>T</m:t>
                  </m:r>
                </m:sub>
              </m:sSub>
              <m:r>
                <m:rPr>
                  <m:sty m:val="p"/>
                </m:rPr>
                <m:t>∣</m:t>
              </m:r>
              <m:sSub>
                <m:e>
                  <m:r>
                    <m:rPr>
                      <m:sty m:val="p"/>
                      <m:scr m:val="script"/>
                    </m:rPr>
                    <m:t>I</m:t>
                  </m:r>
                </m:e>
                <m:sub>
                  <m:r>
                    <m:t>t</m:t>
                  </m:r>
                </m:sub>
              </m:sSub>
            </m:e>
          </m:d>
          <m:r>
            <m:rPr>
              <m:sty m:val="p"/>
            </m:rPr>
            <m:t>=</m:t>
          </m:r>
          <m:nary>
            <m:naryPr>
              <m:chr m:val="∑"/>
              <m:limLoc m:val="undOvr"/>
              <m:subHide m:val="off"/>
              <m:supHide m:val="off"/>
            </m:naryPr>
            <m:sub>
              <m:r>
                <m:t>j</m:t>
              </m:r>
              <m:r>
                <m:rPr>
                  <m:sty m:val="p"/>
                </m:rPr>
                <m:t>=</m:t>
              </m:r>
              <m:r>
                <m:t>1</m:t>
              </m:r>
            </m:sub>
            <m:sup>
              <m:r>
                <m:t>K</m:t>
              </m:r>
            </m:sup>
            <m:e>
              <m:r>
                <m:t>p</m:t>
              </m:r>
            </m:e>
          </m:nary>
          <m:d>
            <m:dPr>
              <m:begChr m:val="("/>
              <m:sepChr m:val=""/>
              <m:endChr m:val=")"/>
              <m:grow/>
            </m:dPr>
            <m:e>
              <m:sSub>
                <m:e>
                  <m:r>
                    <m:t>Y</m:t>
                  </m:r>
                </m:e>
                <m:sub>
                  <m:r>
                    <m:t>T</m:t>
                  </m:r>
                </m:sub>
              </m:sSub>
              <m:r>
                <m:rPr>
                  <m:sty m:val="p"/>
                </m:rPr>
                <m:t>∣</m:t>
              </m:r>
              <m:sSub>
                <m:e>
                  <m:r>
                    <m:t>S</m:t>
                  </m:r>
                </m:e>
                <m:sub>
                  <m:r>
                    <m:t>t</m:t>
                  </m:r>
                </m:sub>
              </m:sSub>
              <m:r>
                <m:rPr>
                  <m:sty m:val="p"/>
                </m:rPr>
                <m:t>=</m:t>
              </m:r>
              <m:r>
                <m:t>j</m:t>
              </m:r>
              <m:r>
                <m:rPr>
                  <m:sty m:val="p"/>
                </m:rPr>
                <m:t>,</m:t>
              </m:r>
              <m:sSub>
                <m:e>
                  <m:r>
                    <m:rPr>
                      <m:sty m:val="p"/>
                      <m:scr m:val="script"/>
                    </m:rPr>
                    <m:t>I</m:t>
                  </m:r>
                </m:e>
                <m:sub>
                  <m:r>
                    <m:t>t</m:t>
                  </m:r>
                </m:sub>
              </m:sSub>
            </m:e>
          </m:d>
          <m:r>
            <m:rPr>
              <m:sty m:val="p"/>
            </m:rPr>
            <m:t>Pr</m:t>
          </m:r>
          <m:d>
            <m:dPr>
              <m:begChr m:val="("/>
              <m:sepChr m:val=""/>
              <m:endChr m:val=")"/>
              <m:grow/>
            </m:dPr>
            <m:e>
              <m:sSub>
                <m:e>
                  <m:r>
                    <m:t>S</m:t>
                  </m:r>
                </m:e>
                <m:sub>
                  <m:r>
                    <m:t>t</m:t>
                  </m:r>
                </m:sub>
              </m:sSub>
              <m:r>
                <m:rPr>
                  <m:sty m:val="p"/>
                </m:rPr>
                <m:t>=</m:t>
              </m:r>
              <m:r>
                <m:t>j</m:t>
              </m:r>
              <m:r>
                <m:rPr>
                  <m:sty m:val="p"/>
                </m:rPr>
                <m:t>∣</m:t>
              </m:r>
              <m:sSub>
                <m:e>
                  <m:r>
                    <m:rPr>
                      <m:sty m:val="p"/>
                      <m:scr m:val="script"/>
                    </m:rPr>
                    <m:t>I</m:t>
                  </m:r>
                </m:e>
                <m:sub>
                  <m:r>
                    <m:t>t</m:t>
                  </m:r>
                </m:sub>
              </m:sSub>
            </m:e>
          </m:d>
        </m:oMath>
      </m:oMathPara>
    </w:p>
    <w:p>
      <w:pPr>
        <w:pStyle w:val="FirstParagraph"/>
      </w:pPr>
      <w:r>
        <w:t xml:space="preserve">Compare HMM performance against:</w:t>
      </w:r>
    </w:p>
    <w:p>
      <w:pPr>
        <w:pStyle w:val="Compact"/>
        <w:numPr>
          <w:ilvl w:val="0"/>
          <w:numId w:val="1047"/>
        </w:numPr>
      </w:pPr>
      <w:r>
        <w:t xml:space="preserve">Change-point detection.</w:t>
      </w:r>
    </w:p>
    <w:p>
      <w:pPr>
        <w:pStyle w:val="Compact"/>
        <w:numPr>
          <w:ilvl w:val="0"/>
          <w:numId w:val="1047"/>
        </w:numPr>
      </w:pPr>
      <w:r>
        <w:t xml:space="preserve">Bayesian online change-point detection.</w:t>
      </w:r>
    </w:p>
    <w:p>
      <w:pPr>
        <w:pStyle w:val="Compact"/>
        <w:numPr>
          <w:ilvl w:val="0"/>
          <w:numId w:val="1047"/>
        </w:numPr>
      </w:pPr>
      <w:r>
        <w:t xml:space="preserve">Switching autoregressions.</w:t>
      </w:r>
    </w:p>
    <w:p>
      <w:pPr>
        <w:pStyle w:val="Compact"/>
        <w:numPr>
          <w:ilvl w:val="0"/>
          <w:numId w:val="1047"/>
        </w:numPr>
      </w:pPr>
      <w:r>
        <w:t xml:space="preserve">Clustering of circulation fields.</w:t>
      </w:r>
    </w:p>
    <w:p>
      <w:pPr>
        <w:pStyle w:val="Compact"/>
        <w:numPr>
          <w:ilvl w:val="0"/>
          <w:numId w:val="1047"/>
        </w:numPr>
      </w:pPr>
      <w:r>
        <w:t xml:space="preserve">Regime-conditioned ensemble calibration.</w:t>
      </w:r>
    </w:p>
    <w:p>
      <w:r>
        <w:pict>
          <v:rect style="width:0;height:1.5pt" o:hralign="center" o:hrstd="t" o:hr="t"/>
        </w:pict>
      </w:r>
    </w:p>
    <w:bookmarkEnd w:id="52"/>
    <w:bookmarkStart w:id="57" w:name="tail-modeling-and-extreme-climate-risk"/>
    <w:p>
      <w:pPr>
        <w:pStyle w:val="Heading1"/>
      </w:pPr>
      <w:r>
        <w:t xml:space="preserve">9. Tail Modeling and Extreme Climate Risk</w:t>
      </w:r>
    </w:p>
    <w:p>
      <w:pPr>
        <w:pStyle w:val="FirstParagraph"/>
      </w:pPr>
      <w:r>
        <w:t xml:space="preserve">Do not assume Gaussian residuals without empirical validation.</w:t>
      </w:r>
    </w:p>
    <w:bookmarkStart w:id="53" w:name="a.-peaks-over-threshold"/>
    <w:p>
      <w:pPr>
        <w:pStyle w:val="Heading2"/>
      </w:pPr>
      <w:r>
        <w:t xml:space="preserve">A. Peaks Over Threshold</w:t>
      </w:r>
    </w:p>
    <w:p>
      <w:pPr>
        <w:pStyle w:val="FirstParagraph"/>
      </w:pPr>
      <w:r>
        <w:t xml:space="preserve">For excesses above threshold</w:t>
      </w:r>
      <w:r>
        <w:t xml:space="preserve"> </w:t>
      </w:r>
      <m:oMath>
        <m:r>
          <m:t>u</m:t>
        </m:r>
      </m:oMath>
      <w:r>
        <w:t xml:space="preserve">:</w:t>
      </w:r>
    </w:p>
    <w:p>
      <w:pPr>
        <w:pStyle w:val="BodyText"/>
      </w:pPr>
      <m:oMathPara>
        <m:oMathParaPr>
          <m:jc m:val="center"/>
        </m:oMathParaPr>
        <m:oMath>
          <m:r>
            <m:t>Z</m:t>
          </m:r>
          <m:r>
            <m:rPr>
              <m:sty m:val="p"/>
            </m:rPr>
            <m:t>=</m:t>
          </m:r>
          <m:r>
            <m:t>X</m:t>
          </m:r>
          <m:r>
            <m:rPr>
              <m:sty m:val="p"/>
            </m:rPr>
            <m:t>−</m:t>
          </m:r>
          <m:r>
            <m:t>u</m:t>
          </m:r>
          <m:r>
            <m:rPr>
              <m:sty m:val="p"/>
            </m:rPr>
            <m:t>∣</m:t>
          </m:r>
          <m:r>
            <m:t>X</m:t>
          </m:r>
          <m:r>
            <m:rPr>
              <m:sty m:val="p"/>
            </m:rPr>
            <m:t>&gt;</m:t>
          </m:r>
          <m:r>
            <m:t>u</m:t>
          </m:r>
        </m:oMath>
      </m:oMathPara>
    </w:p>
    <w:p>
      <w:pPr>
        <w:pStyle w:val="FirstParagraph"/>
      </w:pPr>
      <w:r>
        <w:t xml:space="preserve">model:</w:t>
      </w:r>
    </w:p>
    <w:p>
      <w:pPr>
        <w:pStyle w:val="BodyText"/>
      </w:pPr>
      <m:oMathPara>
        <m:oMathParaPr>
          <m:jc m:val="center"/>
        </m:oMathParaPr>
        <m:oMath>
          <m:r>
            <m:rPr>
              <m:sty m:val="p"/>
            </m:rPr>
            <m:t>Pr</m:t>
          </m:r>
          <m:d>
            <m:dPr>
              <m:begChr m:val="("/>
              <m:sepChr m:val=""/>
              <m:endChr m:val=")"/>
              <m:grow/>
            </m:dPr>
            <m:e>
              <m:r>
                <m:t>Z</m:t>
              </m:r>
              <m:r>
                <m:rPr>
                  <m:sty m:val="p"/>
                </m:rPr>
                <m:t>≤</m:t>
              </m:r>
              <m:r>
                <m:t>z</m:t>
              </m:r>
            </m:e>
          </m:d>
          <m:r>
            <m:rPr>
              <m:sty m:val="p"/>
            </m:rPr>
            <m:t>=</m:t>
          </m:r>
          <m:r>
            <m:t>1</m:t>
          </m:r>
          <m:r>
            <m:rPr>
              <m:sty m:val="p"/>
            </m:rPr>
            <m:t>−</m:t>
          </m:r>
          <m:sSup>
            <m:e>
              <m:d>
                <m:dPr>
                  <m:begChr m:val="("/>
                  <m:sepChr m:val=""/>
                  <m:endChr m:val=")"/>
                  <m:grow/>
                </m:dPr>
                <m:e>
                  <m:r>
                    <m:t>1</m:t>
                  </m:r>
                  <m:r>
                    <m:rPr>
                      <m:sty m:val="p"/>
                    </m:rPr>
                    <m:t>+</m:t>
                  </m:r>
                  <m:r>
                    <m:t>ξ</m:t>
                  </m:r>
                  <m:f>
                    <m:fPr>
                      <m:type m:val="bar"/>
                    </m:fPr>
                    <m:num>
                      <m:r>
                        <m:t>z</m:t>
                      </m:r>
                    </m:num>
                    <m:den>
                      <m:r>
                        <m:t>β</m:t>
                      </m:r>
                    </m:den>
                  </m:f>
                </m:e>
              </m:d>
            </m:e>
            <m:sup>
              <m:r>
                <m:rPr>
                  <m:sty m:val="p"/>
                </m:rPr>
                <m:t>−</m:t>
              </m:r>
              <m:r>
                <m:t>1</m:t>
              </m:r>
              <m:r>
                <m:rPr>
                  <m:sty m:val="p"/>
                </m:rPr>
                <m:t>/</m:t>
              </m:r>
              <m:r>
                <m:t>ξ</m:t>
              </m:r>
            </m:sup>
          </m:sSup>
        </m:oMath>
      </m:oMathPara>
    </w:p>
    <w:p>
      <w:pPr>
        <w:pStyle w:val="FirstParagraph"/>
      </w:pPr>
      <w:r>
        <w:t xml:space="preserve">subject to:</w:t>
      </w:r>
    </w:p>
    <w:p>
      <w:pPr>
        <w:pStyle w:val="BodyText"/>
      </w:pPr>
      <m:oMathPara>
        <m:oMathParaPr>
          <m:jc m:val="center"/>
        </m:oMathParaPr>
        <m:oMath>
          <m:r>
            <m:t>1</m:t>
          </m:r>
          <m:r>
            <m:rPr>
              <m:sty m:val="p"/>
            </m:rPr>
            <m:t>+</m:t>
          </m:r>
          <m:r>
            <m:t>ξ</m:t>
          </m:r>
          <m:f>
            <m:fPr>
              <m:type m:val="bar"/>
            </m:fPr>
            <m:num>
              <m:r>
                <m:t>z</m:t>
              </m:r>
            </m:num>
            <m:den>
              <m:r>
                <m:t>β</m:t>
              </m:r>
            </m:den>
          </m:f>
          <m:r>
            <m:rPr>
              <m:sty m:val="p"/>
            </m:rPr>
            <m:t>&gt;</m:t>
          </m:r>
          <m:r>
            <m:t>0</m:t>
          </m:r>
        </m:oMath>
      </m:oMathPara>
    </w:p>
    <w:p>
      <w:pPr>
        <w:pStyle w:val="FirstParagraph"/>
      </w:pPr>
      <w:r>
        <w:t xml:space="preserve">Estimate uncertainty in shape parameter</w:t>
      </w:r>
      <w:r>
        <w:t xml:space="preserve"> </w:t>
      </w:r>
      <m:oMath>
        <m:r>
          <m:t>ξ</m:t>
        </m:r>
      </m:oMath>
      <w:r>
        <w:t xml:space="preserve">, scale</w:t>
      </w:r>
      <w:r>
        <w:t xml:space="preserve"> </w:t>
      </w:r>
      <m:oMath>
        <m:r>
          <m:t>β</m:t>
        </m:r>
      </m:oMath>
      <w:r>
        <w:t xml:space="preserve">, and threshold</w:t>
      </w:r>
      <w:r>
        <w:t xml:space="preserve"> </w:t>
      </w:r>
      <m:oMath>
        <m:r>
          <m:t>u</m:t>
        </m:r>
      </m:oMath>
      <w:r>
        <w:t xml:space="preserve">.</w:t>
      </w:r>
    </w:p>
    <w:p>
      <w:pPr>
        <w:pStyle w:val="BodyText"/>
      </w:pPr>
      <w:r>
        <w:t xml:space="preserve">Use:</w:t>
      </w:r>
    </w:p>
    <w:p>
      <w:pPr>
        <w:pStyle w:val="Compact"/>
        <w:numPr>
          <w:ilvl w:val="0"/>
          <w:numId w:val="1048"/>
        </w:numPr>
      </w:pPr>
      <w:r>
        <w:t xml:space="preserve">Mean residual life plots.</w:t>
      </w:r>
    </w:p>
    <w:p>
      <w:pPr>
        <w:pStyle w:val="Compact"/>
        <w:numPr>
          <w:ilvl w:val="0"/>
          <w:numId w:val="1048"/>
        </w:numPr>
      </w:pPr>
      <w:r>
        <w:t xml:space="preserve">Parameter-stability plots.</w:t>
      </w:r>
    </w:p>
    <w:p>
      <w:pPr>
        <w:pStyle w:val="Compact"/>
        <w:numPr>
          <w:ilvl w:val="0"/>
          <w:numId w:val="1048"/>
        </w:numPr>
      </w:pPr>
      <w:r>
        <w:t xml:space="preserve">Threshold sensitivity.</w:t>
      </w:r>
    </w:p>
    <w:p>
      <w:pPr>
        <w:pStyle w:val="Compact"/>
        <w:numPr>
          <w:ilvl w:val="0"/>
          <w:numId w:val="1048"/>
        </w:numPr>
      </w:pPr>
      <w:r>
        <w:t xml:space="preserve">Profile likelihood.</w:t>
      </w:r>
    </w:p>
    <w:p>
      <w:pPr>
        <w:pStyle w:val="Compact"/>
        <w:numPr>
          <w:ilvl w:val="0"/>
          <w:numId w:val="1048"/>
        </w:numPr>
      </w:pPr>
      <w:r>
        <w:t xml:space="preserve">Bayesian posterior intervals.</w:t>
      </w:r>
    </w:p>
    <w:bookmarkEnd w:id="53"/>
    <w:bookmarkStart w:id="54" w:name="b.-block-maxima"/>
    <w:p>
      <w:pPr>
        <w:pStyle w:val="Heading2"/>
      </w:pPr>
      <w:r>
        <w:t xml:space="preserve">B. Block Maxima</w:t>
      </w:r>
    </w:p>
    <w:p>
      <w:pPr>
        <w:pStyle w:val="FirstParagraph"/>
      </w:pPr>
      <w:r>
        <w:t xml:space="preserve">For block maxima:</w:t>
      </w:r>
    </w:p>
    <w:p>
      <w:pPr>
        <w:pStyle w:val="BodyText"/>
      </w:pPr>
      <w:r>
        <w:t xml:space="preserve">$$</w:t>
      </w:r>
      <w:r>
        <w:t xml:space="preserve"> </w:t>
      </w:r>
      <w:r>
        <w:t xml:space="preserve">G(z)</w:t>
      </w:r>
      <w:r>
        <w:t xml:space="preserve"> </w:t>
      </w:r>
      <w:r>
        <w:t xml:space="preserve">=</w:t>
      </w:r>
      <w:r>
        <w:t xml:space="preserve"> </w:t>
      </w:r>
      <w:r>
        <w:t xml:space="preserve"> </w:t>
      </w:r>
      <w:r>
        <w:t xml:space="preserve">{</w:t>
      </w:r>
    </w:p>
    <w:p>
      <w:pPr>
        <w:pStyle w:val="Compact"/>
        <w:numPr>
          <w:ilvl w:val="0"/>
          <w:numId w:val="1049"/>
        </w:numPr>
      </w:pPr>
      <w:r>
        <w:t xml:space="preserve">^{-1/</w:t>
      </w:r>
      <w:r>
        <w:t xml:space="preserve">}</w:t>
      </w:r>
      <w:r>
        <w:t xml:space="preserve"> </w:t>
      </w:r>
      <w:r>
        <w:t xml:space="preserve">}</w:t>
      </w:r>
      <w:r>
        <w:t xml:space="preserve"> </w:t>
      </w:r>
      <w:r>
        <w:t xml:space="preserve">$$</w:t>
      </w:r>
    </w:p>
    <w:p>
      <w:pPr>
        <w:pStyle w:val="FirstParagraph"/>
      </w:pPr>
      <w:r>
        <w:t xml:space="preserve">Explain whether block-maxima GEV is appropriate for the target or whether peaks-over-threshold methods provide more information.</w:t>
      </w:r>
    </w:p>
    <w:bookmarkEnd w:id="54"/>
    <w:bookmarkStart w:id="55" w:name="c.-heavy-tailed-predictive-errors"/>
    <w:p>
      <w:pPr>
        <w:pStyle w:val="Heading2"/>
      </w:pPr>
      <w:r>
        <w:t xml:space="preserve">C. Heavy-Tailed Predictive Errors</w:t>
      </w:r>
    </w:p>
    <w:p>
      <w:pPr>
        <w:pStyle w:val="FirstParagraph"/>
      </w:pPr>
      <w:r>
        <w:t xml:space="preserve">Compare:</w:t>
      </w:r>
    </w:p>
    <w:p>
      <w:pPr>
        <w:pStyle w:val="Compact"/>
        <w:numPr>
          <w:ilvl w:val="0"/>
          <w:numId w:val="1050"/>
        </w:numPr>
      </w:pPr>
      <w:r>
        <w:t xml:space="preserve">Gaussian.</w:t>
      </w:r>
    </w:p>
    <w:p>
      <w:pPr>
        <w:pStyle w:val="Compact"/>
        <w:numPr>
          <w:ilvl w:val="0"/>
          <w:numId w:val="1050"/>
        </w:numPr>
      </w:pPr>
      <w:r>
        <w:t xml:space="preserve">Student-</w:t>
      </w:r>
      <m:oMath>
        <m:r>
          <m:t>t</m:t>
        </m:r>
      </m:oMath>
      <w:r>
        <w:t xml:space="preserve">.</w:t>
      </w:r>
    </w:p>
    <w:p>
      <w:pPr>
        <w:pStyle w:val="Compact"/>
        <w:numPr>
          <w:ilvl w:val="0"/>
          <w:numId w:val="1050"/>
        </w:numPr>
      </w:pPr>
      <w:r>
        <w:t xml:space="preserve">Skew-</w:t>
      </w:r>
      <m:oMath>
        <m:r>
          <m:t>t</m:t>
        </m:r>
      </m:oMath>
      <w:r>
        <w:t xml:space="preserve">.</w:t>
      </w:r>
    </w:p>
    <w:p>
      <w:pPr>
        <w:pStyle w:val="Compact"/>
        <w:numPr>
          <w:ilvl w:val="0"/>
          <w:numId w:val="1050"/>
        </w:numPr>
      </w:pPr>
      <w:r>
        <w:t xml:space="preserve">Generalized error.</w:t>
      </w:r>
    </w:p>
    <w:p>
      <w:pPr>
        <w:pStyle w:val="Compact"/>
        <w:numPr>
          <w:ilvl w:val="0"/>
          <w:numId w:val="1050"/>
        </w:numPr>
      </w:pPr>
      <w:r>
        <w:t xml:space="preserve">Gaussian mixtures.</w:t>
      </w:r>
    </w:p>
    <w:p>
      <w:pPr>
        <w:pStyle w:val="Compact"/>
        <w:numPr>
          <w:ilvl w:val="0"/>
          <w:numId w:val="1050"/>
        </w:numPr>
      </w:pPr>
      <w:r>
        <w:t xml:space="preserve">Generalized Pareto tails.</w:t>
      </w:r>
    </w:p>
    <w:p>
      <w:pPr>
        <w:pStyle w:val="FirstParagraph"/>
      </w:pPr>
      <w:r>
        <w:t xml:space="preserve">Use posterior predictive checks to determine whether the selected model reproduces observed right-tail frequency.</w:t>
      </w:r>
    </w:p>
    <w:bookmarkEnd w:id="55"/>
    <w:bookmarkStart w:id="56" w:name="d.-copula-dependence"/>
    <w:p>
      <w:pPr>
        <w:pStyle w:val="Heading2"/>
      </w:pPr>
      <w:r>
        <w:t xml:space="preserve">D. Copula Dependence</w:t>
      </w:r>
    </w:p>
    <w:p>
      <w:pPr>
        <w:pStyle w:val="FirstParagraph"/>
      </w:pPr>
      <w:r>
        <w:t xml:space="preserve">Model dependence among:</w:t>
      </w:r>
    </w:p>
    <w:p>
      <w:pPr>
        <w:pStyle w:val="Compact"/>
        <w:numPr>
          <w:ilvl w:val="0"/>
          <w:numId w:val="1051"/>
        </w:numPr>
      </w:pPr>
      <w:r>
        <w:t xml:space="preserve">ERA5 error.</w:t>
      </w:r>
    </w:p>
    <w:p>
      <w:pPr>
        <w:pStyle w:val="Compact"/>
        <w:numPr>
          <w:ilvl w:val="0"/>
          <w:numId w:val="1051"/>
        </w:numPr>
      </w:pPr>
      <w:r>
        <w:t xml:space="preserve">NOAA translation error.</w:t>
      </w:r>
    </w:p>
    <w:p>
      <w:pPr>
        <w:pStyle w:val="Compact"/>
        <w:numPr>
          <w:ilvl w:val="0"/>
          <w:numId w:val="1051"/>
        </w:numPr>
      </w:pPr>
      <w:r>
        <w:t xml:space="preserve">Forecast error.</w:t>
      </w:r>
    </w:p>
    <w:p>
      <w:pPr>
        <w:pStyle w:val="Compact"/>
        <w:numPr>
          <w:ilvl w:val="0"/>
          <w:numId w:val="1051"/>
        </w:numPr>
      </w:pPr>
      <w:r>
        <w:t xml:space="preserve">Spatial-region anomalies.</w:t>
      </w:r>
    </w:p>
    <w:p>
      <w:pPr>
        <w:pStyle w:val="Compact"/>
        <w:numPr>
          <w:ilvl w:val="0"/>
          <w:numId w:val="1051"/>
        </w:numPr>
      </w:pPr>
      <w:r>
        <w:t xml:space="preserve">Successive forecast cycles.</w:t>
      </w:r>
    </w:p>
    <w:p>
      <w:pPr>
        <w:pStyle w:val="Compact"/>
        <w:numPr>
          <w:ilvl w:val="0"/>
          <w:numId w:val="1051"/>
        </w:numPr>
      </w:pPr>
      <w:r>
        <w:t xml:space="preserve">Multiple climate contracts.</w:t>
      </w:r>
    </w:p>
    <w:p>
      <w:pPr>
        <w:pStyle w:val="FirstParagraph"/>
      </w:pPr>
      <w:r>
        <w:t xml:space="preserve">For marginals</w:t>
      </w:r>
      <w:r>
        <w:t xml:space="preserve"> </w:t>
      </w:r>
      <m:oMath>
        <m:sSub>
          <m:e>
            <m:r>
              <m:t>F</m:t>
            </m:r>
          </m:e>
          <m:sub>
            <m:r>
              <m:t>1</m:t>
            </m:r>
          </m:sub>
        </m:sSub>
        <m:r>
          <m:rPr>
            <m:sty m:val="p"/>
          </m:rPr>
          <m:t>,</m:t>
        </m:r>
        <m:r>
          <m:rPr>
            <m:sty m:val="p"/>
          </m:rPr>
          <m:t>…</m:t>
        </m:r>
        <m:r>
          <m:rPr>
            <m:sty m:val="p"/>
          </m:rPr>
          <m:t>,</m:t>
        </m:r>
        <m:sSub>
          <m:e>
            <m:r>
              <m:t>F</m:t>
            </m:r>
          </m:e>
          <m:sub>
            <m:r>
              <m:t>n</m:t>
            </m:r>
          </m:sub>
        </m:sSub>
      </m:oMath>
      <w:r>
        <w:t xml:space="preserve">:</w:t>
      </w:r>
    </w:p>
    <w:p>
      <w:pPr>
        <w:pStyle w:val="BodyText"/>
      </w:pPr>
      <m:oMathPara>
        <m:oMathParaPr>
          <m:jc m:val="center"/>
        </m:oMathParaPr>
        <m:oMath>
          <m:r>
            <m:t>F</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r>
            <m:t>C</m:t>
          </m:r>
          <m:d>
            <m:dPr>
              <m:begChr m:val="("/>
              <m:sepChr m:val=""/>
              <m:endChr m:val=")"/>
              <m:grow/>
            </m:dPr>
            <m:e>
              <m:sSub>
                <m:e>
                  <m:r>
                    <m:t>F</m:t>
                  </m:r>
                </m:e>
                <m:sub>
                  <m:r>
                    <m:t>1</m:t>
                  </m:r>
                </m:sub>
              </m:sSub>
              <m:d>
                <m:dPr>
                  <m:begChr m:val="("/>
                  <m:sepChr m:val=""/>
                  <m:endChr m:val=")"/>
                  <m:grow/>
                </m:dPr>
                <m:e>
                  <m:sSub>
                    <m:e>
                      <m:r>
                        <m:t>x</m:t>
                      </m:r>
                    </m:e>
                    <m:sub>
                      <m:r>
                        <m:t>1</m:t>
                      </m:r>
                    </m:sub>
                  </m:sSub>
                </m:e>
              </m:d>
              <m:r>
                <m:rPr>
                  <m:sty m:val="p"/>
                </m:rPr>
                <m:t>,</m:t>
              </m:r>
              <m:r>
                <m:rPr>
                  <m:sty m:val="p"/>
                </m:rPr>
                <m:t>…</m:t>
              </m:r>
              <m:r>
                <m:rPr>
                  <m:sty m:val="p"/>
                </m:rPr>
                <m:t>,</m:t>
              </m:r>
              <m:sSub>
                <m:e>
                  <m:r>
                    <m:t>F</m:t>
                  </m:r>
                </m:e>
                <m:sub>
                  <m:r>
                    <m:t>n</m:t>
                  </m:r>
                </m:sub>
              </m:sSub>
              <m:d>
                <m:dPr>
                  <m:begChr m:val="("/>
                  <m:sepChr m:val=""/>
                  <m:endChr m:val=")"/>
                  <m:grow/>
                </m:dPr>
                <m:e>
                  <m:sSub>
                    <m:e>
                      <m:r>
                        <m:t>x</m:t>
                      </m:r>
                    </m:e>
                    <m:sub>
                      <m:r>
                        <m:t>n</m:t>
                      </m:r>
                    </m:sub>
                  </m:sSub>
                </m:e>
              </m:d>
            </m:e>
          </m:d>
        </m:oMath>
      </m:oMathPara>
    </w:p>
    <w:p>
      <w:pPr>
        <w:pStyle w:val="FirstParagraph"/>
      </w:pPr>
      <w:r>
        <w:t xml:space="preserve">Compare:</w:t>
      </w:r>
    </w:p>
    <w:p>
      <w:pPr>
        <w:pStyle w:val="Compact"/>
        <w:numPr>
          <w:ilvl w:val="0"/>
          <w:numId w:val="1052"/>
        </w:numPr>
      </w:pPr>
      <w:r>
        <w:t xml:space="preserve">Gaussian copula.</w:t>
      </w:r>
    </w:p>
    <w:p>
      <w:pPr>
        <w:pStyle w:val="Compact"/>
        <w:numPr>
          <w:ilvl w:val="0"/>
          <w:numId w:val="1052"/>
        </w:numPr>
      </w:pPr>
      <w:r>
        <w:t xml:space="preserve">Student-</w:t>
      </w:r>
      <m:oMath>
        <m:r>
          <m:t>t</m:t>
        </m:r>
      </m:oMath>
      <w:r>
        <w:t xml:space="preserve"> </w:t>
      </w:r>
      <w:r>
        <w:t xml:space="preserve">copula.</w:t>
      </w:r>
    </w:p>
    <w:p>
      <w:pPr>
        <w:pStyle w:val="Compact"/>
        <w:numPr>
          <w:ilvl w:val="0"/>
          <w:numId w:val="1052"/>
        </w:numPr>
      </w:pPr>
      <w:r>
        <w:t xml:space="preserve">Clayton copula.</w:t>
      </w:r>
    </w:p>
    <w:p>
      <w:pPr>
        <w:pStyle w:val="Compact"/>
        <w:numPr>
          <w:ilvl w:val="0"/>
          <w:numId w:val="1052"/>
        </w:numPr>
      </w:pPr>
      <w:r>
        <w:t xml:space="preserve">Gumbel copula.</w:t>
      </w:r>
    </w:p>
    <w:p>
      <w:pPr>
        <w:pStyle w:val="Compact"/>
        <w:numPr>
          <w:ilvl w:val="0"/>
          <w:numId w:val="1052"/>
        </w:numPr>
      </w:pPr>
      <w:r>
        <w:t xml:space="preserve">Vine copulas.</w:t>
      </w:r>
    </w:p>
    <w:p>
      <w:pPr>
        <w:pStyle w:val="FirstParagraph"/>
      </w:pPr>
      <w:r>
        <w:t xml:space="preserve">Pay particular attention to upper-tail dependence.</w:t>
      </w:r>
    </w:p>
    <w:p>
      <w:r>
        <w:pict>
          <v:rect style="width:0;height:1.5pt" o:hralign="center" o:hrstd="t" o:hr="t"/>
        </w:pict>
      </w:r>
    </w:p>
    <w:bookmarkEnd w:id="56"/>
    <w:bookmarkEnd w:id="57"/>
    <w:bookmarkStart w:id="58" w:name="oracle-spread-and-cross-dataset-modeling"/>
    <w:p>
      <w:pPr>
        <w:pStyle w:val="Heading1"/>
      </w:pPr>
      <w:r>
        <w:t xml:space="preserve">10. Oracle-Spread and Cross-Dataset Modeling</w:t>
      </w:r>
    </w:p>
    <w:p>
      <w:pPr>
        <w:pStyle w:val="FirstParagraph"/>
      </w:pPr>
      <w:r>
        <w:t xml:space="preserve">Treat ERA5 and NOAA as related but non-identical measurement systems, not interchangeable oracles.</w:t>
      </w:r>
    </w:p>
    <w:p>
      <w:pPr>
        <w:pStyle w:val="BodyText"/>
      </w:pPr>
      <w:r>
        <w:t xml:space="preserve">Define the oracle spread:</w:t>
      </w:r>
    </w:p>
    <w:p>
      <w:pPr>
        <w:pStyle w:val="BodyText"/>
      </w:pPr>
      <w:r>
        <w:t xml:space="preserve">$$</w:t>
      </w:r>
      <w:r>
        <w:t xml:space="preserve"> </w:t>
      </w:r>
      <w:r>
        <w:t xml:space="preserve">D_t</w:t>
      </w:r>
      <w:r>
        <w:t xml:space="preserve"> </w:t>
      </w:r>
      <w:r>
        <w:t xml:space="preserve">=</w:t>
      </w:r>
      <w:r>
        <w:t xml:space="preserve"> </w:t>
      </w:r>
      <w:r>
        <w:t xml:space="preserve">Y_t^{</w:t>
      </w:r>
      <w:r>
        <w:t xml:space="preserve">,B_N}</w:t>
      </w:r>
    </w:p>
    <w:p>
      <w:pPr>
        <w:pStyle w:val="Compact"/>
        <w:numPr>
          <w:ilvl w:val="0"/>
          <w:numId w:val="1053"/>
        </w:numPr>
      </w:pPr>
      <w:r>
        <w:t xml:space="preserve">X_t^{</w:t>
      </w:r>
      <w:r>
        <w:t xml:space="preserve">,B_E}</w:t>
      </w:r>
      <w:r>
        <w:t xml:space="preserve"> </w:t>
      </w:r>
      <w:r>
        <w:t xml:space="preserve">$$</w:t>
      </w:r>
    </w:p>
    <w:p>
      <w:pPr>
        <w:pStyle w:val="FirstParagraph"/>
      </w:pPr>
      <w:r>
        <w:t xml:space="preserve">After converting to a common baseline:</w:t>
      </w:r>
    </w:p>
    <w:p>
      <w:pPr>
        <w:pStyle w:val="BodyText"/>
      </w:pPr>
      <w:r>
        <w:t xml:space="preserve">$$</w:t>
      </w:r>
      <w:r>
        <w:t xml:space="preserve"> </w:t>
      </w:r>
      <w:r>
        <w:t xml:space="preserve">_t</w:t>
      </w:r>
      <w:r>
        <w:t xml:space="preserve"> </w:t>
      </w:r>
      <w:r>
        <w:t xml:space="preserve">=</w:t>
      </w:r>
      <w:r>
        <w:t xml:space="preserve"> </w:t>
      </w:r>
      <w:r>
        <w:t xml:space="preserve">Y_t</w:t>
      </w:r>
      <w:r>
        <w:rPr>
          <w:vertAlign w:val="superscript"/>
        </w:rPr>
        <w:t xml:space="preserve">{</w:t>
      </w:r>
      <w:r>
        <w:rPr>
          <w:vertAlign w:val="superscript"/>
        </w:rPr>
        <w:t xml:space="preserve">,B</w:t>
      </w:r>
      <w:r>
        <w:t xml:space="preserve">}</w:t>
      </w:r>
    </w:p>
    <w:p>
      <w:pPr>
        <w:pStyle w:val="Compact"/>
        <w:numPr>
          <w:ilvl w:val="0"/>
          <w:numId w:val="1054"/>
        </w:numPr>
      </w:pPr>
      <w:r>
        <w:t xml:space="preserve">X_t</w:t>
      </w:r>
      <w:r>
        <w:rPr>
          <w:vertAlign w:val="superscript"/>
        </w:rPr>
        <w:t xml:space="preserve">{</w:t>
      </w:r>
      <w:r>
        <w:rPr>
          <w:vertAlign w:val="superscript"/>
        </w:rPr>
        <w:t xml:space="preserve">,B</w:t>
      </w:r>
      <w:r>
        <w:t xml:space="preserve">}</w:t>
      </w:r>
      <w:r>
        <w:t xml:space="preserve"> </w:t>
      </w:r>
      <w:r>
        <w:t xml:space="preserve">$$</w:t>
      </w:r>
    </w:p>
    <w:p>
      <w:pPr>
        <w:pStyle w:val="FirstParagraph"/>
      </w:pPr>
      <w:r>
        <w:t xml:space="preserve">Model:</w:t>
      </w:r>
    </w:p>
    <w:p>
      <w:pPr>
        <w:pStyle w:val="BodyText"/>
      </w:pPr>
      <w:r>
        <w:t xml:space="preserve">$$</w:t>
      </w:r>
      <w:r>
        <w:t xml:space="preserve"> </w:t>
      </w:r>
      <w:r>
        <w:t xml:space="preserve">_t</w:t>
      </w:r>
      <w:r>
        <w:t xml:space="preserve"> </w:t>
      </w:r>
      <w:r>
        <w:t xml:space="preserve">=</w:t>
      </w:r>
      <w:r>
        <w:t xml:space="preserve"> </w:t>
      </w:r>
      <w:r>
        <w:t xml:space="preserve">_t</w:t>
      </w:r>
    </w:p>
    <w:p>
      <w:pPr>
        <w:numPr>
          <w:ilvl w:val="0"/>
          <w:numId w:val="1055"/>
        </w:numPr>
      </w:pPr>
      <w:r>
        <w:t xml:space="preserve">_t X_t</w:t>
      </w:r>
    </w:p>
    <w:p>
      <w:pPr>
        <w:numPr>
          <w:ilvl w:val="0"/>
          <w:numId w:val="1055"/>
        </w:numPr>
      </w:pPr>
      <w:r>
        <w:t xml:space="preserve">^</w:t>
      </w:r>
      <w:r>
        <w:t xml:space="preserve">Z_t</w:t>
      </w:r>
    </w:p>
    <w:p>
      <w:pPr>
        <w:numPr>
          <w:ilvl w:val="0"/>
          <w:numId w:val="1055"/>
        </w:numPr>
      </w:pPr>
      <w:r>
        <w:t xml:space="preserve">u_t</w:t>
      </w:r>
      <w:r>
        <w:t xml:space="preserve"> </w:t>
      </w:r>
      <w:r>
        <w:t xml:space="preserve">$$</w:t>
      </w:r>
    </w:p>
    <w:p>
      <w:pPr>
        <w:pStyle w:val="FirstParagraph"/>
      </w:pPr>
      <w:r>
        <w:t xml:space="preserve">Analyze whether the spread depends on:</w:t>
      </w:r>
    </w:p>
    <w:p>
      <w:pPr>
        <w:pStyle w:val="Compact"/>
        <w:numPr>
          <w:ilvl w:val="0"/>
          <w:numId w:val="1056"/>
        </w:numPr>
      </w:pPr>
      <w:r>
        <w:t xml:space="preserve">Global anomaly level.</w:t>
      </w:r>
    </w:p>
    <w:p>
      <w:pPr>
        <w:pStyle w:val="Compact"/>
        <w:numPr>
          <w:ilvl w:val="0"/>
          <w:numId w:val="1056"/>
        </w:numPr>
      </w:pPr>
      <w:r>
        <w:t xml:space="preserve">Land-ocean contrast.</w:t>
      </w:r>
    </w:p>
    <w:p>
      <w:pPr>
        <w:pStyle w:val="Compact"/>
        <w:numPr>
          <w:ilvl w:val="0"/>
          <w:numId w:val="1056"/>
        </w:numPr>
      </w:pPr>
      <w:r>
        <w:t xml:space="preserve">Tropical versus extratropical warming.</w:t>
      </w:r>
    </w:p>
    <w:p>
      <w:pPr>
        <w:pStyle w:val="Compact"/>
        <w:numPr>
          <w:ilvl w:val="0"/>
          <w:numId w:val="1056"/>
        </w:numPr>
      </w:pPr>
      <w:r>
        <w:t xml:space="preserve">Arctic amplification.</w:t>
      </w:r>
    </w:p>
    <w:p>
      <w:pPr>
        <w:pStyle w:val="Compact"/>
        <w:numPr>
          <w:ilvl w:val="0"/>
          <w:numId w:val="1056"/>
        </w:numPr>
      </w:pPr>
      <w:r>
        <w:t xml:space="preserve">SST treatment.</w:t>
      </w:r>
    </w:p>
    <w:p>
      <w:pPr>
        <w:pStyle w:val="Compact"/>
        <w:numPr>
          <w:ilvl w:val="0"/>
          <w:numId w:val="1056"/>
        </w:numPr>
      </w:pPr>
      <w:r>
        <w:t xml:space="preserve">Coverage.</w:t>
      </w:r>
    </w:p>
    <w:p>
      <w:pPr>
        <w:pStyle w:val="Compact"/>
        <w:numPr>
          <w:ilvl w:val="0"/>
          <w:numId w:val="1056"/>
        </w:numPr>
      </w:pPr>
      <w:r>
        <w:t xml:space="preserve">Interpolation.</w:t>
      </w:r>
    </w:p>
    <w:p>
      <w:pPr>
        <w:pStyle w:val="Compact"/>
        <w:numPr>
          <w:ilvl w:val="0"/>
          <w:numId w:val="1056"/>
        </w:numPr>
      </w:pPr>
      <w:r>
        <w:t xml:space="preserve">Homogenization.</w:t>
      </w:r>
    </w:p>
    <w:p>
      <w:pPr>
        <w:pStyle w:val="Compact"/>
        <w:numPr>
          <w:ilvl w:val="0"/>
          <w:numId w:val="1056"/>
        </w:numPr>
      </w:pPr>
      <w:r>
        <w:t xml:space="preserve">El Niño state.</w:t>
      </w:r>
    </w:p>
    <w:p>
      <w:pPr>
        <w:pStyle w:val="Compact"/>
        <w:numPr>
          <w:ilvl w:val="0"/>
          <w:numId w:val="1056"/>
        </w:numPr>
      </w:pPr>
      <w:r>
        <w:t xml:space="preserve">Time-varying dataset methodology.</w:t>
      </w:r>
    </w:p>
    <w:p>
      <w:pPr>
        <w:pStyle w:val="FirstParagraph"/>
      </w:pPr>
      <w:r>
        <w:t xml:space="preserve">Do not call the spread an arbitrage unless positions exist that guarantee offsetting settlement payoffs under all relevant outcomes.</w:t>
      </w:r>
    </w:p>
    <w:p>
      <w:pPr>
        <w:pStyle w:val="BodyText"/>
      </w:pPr>
      <w:r>
        <w:t xml:space="preserve">Distinguish:</w:t>
      </w:r>
    </w:p>
    <w:p>
      <w:pPr>
        <w:pStyle w:val="Compact"/>
        <w:numPr>
          <w:ilvl w:val="0"/>
          <w:numId w:val="1057"/>
        </w:numPr>
      </w:pPr>
      <w:r>
        <w:t xml:space="preserve">Statistical relative value.</w:t>
      </w:r>
    </w:p>
    <w:p>
      <w:pPr>
        <w:pStyle w:val="Compact"/>
        <w:numPr>
          <w:ilvl w:val="0"/>
          <w:numId w:val="1057"/>
        </w:numPr>
      </w:pPr>
      <w:r>
        <w:t xml:space="preserve">Basis trade.</w:t>
      </w:r>
    </w:p>
    <w:p>
      <w:pPr>
        <w:pStyle w:val="Compact"/>
        <w:numPr>
          <w:ilvl w:val="0"/>
          <w:numId w:val="1057"/>
        </w:numPr>
      </w:pPr>
      <w:r>
        <w:t xml:space="preserve">Cross-oracle hedge.</w:t>
      </w:r>
    </w:p>
    <w:p>
      <w:pPr>
        <w:pStyle w:val="Compact"/>
        <w:numPr>
          <w:ilvl w:val="0"/>
          <w:numId w:val="1057"/>
        </w:numPr>
      </w:pPr>
      <w:r>
        <w:t xml:space="preserve">Model-based convergence trade.</w:t>
      </w:r>
    </w:p>
    <w:p>
      <w:pPr>
        <w:pStyle w:val="Compact"/>
        <w:numPr>
          <w:ilvl w:val="0"/>
          <w:numId w:val="1057"/>
        </w:numPr>
      </w:pPr>
      <w:r>
        <w:t xml:space="preserve">True arbitrage.</w:t>
      </w:r>
    </w:p>
    <w:p>
      <w:pPr>
        <w:pStyle w:val="FirstParagraph"/>
      </w:pPr>
      <w:r>
        <w:t xml:space="preserve">For contracts</w:t>
      </w:r>
      <w:r>
        <w:t xml:space="preserve"> </w:t>
      </w:r>
      <m:oMath>
        <m:r>
          <m:t>A</m:t>
        </m:r>
      </m:oMath>
      <w:r>
        <w:t xml:space="preserve"> </w:t>
      </w:r>
      <w:r>
        <w:t xml:space="preserve">and</w:t>
      </w:r>
      <w:r>
        <w:t xml:space="preserve"> </w:t>
      </w:r>
      <m:oMath>
        <m:r>
          <m:t>B</m:t>
        </m:r>
      </m:oMath>
      <w:r>
        <w:t xml:space="preserve"> </w:t>
      </w:r>
      <w:r>
        <w:t xml:space="preserve">with different settlement events:</w:t>
      </w:r>
    </w:p>
    <w:p>
      <w:pPr>
        <w:pStyle w:val="BodyText"/>
      </w:pPr>
      <w:r>
        <w:t xml:space="preserve">$$</w:t>
      </w:r>
      <w:r>
        <w:t xml:space="preserve"> </w:t>
      </w:r>
      <w:r>
        <w:t xml:space="preserve">_T</w:t>
      </w:r>
      <w:r>
        <w:t xml:space="preserve"> </w:t>
      </w:r>
      <w:r>
        <w:t xml:space="preserve">=</w:t>
      </w:r>
      <w:r>
        <w:t xml:space="preserve"> </w:t>
      </w:r>
      <w:r>
        <w:t xml:space="preserve">w_A S_A</w:t>
      </w:r>
    </w:p>
    <w:p>
      <w:pPr>
        <w:numPr>
          <w:ilvl w:val="0"/>
          <w:numId w:val="1058"/>
        </w:numPr>
      </w:pPr>
      <w:r>
        <w:t xml:space="preserve">w_B S_B</w:t>
      </w:r>
    </w:p>
    <w:p>
      <w:pPr>
        <w:numPr>
          <w:ilvl w:val="0"/>
          <w:numId w:val="1058"/>
        </w:numPr>
      </w:pPr>
      <w:r>
        <w:t xml:space="preserve">C</w:t>
      </w:r>
      <w:r>
        <w:t xml:space="preserve"> </w:t>
      </w:r>
      <w:r>
        <w:t xml:space="preserve">$$</w:t>
      </w:r>
    </w:p>
    <w:p>
      <w:pPr>
        <w:pStyle w:val="FirstParagraph"/>
      </w:pPr>
      <w:r>
        <w:t xml:space="preserve">A true arbitrage requires:</w:t>
      </w:r>
    </w:p>
    <w:p>
      <w:pPr>
        <w:pStyle w:val="BodyText"/>
      </w:pPr>
      <m:oMathPara>
        <m:oMathParaPr>
          <m:jc m:val="center"/>
        </m:oMathParaPr>
        <m:oMath>
          <m:sSub>
            <m:e>
              <m:r>
                <m:t>Π</m:t>
              </m:r>
            </m:e>
            <m:sub>
              <m:r>
                <m:t>T</m:t>
              </m:r>
            </m:sub>
          </m:sSub>
          <m:r>
            <m:rPr>
              <m:sty m:val="p"/>
            </m:rPr>
            <m:t>≥</m:t>
          </m:r>
          <m:r>
            <m:t>0</m:t>
          </m:r>
          <m:r>
            <m:t> </m:t>
          </m:r>
          <m:r>
            <m:rPr>
              <m:nor/>
              <m:sty m:val="p"/>
            </m:rPr>
            <m:t>for every admissible state</m:t>
          </m:r>
        </m:oMath>
      </m:oMathPara>
    </w:p>
    <w:p>
      <w:pPr>
        <w:pStyle w:val="FirstParagraph"/>
      </w:pPr>
      <w:r>
        <w:t xml:space="preserve">and:</w:t>
      </w:r>
    </w:p>
    <w:p>
      <w:pPr>
        <w:pStyle w:val="BodyText"/>
      </w:pPr>
      <m:oMathPara>
        <m:oMathParaPr>
          <m:jc m:val="center"/>
        </m:oMathParaPr>
        <m:oMath>
          <m:r>
            <m:rPr>
              <m:sty m:val="p"/>
            </m:rPr>
            <m:t>Pr</m:t>
          </m:r>
          <m:d>
            <m:dPr>
              <m:begChr m:val="("/>
              <m:sepChr m:val=""/>
              <m:endChr m:val=")"/>
              <m:grow/>
            </m:dPr>
            <m:e>
              <m:sSub>
                <m:e>
                  <m:r>
                    <m:t>Π</m:t>
                  </m:r>
                </m:e>
                <m:sub>
                  <m:r>
                    <m:t>T</m:t>
                  </m:r>
                </m:sub>
              </m:sSub>
              <m:r>
                <m:rPr>
                  <m:sty m:val="p"/>
                </m:rPr>
                <m:t>&gt;</m:t>
              </m:r>
              <m:r>
                <m:t>0</m:t>
              </m:r>
            </m:e>
          </m:d>
          <m:r>
            <m:rPr>
              <m:sty m:val="p"/>
            </m:rPr>
            <m:t>&gt;</m:t>
          </m:r>
          <m:r>
            <m:t>0</m:t>
          </m:r>
        </m:oMath>
      </m:oMathPara>
    </w:p>
    <w:p>
      <w:pPr>
        <w:pStyle w:val="FirstParagraph"/>
      </w:pPr>
      <w:r>
        <w:t xml:space="preserve">after fees, settlement differences, and execution risk.</w:t>
      </w:r>
    </w:p>
    <w:p>
      <w:r>
        <w:pict>
          <v:rect style="width:0;height:1.5pt" o:hralign="center" o:hrstd="t" o:hr="t"/>
        </w:pict>
      </w:r>
    </w:p>
    <w:bookmarkEnd w:id="58"/>
    <w:bookmarkStart w:id="65" w:name="market-microstructure-and-flow-analysis"/>
    <w:p>
      <w:pPr>
        <w:pStyle w:val="Heading1"/>
      </w:pPr>
      <w:r>
        <w:t xml:space="preserve">11. Market Microstructure and Flow Analysis</w:t>
      </w:r>
    </w:p>
    <w:p>
      <w:pPr>
        <w:pStyle w:val="FirstParagraph"/>
      </w:pPr>
      <w:r>
        <w:t xml:space="preserve">Construct a liquidity-aware model of executable prices.</w:t>
      </w:r>
    </w:p>
    <w:p>
      <w:pPr>
        <w:pStyle w:val="BodyText"/>
      </w:pPr>
      <w:r>
        <w:t xml:space="preserve">Let:</w:t>
      </w:r>
    </w:p>
    <w:p>
      <w:pPr>
        <w:pStyle w:val="BodyText"/>
      </w:pPr>
      <m:oMathPara>
        <m:oMathParaPr>
          <m:jc m:val="center"/>
        </m:oMathParaPr>
        <m:oMath>
          <m:sSub>
            <m:e>
              <m:r>
                <m:t>b</m:t>
              </m:r>
            </m:e>
            <m:sub>
              <m:r>
                <m:t>t</m:t>
              </m:r>
            </m:sub>
          </m:sSub>
          <m:r>
            <m:rPr>
              <m:sty m:val="p"/>
            </m:rPr>
            <m:t>=</m:t>
          </m:r>
          <m:r>
            <m:rPr>
              <m:nor/>
              <m:sty m:val="p"/>
            </m:rPr>
            <m:t>best bid</m:t>
          </m:r>
          <m:r>
            <m:rPr>
              <m:sty m:val="p"/>
            </m:rPr>
            <m:t>,</m:t>
          </m:r>
          <m:r>
            <m:t>  </m:t>
          </m:r>
          <m:sSub>
            <m:e>
              <m:r>
                <m:t>a</m:t>
              </m:r>
            </m:e>
            <m:sub>
              <m:r>
                <m:t>t</m:t>
              </m:r>
            </m:sub>
          </m:sSub>
          <m:r>
            <m:rPr>
              <m:sty m:val="p"/>
            </m:rPr>
            <m:t>=</m:t>
          </m:r>
          <m:r>
            <m:rPr>
              <m:nor/>
              <m:sty m:val="p"/>
            </m:rPr>
            <m:t>best ask</m:t>
          </m:r>
        </m:oMath>
      </m:oMathPara>
    </w:p>
    <w:p>
      <w:pPr>
        <w:pStyle w:val="FirstParagraph"/>
      </w:pPr>
      <m:oMathPara>
        <m:oMathParaPr>
          <m:jc m:val="center"/>
        </m:oMathParaPr>
        <m:oMath>
          <m:sSub>
            <m:e>
              <m:r>
                <m:t>m</m:t>
              </m:r>
            </m:e>
            <m:sub>
              <m:r>
                <m:t>t</m:t>
              </m:r>
            </m:sub>
          </m:sSub>
          <m:r>
            <m:rPr>
              <m:sty m:val="p"/>
            </m:rPr>
            <m:t>=</m:t>
          </m:r>
          <m:f>
            <m:fPr>
              <m:type m:val="bar"/>
            </m:fPr>
            <m:num>
              <m:sSub>
                <m:e>
                  <m:r>
                    <m:t>a</m:t>
                  </m:r>
                </m:e>
                <m:sub>
                  <m:r>
                    <m:t>t</m:t>
                  </m:r>
                </m:sub>
              </m:sSub>
              <m:r>
                <m:rPr>
                  <m:sty m:val="p"/>
                </m:rPr>
                <m:t>+</m:t>
              </m:r>
              <m:sSub>
                <m:e>
                  <m:r>
                    <m:t>b</m:t>
                  </m:r>
                </m:e>
                <m:sub>
                  <m:r>
                    <m:t>t</m:t>
                  </m:r>
                </m:sub>
              </m:sSub>
            </m:num>
            <m:den>
              <m:r>
                <m:t>2</m:t>
              </m:r>
            </m:den>
          </m:f>
        </m:oMath>
      </m:oMathPara>
    </w:p>
    <w:p>
      <w:pPr>
        <w:pStyle w:val="FirstParagraph"/>
      </w:pPr>
      <m:oMathPara>
        <m:oMathParaPr>
          <m:jc m:val="center"/>
        </m:oMathParaPr>
        <m:oMath>
          <m:sSub>
            <m:e>
              <m:r>
                <m:t>s</m:t>
              </m:r>
            </m:e>
            <m:sub>
              <m:r>
                <m:t>t</m:t>
              </m:r>
            </m:sub>
          </m:sSub>
          <m:r>
            <m:rPr>
              <m:sty m:val="p"/>
            </m:rPr>
            <m:t>=</m:t>
          </m:r>
          <m:sSub>
            <m:e>
              <m:r>
                <m:t>a</m:t>
              </m:r>
            </m:e>
            <m:sub>
              <m:r>
                <m:t>t</m:t>
              </m:r>
            </m:sub>
          </m:sSub>
          <m:r>
            <m:rPr>
              <m:sty m:val="p"/>
            </m:rPr>
            <m:t>−</m:t>
          </m:r>
          <m:sSub>
            <m:e>
              <m:r>
                <m:t>b</m:t>
              </m:r>
            </m:e>
            <m:sub>
              <m:r>
                <m:t>t</m:t>
              </m:r>
            </m:sub>
          </m:sSub>
        </m:oMath>
      </m:oMathPara>
    </w:p>
    <w:bookmarkStart w:id="59" w:name="a.-microprice"/>
    <w:p>
      <w:pPr>
        <w:pStyle w:val="Heading2"/>
      </w:pPr>
      <w:r>
        <w:t xml:space="preserve">A. Microprice</w:t>
      </w:r>
    </w:p>
    <w:p>
      <w:pPr>
        <w:pStyle w:val="FirstParagraph"/>
      </w:pPr>
      <w:r>
        <w:t xml:space="preserve">For best-level bid quantity</w:t>
      </w:r>
      <w:r>
        <w:t xml:space="preserve"> </w:t>
      </w:r>
      <m:oMath>
        <m:sSubSup>
          <m:e>
            <m:r>
              <m:t>V</m:t>
            </m:r>
          </m:e>
          <m:sub>
            <m:r>
              <m:t>t</m:t>
            </m:r>
          </m:sub>
          <m:sup>
            <m:r>
              <m:t>b</m:t>
            </m:r>
          </m:sup>
        </m:sSubSup>
      </m:oMath>
      <w:r>
        <w:t xml:space="preserve"> </w:t>
      </w:r>
      <w:r>
        <w:t xml:space="preserve">and ask quantity</w:t>
      </w:r>
      <w:r>
        <w:t xml:space="preserve"> </w:t>
      </w:r>
      <m:oMath>
        <m:sSubSup>
          <m:e>
            <m:r>
              <m:t>V</m:t>
            </m:r>
          </m:e>
          <m:sub>
            <m:r>
              <m:t>t</m:t>
            </m:r>
          </m:sub>
          <m:sup>
            <m:r>
              <m:t>a</m:t>
            </m:r>
          </m:sup>
        </m:sSubSup>
      </m:oMath>
      <w:r>
        <w:t xml:space="preserve">:</w:t>
      </w:r>
    </w:p>
    <w:p>
      <w:pPr>
        <w:pStyle w:val="BodyText"/>
      </w:pPr>
      <m:oMathPara>
        <m:oMathParaPr>
          <m:jc m:val="center"/>
        </m:oMathParaPr>
        <m:oMath>
          <m:sSub>
            <m:e>
              <m:r>
                <m:rPr>
                  <m:nor/>
                  <m:sty m:val="p"/>
                </m:rPr>
                <m:t>MicroPrice</m:t>
              </m:r>
            </m:e>
            <m:sub>
              <m:r>
                <m:t>t</m:t>
              </m:r>
            </m:sub>
          </m:sSub>
          <m:r>
            <m:rPr>
              <m:sty m:val="p"/>
            </m:rPr>
            <m:t>=</m:t>
          </m:r>
          <m:f>
            <m:fPr>
              <m:type m:val="bar"/>
            </m:fPr>
            <m:num>
              <m:sSub>
                <m:e>
                  <m:r>
                    <m:t>a</m:t>
                  </m:r>
                </m:e>
                <m:sub>
                  <m:r>
                    <m:t>t</m:t>
                  </m:r>
                </m:sub>
              </m:sSub>
              <m:sSubSup>
                <m:e>
                  <m:r>
                    <m:t>V</m:t>
                  </m:r>
                </m:e>
                <m:sub>
                  <m:r>
                    <m:t>t</m:t>
                  </m:r>
                </m:sub>
                <m:sup>
                  <m:r>
                    <m:t>b</m:t>
                  </m:r>
                </m:sup>
              </m:sSubSup>
              <m:r>
                <m:rPr>
                  <m:sty m:val="p"/>
                </m:rPr>
                <m:t>+</m:t>
              </m:r>
              <m:sSub>
                <m:e>
                  <m:r>
                    <m:t>b</m:t>
                  </m:r>
                </m:e>
                <m:sub>
                  <m:r>
                    <m:t>t</m:t>
                  </m:r>
                </m:sub>
              </m:sSub>
              <m:sSubSup>
                <m:e>
                  <m:r>
                    <m:t>V</m:t>
                  </m:r>
                </m:e>
                <m:sub>
                  <m:r>
                    <m:t>t</m:t>
                  </m:r>
                </m:sub>
                <m:sup>
                  <m:r>
                    <m:t>a</m:t>
                  </m:r>
                </m:sup>
              </m:sSubSup>
            </m:num>
            <m:den>
              <m:sSubSup>
                <m:e>
                  <m:r>
                    <m:t>V</m:t>
                  </m:r>
                </m:e>
                <m:sub>
                  <m:r>
                    <m:t>t</m:t>
                  </m:r>
                </m:sub>
                <m:sup>
                  <m:r>
                    <m:t>b</m:t>
                  </m:r>
                </m:sup>
              </m:sSubSup>
              <m:r>
                <m:rPr>
                  <m:sty m:val="p"/>
                </m:rPr>
                <m:t>+</m:t>
              </m:r>
              <m:sSubSup>
                <m:e>
                  <m:r>
                    <m:t>V</m:t>
                  </m:r>
                </m:e>
                <m:sub>
                  <m:r>
                    <m:t>t</m:t>
                  </m:r>
                </m:sub>
                <m:sup>
                  <m:r>
                    <m:t>a</m:t>
                  </m:r>
                </m:sup>
              </m:sSubSup>
            </m:den>
          </m:f>
        </m:oMath>
      </m:oMathPara>
    </w:p>
    <w:p>
      <w:pPr>
        <w:pStyle w:val="FirstParagraph"/>
      </w:pPr>
      <w:r>
        <w:t xml:space="preserve">Explain why microprice may have limited predictive power in thin prediction markets and test it empirically.</w:t>
      </w:r>
    </w:p>
    <w:bookmarkEnd w:id="59"/>
    <w:bookmarkStart w:id="60" w:name="b.-order-book-imbalance"/>
    <w:p>
      <w:pPr>
        <w:pStyle w:val="Heading2"/>
      </w:pPr>
      <w:r>
        <w:t xml:space="preserve">B. Order-Book Imbalance</w:t>
      </w:r>
    </w:p>
    <w:p>
      <w:pPr>
        <w:pStyle w:val="FirstParagraph"/>
      </w:pPr>
      <w:r>
        <w:t xml:space="preserve">For the first</w:t>
      </w:r>
      <w:r>
        <w:t xml:space="preserve"> </w:t>
      </w:r>
      <m:oMath>
        <m:r>
          <m:t>L</m:t>
        </m:r>
      </m:oMath>
      <w:r>
        <w:t xml:space="preserve"> </w:t>
      </w:r>
      <w:r>
        <w:t xml:space="preserve">levels:</w:t>
      </w:r>
    </w:p>
    <w:p>
      <w:pPr>
        <w:pStyle w:val="BodyText"/>
      </w:pPr>
      <w:r>
        <w:t xml:space="preserve">$$</w:t>
      </w:r>
      <w:r>
        <w:t xml:space="preserve"> </w:t>
      </w:r>
      <w:r>
        <w:t xml:space="preserve">I_t^{(L)}</w:t>
      </w:r>
      <w:r>
        <w:t xml:space="preserve"> </w:t>
      </w:r>
      <w:r>
        <w:t xml:space="preserve">=</w:t>
      </w:r>
      <w:r>
        <w:t xml:space="preserve"> </w:t>
      </w:r>
      <w:r>
        <w:t xml:space="preserve"> </w:t>
      </w:r>
      <w:r>
        <w:t xml:space="preserve">$$</w:t>
      </w:r>
    </w:p>
    <w:p>
      <w:pPr>
        <w:pStyle w:val="BodyText"/>
      </w:pPr>
      <w:r>
        <w:t xml:space="preserve">Evaluate:</w:t>
      </w:r>
    </w:p>
    <w:p>
      <w:pPr>
        <w:pStyle w:val="Compact"/>
        <w:numPr>
          <w:ilvl w:val="0"/>
          <w:numId w:val="1059"/>
        </w:numPr>
      </w:pPr>
      <w:r>
        <w:t xml:space="preserve">Predictive horizon.</w:t>
      </w:r>
    </w:p>
    <w:p>
      <w:pPr>
        <w:pStyle w:val="Compact"/>
        <w:numPr>
          <w:ilvl w:val="0"/>
          <w:numId w:val="1059"/>
        </w:numPr>
      </w:pPr>
      <w:r>
        <w:t xml:space="preserve">Decay rate.</w:t>
      </w:r>
    </w:p>
    <w:p>
      <w:pPr>
        <w:pStyle w:val="Compact"/>
        <w:numPr>
          <w:ilvl w:val="0"/>
          <w:numId w:val="1059"/>
        </w:numPr>
      </w:pPr>
      <w:r>
        <w:t xml:space="preserve">Regime dependence.</w:t>
      </w:r>
    </w:p>
    <w:p>
      <w:pPr>
        <w:pStyle w:val="Compact"/>
        <w:numPr>
          <w:ilvl w:val="0"/>
          <w:numId w:val="1059"/>
        </w:numPr>
      </w:pPr>
      <w:r>
        <w:t xml:space="preserve">Sensitivity to spoof-like cancellations.</w:t>
      </w:r>
    </w:p>
    <w:p>
      <w:pPr>
        <w:pStyle w:val="Compact"/>
        <w:numPr>
          <w:ilvl w:val="0"/>
          <w:numId w:val="1059"/>
        </w:numPr>
      </w:pPr>
      <w:r>
        <w:t xml:space="preserve">Whether displayed depth is actually executable.</w:t>
      </w:r>
    </w:p>
    <w:bookmarkEnd w:id="60"/>
    <w:bookmarkStart w:id="61" w:name="c.-liquidity-vacuum-detection"/>
    <w:p>
      <w:pPr>
        <w:pStyle w:val="Heading2"/>
      </w:pPr>
      <w:r>
        <w:t xml:space="preserve">C. Liquidity Vacuum Detection</w:t>
      </w:r>
    </w:p>
    <w:p>
      <w:pPr>
        <w:pStyle w:val="FirstParagraph"/>
      </w:pPr>
      <w:r>
        <w:t xml:space="preserve">Define a depth metric:</w:t>
      </w:r>
    </w:p>
    <w:p>
      <w:pPr>
        <w:pStyle w:val="BodyText"/>
      </w:pPr>
      <w:r>
        <w:t xml:space="preserve">$$</w:t>
      </w:r>
      <w:r>
        <w:t xml:space="preserve"> </w:t>
      </w:r>
      <w:r>
        <w:t xml:space="preserve">D_t(</w:t>
      </w:r>
      <w:r>
        <w:t xml:space="preserve">)</w:t>
      </w:r>
      <w:r>
        <w:t xml:space="preserve"> </w:t>
      </w:r>
      <w:r>
        <w:t xml:space="preserve">=</w:t>
      </w:r>
      <w:r>
        <w:t xml:space="preserve"> </w:t>
      </w:r>
      <w:r>
        <w:t xml:space="preserve">_{p</w:t>
      </w:r>
      <w:r>
        <w:t xml:space="preserve">}V_t^b(p)</w:t>
      </w:r>
    </w:p>
    <w:p>
      <w:pPr>
        <w:pStyle w:val="Compact"/>
        <w:numPr>
          <w:ilvl w:val="0"/>
          <w:numId w:val="1060"/>
        </w:numPr>
      </w:pPr>
      <w:r>
        <w:t xml:space="preserve">_{p</w:t>
      </w:r>
      <w:r>
        <w:t xml:space="preserve">}V_t^a(p)</w:t>
      </w:r>
      <w:r>
        <w:t xml:space="preserve"> </w:t>
      </w:r>
      <w:r>
        <w:t xml:space="preserve">$$</w:t>
      </w:r>
    </w:p>
    <w:p>
      <w:pPr>
        <w:pStyle w:val="FirstParagraph"/>
      </w:pPr>
      <w:r>
        <w:t xml:space="preserve">A liquidity vacuum may be detected through:</w:t>
      </w:r>
    </w:p>
    <w:p>
      <w:pPr>
        <w:pStyle w:val="BodyText"/>
      </w:pPr>
      <w:r>
        <w:t xml:space="preserve">$$</w:t>
      </w:r>
      <w:r>
        <w:t xml:space="preserve"> </w:t>
      </w:r>
      <w:r>
        <w:t xml:space="preserve">Z_t^{</w:t>
      </w:r>
      <w:r>
        <w:t xml:space="preserve">}</w:t>
      </w:r>
      <w:r>
        <w:t xml:space="preserve"> </w:t>
      </w:r>
      <w:r>
        <w:t xml:space="preserve">=</w:t>
      </w:r>
      <w:r>
        <w:t xml:space="preserve"> </w:t>
      </w:r>
      <w:r>
        <w:t xml:space="preserve"> </w:t>
      </w:r>
      <w:r>
        <w:t xml:space="preserve">$$</w:t>
      </w:r>
    </w:p>
    <w:p>
      <w:pPr>
        <w:pStyle w:val="BodyText"/>
      </w:pPr>
      <w:r>
        <w:t xml:space="preserve">combined with spread expansion, cancellation intensity, and trade acceleration.</w:t>
      </w:r>
    </w:p>
    <w:bookmarkEnd w:id="61"/>
    <w:bookmarkStart w:id="62" w:name="d.-order-flow-imbalance"/>
    <w:p>
      <w:pPr>
        <w:pStyle w:val="Heading2"/>
      </w:pPr>
      <w:r>
        <w:t xml:space="preserve">D. Order-Flow Imbalance</w:t>
      </w:r>
    </w:p>
    <w:p>
      <w:pPr>
        <w:pStyle w:val="FirstParagraph"/>
      </w:pPr>
      <w:r>
        <w:t xml:space="preserve">Construct event-level OFI using changes in bid and ask prices and sizes.</w:t>
      </w:r>
    </w:p>
    <w:p>
      <w:pPr>
        <w:pStyle w:val="BodyText"/>
      </w:pPr>
      <w:r>
        <w:t xml:space="preserve">Test whether:</w:t>
      </w:r>
    </w:p>
    <w:p>
      <w:pPr>
        <w:pStyle w:val="BodyText"/>
      </w:pPr>
      <w:r>
        <w:t xml:space="preserve">$$</w:t>
      </w:r>
      <w:r>
        <w:t xml:space="preserve"> </w:t>
      </w:r>
      <w:r>
        <w:t xml:space="preserve">m_{t+h}</w:t>
      </w:r>
      <w:r>
        <w:t xml:space="preserve"> </w:t>
      </w:r>
      <w:r>
        <w:t xml:space="preserve">=</w:t>
      </w:r>
      <w:r>
        <w:t xml:space="preserve"> </w:t>
      </w:r>
      <w:r>
        <w:t xml:space="preserve">_t</w:t>
      </w:r>
      <w:r>
        <w:t xml:space="preserve"> </w:t>
      </w:r>
      <w:r>
        <w:t xml:space="preserve">_t</w:t>
      </w:r>
    </w:p>
    <w:p>
      <w:pPr>
        <w:pStyle w:val="Compact"/>
        <w:numPr>
          <w:ilvl w:val="0"/>
          <w:numId w:val="1061"/>
        </w:numPr>
      </w:pPr>
      <w:r>
        <w:t xml:space="preserve">_{t+h}</w:t>
      </w:r>
      <w:r>
        <w:t xml:space="preserve"> </w:t>
      </w:r>
      <w:r>
        <w:t xml:space="preserve">$$</w:t>
      </w:r>
    </w:p>
    <w:p>
      <w:pPr>
        <w:pStyle w:val="FirstParagraph"/>
      </w:pPr>
      <w:r>
        <w:t xml:space="preserve">where</w:t>
      </w:r>
      <w:r>
        <w:t xml:space="preserve"> </w:t>
      </w:r>
      <m:oMath>
        <m:sSub>
          <m:e>
            <m:r>
              <m:t>λ</m:t>
            </m:r>
          </m:e>
          <m:sub>
            <m:r>
              <m:t>t</m:t>
            </m:r>
          </m:sub>
        </m:sSub>
      </m:oMath>
      <w:r>
        <w:t xml:space="preserve"> </w:t>
      </w:r>
      <w:r>
        <w:t xml:space="preserve">varies with market depth and time to settlement.</w:t>
      </w:r>
    </w:p>
    <w:bookmarkEnd w:id="62"/>
    <w:bookmarkStart w:id="63" w:name="e.-trade-and-cancellation-intensities"/>
    <w:p>
      <w:pPr>
        <w:pStyle w:val="Heading2"/>
      </w:pPr>
      <w:r>
        <w:t xml:space="preserve">E. Trade and Cancellation Intensities</w:t>
      </w:r>
    </w:p>
    <w:p>
      <w:pPr>
        <w:pStyle w:val="FirstParagraph"/>
      </w:pPr>
      <w:r>
        <w:t xml:space="preserve">Model event arrivals using Hawkes processes:</w:t>
      </w:r>
    </w:p>
    <w:p>
      <w:pPr>
        <w:pStyle w:val="BodyText"/>
      </w:pPr>
      <w:r>
        <w:t xml:space="preserve">$$</w:t>
      </w:r>
      <w:r>
        <w:t xml:space="preserve"> </w:t>
      </w:r>
      <w:r>
        <w:t xml:space="preserve">_i(t)</w:t>
      </w:r>
      <w:r>
        <w:t xml:space="preserve"> </w:t>
      </w:r>
      <w:r>
        <w:t xml:space="preserve">=</w:t>
      </w:r>
      <w:r>
        <w:t xml:space="preserve"> </w:t>
      </w:r>
      <w:r>
        <w:t xml:space="preserve">_i</w:t>
      </w:r>
    </w:p>
    <w:p>
      <w:pPr>
        <w:pStyle w:val="Compact"/>
        <w:numPr>
          <w:ilvl w:val="0"/>
          <w:numId w:val="1062"/>
        </w:numPr>
      </w:pPr>
      <w:r>
        <w:t xml:space="preserve">_j</w:t>
      </w:r>
      <w:r>
        <w:t xml:space="preserve"> </w:t>
      </w:r>
      <w:r>
        <w:rPr>
          <w:i/>
          <w:iCs/>
        </w:rPr>
        <w:t xml:space="preserve">0^t</w:t>
      </w:r>
      <w:r>
        <w:rPr>
          <w:i/>
          <w:iCs/>
        </w:rPr>
        <w:t xml:space="preserve"> </w:t>
      </w:r>
      <w:r>
        <w:t xml:space="preserve">{ij}(t-s),dN_j(s)</w:t>
      </w:r>
      <w:r>
        <w:t xml:space="preserve"> </w:t>
      </w:r>
      <w:r>
        <w:t xml:space="preserve">$$</w:t>
      </w:r>
    </w:p>
    <w:p>
      <w:pPr>
        <w:pStyle w:val="FirstParagraph"/>
      </w:pPr>
      <w:r>
        <w:t xml:space="preserve">Potential event types include:</w:t>
      </w:r>
    </w:p>
    <w:p>
      <w:pPr>
        <w:pStyle w:val="Compact"/>
        <w:numPr>
          <w:ilvl w:val="0"/>
          <w:numId w:val="1063"/>
        </w:numPr>
      </w:pPr>
      <w:r>
        <w:t xml:space="preserve">Buy marketable orders.</w:t>
      </w:r>
    </w:p>
    <w:p>
      <w:pPr>
        <w:pStyle w:val="Compact"/>
        <w:numPr>
          <w:ilvl w:val="0"/>
          <w:numId w:val="1063"/>
        </w:numPr>
      </w:pPr>
      <w:r>
        <w:t xml:space="preserve">Sell marketable orders.</w:t>
      </w:r>
    </w:p>
    <w:p>
      <w:pPr>
        <w:pStyle w:val="Compact"/>
        <w:numPr>
          <w:ilvl w:val="0"/>
          <w:numId w:val="1063"/>
        </w:numPr>
      </w:pPr>
      <w:r>
        <w:t xml:space="preserve">Bid additions.</w:t>
      </w:r>
    </w:p>
    <w:p>
      <w:pPr>
        <w:pStyle w:val="Compact"/>
        <w:numPr>
          <w:ilvl w:val="0"/>
          <w:numId w:val="1063"/>
        </w:numPr>
      </w:pPr>
      <w:r>
        <w:t xml:space="preserve">Ask additions.</w:t>
      </w:r>
    </w:p>
    <w:p>
      <w:pPr>
        <w:pStyle w:val="Compact"/>
        <w:numPr>
          <w:ilvl w:val="0"/>
          <w:numId w:val="1063"/>
        </w:numPr>
      </w:pPr>
      <w:r>
        <w:t xml:space="preserve">Bid cancellations.</w:t>
      </w:r>
    </w:p>
    <w:p>
      <w:pPr>
        <w:pStyle w:val="Compact"/>
        <w:numPr>
          <w:ilvl w:val="0"/>
          <w:numId w:val="1063"/>
        </w:numPr>
      </w:pPr>
      <w:r>
        <w:t xml:space="preserve">Ask cancellations.</w:t>
      </w:r>
    </w:p>
    <w:p>
      <w:pPr>
        <w:pStyle w:val="FirstParagraph"/>
      </w:pPr>
      <w:r>
        <w:t xml:space="preserve">Determine whether self-excitation materially improves short-horizon execution or merely overfits sparse data.</w:t>
      </w:r>
    </w:p>
    <w:bookmarkEnd w:id="63"/>
    <w:bookmarkStart w:id="64" w:name="f.-toxicity-and-adverse-selection"/>
    <w:p>
      <w:pPr>
        <w:pStyle w:val="Heading2"/>
      </w:pPr>
      <w:r>
        <w:t xml:space="preserve">F. Toxicity and Adverse Selection</w:t>
      </w:r>
    </w:p>
    <w:p>
      <w:pPr>
        <w:pStyle w:val="FirstParagraph"/>
      </w:pPr>
      <w:r>
        <w:t xml:space="preserve">Estimate the probability that a passive fill is followed by an unfavorable price move:</w:t>
      </w:r>
    </w:p>
    <w:p>
      <w:pPr>
        <w:pStyle w:val="BodyText"/>
      </w:pPr>
      <m:oMathPara>
        <m:oMathParaPr>
          <m:jc m:val="center"/>
        </m:oMathParaPr>
        <m:oMath>
          <m:sSub>
            <m:e>
              <m:r>
                <m:t>A</m:t>
              </m:r>
            </m:e>
            <m:sub>
              <m:r>
                <m:t>t</m:t>
              </m:r>
            </m:sub>
          </m:sSub>
          <m:d>
            <m:dPr>
              <m:begChr m:val="("/>
              <m:sepChr m:val=""/>
              <m:endChr m:val=")"/>
              <m:grow/>
            </m:dPr>
            <m:e>
              <m:r>
                <m:t>h</m:t>
              </m:r>
            </m:e>
          </m:d>
          <m:r>
            <m:rPr>
              <m:sty m:val="p"/>
            </m:rPr>
            <m:t>=</m:t>
          </m:r>
          <m:r>
            <m:rPr>
              <m:sty m:val="p"/>
              <m:scr m:val="double-struck"/>
            </m:rPr>
            <m:t>E</m:t>
          </m:r>
          <m:d>
            <m:dPr>
              <m:begChr m:val="["/>
              <m:sepChr m:val=""/>
              <m:endChr m:val="]"/>
              <m:grow/>
            </m:dPr>
            <m:e>
              <m:r>
                <m:rPr>
                  <m:sty m:val="p"/>
                </m:rPr>
                <m:t>sign</m:t>
              </m:r>
              <m:d>
                <m:dPr>
                  <m:begChr m:val="("/>
                  <m:sepChr m:val=""/>
                  <m:endChr m:val=")"/>
                  <m:grow/>
                </m:dPr>
                <m:e>
                  <m:r>
                    <m:rPr>
                      <m:nor/>
                      <m:sty m:val="p"/>
                    </m:rPr>
                    <m:t>fill</m:t>
                  </m:r>
                </m:e>
              </m:d>
              <m:d>
                <m:dPr>
                  <m:begChr m:val="("/>
                  <m:sepChr m:val=""/>
                  <m:endChr m:val=")"/>
                  <m:grow/>
                </m:dPr>
                <m:e>
                  <m:sSub>
                    <m:e>
                      <m:r>
                        <m:t>m</m:t>
                      </m:r>
                    </m:e>
                    <m:sub>
                      <m:r>
                        <m:t>t</m:t>
                      </m:r>
                    </m:sub>
                  </m:sSub>
                  <m:r>
                    <m:rPr>
                      <m:sty m:val="p"/>
                    </m:rPr>
                    <m:t>−</m:t>
                  </m:r>
                  <m:sSub>
                    <m:e>
                      <m:r>
                        <m:t>m</m:t>
                      </m:r>
                    </m:e>
                    <m:sub>
                      <m:r>
                        <m:t>t</m:t>
                      </m:r>
                      <m:r>
                        <m:rPr>
                          <m:sty m:val="p"/>
                        </m:rPr>
                        <m:t>+</m:t>
                      </m:r>
                      <m:r>
                        <m:t>h</m:t>
                      </m:r>
                    </m:sub>
                  </m:sSub>
                </m:e>
              </m:d>
              <m:r>
                <m:rPr>
                  <m:sty m:val="p"/>
                </m:rPr>
                <m:t>∣</m:t>
              </m:r>
              <m:r>
                <m:rPr>
                  <m:nor/>
                  <m:sty m:val="p"/>
                </m:rPr>
                <m:t>fill at </m:t>
              </m:r>
              <m:r>
                <m:t>t</m:t>
              </m:r>
            </m:e>
          </m:d>
        </m:oMath>
      </m:oMathPara>
    </w:p>
    <w:p>
      <w:pPr>
        <w:pStyle w:val="FirstParagraph"/>
      </w:pPr>
      <w:r>
        <w:t xml:space="preserve">Integrate adverse-selection cost into fair value.</w:t>
      </w:r>
    </w:p>
    <w:p>
      <w:r>
        <w:pict>
          <v:rect style="width:0;height:1.5pt" o:hralign="center" o:hrstd="t" o:hr="t"/>
        </w:pict>
      </w:r>
    </w:p>
    <w:bookmarkEnd w:id="64"/>
    <w:bookmarkEnd w:id="65"/>
    <w:bookmarkStart w:id="66" w:name="fair-value-and-executability-framework"/>
    <w:p>
      <w:pPr>
        <w:pStyle w:val="Heading1"/>
      </w:pPr>
      <w:r>
        <w:t xml:space="preserve">12. Fair-Value and Executability Framework</w:t>
      </w:r>
    </w:p>
    <w:p>
      <w:pPr>
        <w:pStyle w:val="FirstParagraph"/>
      </w:pPr>
      <w:r>
        <w:t xml:space="preserve">Separate latent fair value from an actionable trading signal.</w:t>
      </w:r>
    </w:p>
    <w:p>
      <w:pPr>
        <w:pStyle w:val="BodyText"/>
      </w:pPr>
      <w:r>
        <w:t xml:space="preserve">Let:</w:t>
      </w:r>
    </w:p>
    <w:p>
      <w:pPr>
        <w:pStyle w:val="BodyText"/>
      </w:pPr>
      <m:oMathPara>
        <m:oMathParaPr>
          <m:jc m:val="center"/>
        </m:oMathParaPr>
        <m:oMath>
          <m:sSubSup>
            <m:e>
              <m:r>
                <m:t>p</m:t>
              </m:r>
            </m:e>
            <m:sub>
              <m:r>
                <m:t>t</m:t>
              </m:r>
            </m:sub>
            <m:sup>
              <m:r>
                <m:rPr>
                  <m:nor/>
                  <m:sty m:val="p"/>
                </m:rPr>
                <m:t>model</m:t>
              </m:r>
            </m:sup>
          </m:sSubSup>
          <m:r>
            <m:rPr>
              <m:sty m:val="p"/>
            </m:rPr>
            <m:t>=</m:t>
          </m:r>
          <m:r>
            <m:rPr>
              <m:sty m:val="p"/>
            </m:rPr>
            <m:t>Pr</m:t>
          </m:r>
          <m:d>
            <m:dPr>
              <m:begChr m:val="("/>
              <m:sepChr m:val=""/>
              <m:endChr m:val=")"/>
              <m:grow/>
            </m:dPr>
            <m:e>
              <m:r>
                <m:t>S</m:t>
              </m:r>
              <m:r>
                <m:rPr>
                  <m:sty m:val="p"/>
                </m:rPr>
                <m:t>=</m:t>
              </m:r>
              <m:r>
                <m:t>1</m:t>
              </m:r>
              <m:r>
                <m:rPr>
                  <m:sty m:val="p"/>
                </m:rPr>
                <m:t>∣</m:t>
              </m:r>
              <m:sSub>
                <m:e>
                  <m:r>
                    <m:rPr>
                      <m:sty m:val="p"/>
                      <m:scr m:val="script"/>
                    </m:rPr>
                    <m:t>I</m:t>
                  </m:r>
                </m:e>
                <m:sub>
                  <m:r>
                    <m:t>t</m:t>
                  </m:r>
                </m:sub>
              </m:sSub>
            </m:e>
          </m:d>
        </m:oMath>
      </m:oMathPara>
    </w:p>
    <w:p>
      <w:pPr>
        <w:pStyle w:val="FirstParagraph"/>
      </w:pPr>
      <w:r>
        <w:t xml:space="preserve">Define uncertainty bounds:</w:t>
      </w:r>
    </w:p>
    <w:p>
      <w:pPr>
        <w:pStyle w:val="BodyText"/>
      </w:pPr>
      <m:oMathPara>
        <m:oMathParaPr>
          <m:jc m:val="center"/>
        </m:oMathParaPr>
        <m:oMath>
          <m:sSubSup>
            <m:e>
              <m:r>
                <m:t>p</m:t>
              </m:r>
            </m:e>
            <m:sub>
              <m:r>
                <m:t>t</m:t>
              </m:r>
            </m:sub>
            <m:sup>
              <m:r>
                <m:t>L</m:t>
              </m:r>
            </m:sup>
          </m:sSubSup>
          <m:r>
            <m:rPr>
              <m:sty m:val="p"/>
            </m:rPr>
            <m:t>≤</m:t>
          </m:r>
          <m:sSubSup>
            <m:e>
              <m:r>
                <m:t>p</m:t>
              </m:r>
            </m:e>
            <m:sub>
              <m:r>
                <m:t>t</m:t>
              </m:r>
            </m:sub>
            <m:sup>
              <m:r>
                <m:rPr>
                  <m:nor/>
                  <m:sty m:val="p"/>
                </m:rPr>
                <m:t>true</m:t>
              </m:r>
            </m:sup>
          </m:sSubSup>
          <m:r>
            <m:rPr>
              <m:sty m:val="p"/>
            </m:rPr>
            <m:t>≤</m:t>
          </m:r>
          <m:sSubSup>
            <m:e>
              <m:r>
                <m:t>p</m:t>
              </m:r>
            </m:e>
            <m:sub>
              <m:r>
                <m:t>t</m:t>
              </m:r>
            </m:sub>
            <m:sup>
              <m:r>
                <m:t>U</m:t>
              </m:r>
            </m:sup>
          </m:sSubSup>
        </m:oMath>
      </m:oMathPara>
    </w:p>
    <w:p>
      <w:pPr>
        <w:pStyle w:val="FirstParagraph"/>
      </w:pPr>
      <w:r>
        <w:t xml:space="preserve">Trade only when the opportunity survives a conservative uncertainty adjustment.</w:t>
      </w:r>
    </w:p>
    <w:p>
      <w:pPr>
        <w:pStyle w:val="BodyText"/>
      </w:pPr>
      <w:r>
        <w:t xml:space="preserve">For buying YES at ask</w:t>
      </w:r>
      <w:r>
        <w:t xml:space="preserve"> </w:t>
      </w:r>
      <m:oMath>
        <m:sSub>
          <m:e>
            <m:r>
              <m:t>a</m:t>
            </m:r>
          </m:e>
          <m:sub>
            <m:r>
              <m:t>t</m:t>
            </m:r>
          </m:sub>
        </m:sSub>
      </m:oMath>
      <w:r>
        <w:t xml:space="preserve">:</w:t>
      </w:r>
    </w:p>
    <w:p>
      <w:pPr>
        <w:pStyle w:val="BodyText"/>
      </w:pPr>
      <w:r>
        <w:t xml:space="preserve">$$</w:t>
      </w:r>
      <w:r>
        <w:t xml:space="preserve"> </w:t>
      </w:r>
      <w:r>
        <w:t xml:space="preserve">EV_t^{</w:t>
      </w:r>
      <w:r>
        <w:t xml:space="preserve">}</w:t>
      </w:r>
      <w:r>
        <w:t xml:space="preserve"> </w:t>
      </w:r>
      <w:r>
        <w:t xml:space="preserve">=</w:t>
      </w:r>
      <w:r>
        <w:t xml:space="preserve"> </w:t>
      </w:r>
      <w:r>
        <w:t xml:space="preserve">p_t^{L}</w:t>
      </w:r>
    </w:p>
    <w:p>
      <w:pPr>
        <w:numPr>
          <w:ilvl w:val="0"/>
          <w:numId w:val="1064"/>
        </w:numPr>
      </w:pPr>
      <w:r>
        <w:t xml:space="preserve">a_t</w:t>
      </w:r>
    </w:p>
    <w:p>
      <w:pPr>
        <w:numPr>
          <w:ilvl w:val="0"/>
          <w:numId w:val="1064"/>
        </w:numPr>
      </w:pPr>
      <w:r>
        <w:t xml:space="preserve">C_t^{</w:t>
      </w:r>
      <w:r>
        <w:t xml:space="preserve">}</w:t>
      </w:r>
      <w:r>
        <w:t xml:space="preserve"> </w:t>
      </w:r>
      <w:r>
        <w:t xml:space="preserve">$$</w:t>
      </w:r>
    </w:p>
    <w:p>
      <w:pPr>
        <w:pStyle w:val="FirstParagraph"/>
      </w:pPr>
      <w:r>
        <w:t xml:space="preserve">For buying NO at implied NO ask</w:t>
      </w:r>
      <w:r>
        <w:t xml:space="preserve"> </w:t>
      </w:r>
      <m:oMath>
        <m:sSub>
          <m:e>
            <m:r>
              <m:t>n</m:t>
            </m:r>
          </m:e>
          <m:sub>
            <m:r>
              <m:t>t</m:t>
            </m:r>
          </m:sub>
        </m:sSub>
      </m:oMath>
      <w:r>
        <w:t xml:space="preserve">:</w:t>
      </w:r>
    </w:p>
    <w:p>
      <w:pPr>
        <w:pStyle w:val="BodyText"/>
      </w:pPr>
      <w:r>
        <w:t xml:space="preserve">$$</w:t>
      </w:r>
      <w:r>
        <w:t xml:space="preserve"> </w:t>
      </w:r>
      <w:r>
        <w:t xml:space="preserve">EV_t^{</w:t>
      </w:r>
      <w:r>
        <w:t xml:space="preserve">}</w:t>
      </w:r>
      <w:r>
        <w:t xml:space="preserve"> </w:t>
      </w:r>
      <w:r>
        <w:t xml:space="preserve">=</w:t>
      </w:r>
      <w:r>
        <w:t xml:space="preserve"> </w:t>
      </w:r>
      <w:r>
        <w:t xml:space="preserve">(1-p_t^{U})</w:t>
      </w:r>
    </w:p>
    <w:p>
      <w:pPr>
        <w:numPr>
          <w:ilvl w:val="0"/>
          <w:numId w:val="1065"/>
        </w:numPr>
      </w:pPr>
      <w:r>
        <w:t xml:space="preserve">n_t</w:t>
      </w:r>
    </w:p>
    <w:p>
      <w:pPr>
        <w:numPr>
          <w:ilvl w:val="0"/>
          <w:numId w:val="1065"/>
        </w:numPr>
      </w:pPr>
      <w:r>
        <w:t xml:space="preserve">C_t^{</w:t>
      </w:r>
      <w:r>
        <w:t xml:space="preserve">}</w:t>
      </w:r>
      <w:r>
        <w:t xml:space="preserve"> </w:t>
      </w:r>
      <w:r>
        <w:t xml:space="preserve">$$</w:t>
      </w:r>
    </w:p>
    <w:p>
      <w:pPr>
        <w:pStyle w:val="FirstParagraph"/>
      </w:pPr>
      <w:r>
        <w:t xml:space="preserve">Require:</w:t>
      </w:r>
    </w:p>
    <w:p>
      <w:pPr>
        <w:pStyle w:val="BodyText"/>
      </w:pPr>
      <m:oMathPara>
        <m:oMathParaPr>
          <m:jc m:val="center"/>
        </m:oMathParaPr>
        <m:oMath>
          <m:r>
            <m:t>E</m:t>
          </m:r>
          <m:sSub>
            <m:e>
              <m:r>
                <m:t>V</m:t>
              </m:r>
            </m:e>
            <m:sub>
              <m:r>
                <m:t>t</m:t>
              </m:r>
            </m:sub>
          </m:sSub>
          <m:r>
            <m:rPr>
              <m:sty m:val="p"/>
            </m:rPr>
            <m:t>&gt;</m:t>
          </m:r>
          <m:sSub>
            <m:e>
              <m:r>
                <m:t>τ</m:t>
              </m:r>
            </m:e>
            <m:sub>
              <m:r>
                <m:t>t</m:t>
              </m:r>
            </m:sub>
          </m:sSub>
        </m:oMath>
      </m:oMathPara>
    </w:p>
    <w:p>
      <w:pPr>
        <w:pStyle w:val="FirstParagraph"/>
      </w:pPr>
      <w:r>
        <w:t xml:space="preserve">where</w:t>
      </w:r>
      <w:r>
        <w:t xml:space="preserve"> </w:t>
      </w:r>
      <m:oMath>
        <m:sSub>
          <m:e>
            <m:r>
              <m:t>τ</m:t>
            </m:r>
          </m:e>
          <m:sub>
            <m:r>
              <m:t>t</m:t>
            </m:r>
          </m:sub>
        </m:sSub>
      </m:oMath>
      <w:r>
        <w:t xml:space="preserve"> </w:t>
      </w:r>
      <w:r>
        <w:t xml:space="preserve">is a dynamic hurdle rate reflecting:</w:t>
      </w:r>
    </w:p>
    <w:p>
      <w:pPr>
        <w:pStyle w:val="Compact"/>
        <w:numPr>
          <w:ilvl w:val="0"/>
          <w:numId w:val="1066"/>
        </w:numPr>
      </w:pPr>
      <w:r>
        <w:t xml:space="preserve">Model uncertainty.</w:t>
      </w:r>
    </w:p>
    <w:p>
      <w:pPr>
        <w:pStyle w:val="Compact"/>
        <w:numPr>
          <w:ilvl w:val="0"/>
          <w:numId w:val="1066"/>
        </w:numPr>
      </w:pPr>
      <w:r>
        <w:t xml:space="preserve">Liquidity.</w:t>
      </w:r>
    </w:p>
    <w:p>
      <w:pPr>
        <w:pStyle w:val="Compact"/>
        <w:numPr>
          <w:ilvl w:val="0"/>
          <w:numId w:val="1066"/>
        </w:numPr>
      </w:pPr>
      <w:r>
        <w:t xml:space="preserve">Time to settlement.</w:t>
      </w:r>
    </w:p>
    <w:p>
      <w:pPr>
        <w:pStyle w:val="Compact"/>
        <w:numPr>
          <w:ilvl w:val="0"/>
          <w:numId w:val="1066"/>
        </w:numPr>
      </w:pPr>
      <w:r>
        <w:t xml:space="preserve">Data staleness.</w:t>
      </w:r>
    </w:p>
    <w:p>
      <w:pPr>
        <w:pStyle w:val="Compact"/>
        <w:numPr>
          <w:ilvl w:val="0"/>
          <w:numId w:val="1066"/>
        </w:numPr>
      </w:pPr>
      <w:r>
        <w:t xml:space="preserve">Parameter instability.</w:t>
      </w:r>
    </w:p>
    <w:p>
      <w:pPr>
        <w:pStyle w:val="Compact"/>
        <w:numPr>
          <w:ilvl w:val="0"/>
          <w:numId w:val="1066"/>
        </w:numPr>
      </w:pPr>
      <w:r>
        <w:t xml:space="preserve">Correlated exposure.</w:t>
      </w:r>
    </w:p>
    <w:p>
      <w:pPr>
        <w:pStyle w:val="Compact"/>
        <w:numPr>
          <w:ilvl w:val="0"/>
          <w:numId w:val="1066"/>
        </w:numPr>
      </w:pPr>
      <w:r>
        <w:t xml:space="preserve">Drawdown state.</w:t>
      </w:r>
    </w:p>
    <w:p>
      <w:pPr>
        <w:pStyle w:val="Compact"/>
        <w:numPr>
          <w:ilvl w:val="0"/>
          <w:numId w:val="1066"/>
        </w:numPr>
      </w:pPr>
      <w:r>
        <w:t xml:space="preserve">Opportunity cost.</w:t>
      </w:r>
    </w:p>
    <w:p>
      <w:pPr>
        <w:pStyle w:val="FirstParagraph"/>
      </w:pPr>
      <w:r>
        <w:t xml:space="preserve">Distinguish:</w:t>
      </w:r>
    </w:p>
    <w:p>
      <w:pPr>
        <w:pStyle w:val="Compact"/>
        <w:numPr>
          <w:ilvl w:val="0"/>
          <w:numId w:val="1067"/>
        </w:numPr>
      </w:pPr>
      <w:r>
        <w:t xml:space="preserve">Mid-price alpha.</w:t>
      </w:r>
    </w:p>
    <w:p>
      <w:pPr>
        <w:pStyle w:val="Compact"/>
        <w:numPr>
          <w:ilvl w:val="0"/>
          <w:numId w:val="1067"/>
        </w:numPr>
      </w:pPr>
      <w:r>
        <w:t xml:space="preserve">Bid-side alpha.</w:t>
      </w:r>
    </w:p>
    <w:p>
      <w:pPr>
        <w:pStyle w:val="Compact"/>
        <w:numPr>
          <w:ilvl w:val="0"/>
          <w:numId w:val="1067"/>
        </w:numPr>
      </w:pPr>
      <w:r>
        <w:t xml:space="preserve">Ask-side alpha.</w:t>
      </w:r>
    </w:p>
    <w:p>
      <w:pPr>
        <w:pStyle w:val="Compact"/>
        <w:numPr>
          <w:ilvl w:val="0"/>
          <w:numId w:val="1067"/>
        </w:numPr>
      </w:pPr>
      <w:r>
        <w:t xml:space="preserve">Fill-adjusted alpha.</w:t>
      </w:r>
    </w:p>
    <w:p>
      <w:pPr>
        <w:pStyle w:val="Compact"/>
        <w:numPr>
          <w:ilvl w:val="0"/>
          <w:numId w:val="1067"/>
        </w:numPr>
      </w:pPr>
      <w:r>
        <w:t xml:space="preserve">Capacity-adjusted alpha.</w:t>
      </w:r>
    </w:p>
    <w:p>
      <w:pPr>
        <w:pStyle w:val="FirstParagraph"/>
      </w:pPr>
      <w:r>
        <w:t xml:space="preserve">Calculate expected value conditional on fill:</w:t>
      </w:r>
    </w:p>
    <w:p>
      <w:pPr>
        <w:pStyle w:val="BodyText"/>
      </w:pPr>
      <w:r>
        <w:t xml:space="preserve">$$</w:t>
      </w:r>
      <w:r>
        <w:t xml:space="preserve"> </w:t>
      </w:r>
      <w:r>
        <w:t xml:space="preserve">EV_t^{</w:t>
      </w:r>
      <w:r>
        <w:t xml:space="preserve">}</w:t>
      </w:r>
      <w:r>
        <w:t xml:space="preserve"> </w:t>
      </w:r>
      <w:r>
        <w:t xml:space="preserve">=</w:t>
      </w:r>
      <w:r>
        <w:t xml:space="preserve"> </w:t>
      </w:r>
      <w:r>
        <w:t xml:space="preserve">P_t(</w:t>
      </w:r>
      <w:r>
        <w:t xml:space="preserve">)</w:t>
      </w:r>
      <w:r>
        <w:t xml:space="preserve"> </w:t>
      </w:r>
    </w:p>
    <w:p>
      <w:pPr>
        <w:numPr>
          <w:ilvl w:val="0"/>
          <w:numId w:val="1068"/>
        </w:numPr>
      </w:pPr>
      <w:r>
        <w:t xml:space="preserve">C_t^{</w:t>
      </w:r>
      <w:r>
        <w:t xml:space="preserve">}</w:t>
      </w:r>
    </w:p>
    <w:p>
      <w:pPr>
        <w:numPr>
          <w:ilvl w:val="0"/>
          <w:numId w:val="1068"/>
        </w:numPr>
      </w:pPr>
      <w:r>
        <w:t xml:space="preserve">C_t^{</w:t>
      </w:r>
      <w:r>
        <w:t xml:space="preserve">}</w:t>
      </w:r>
      <w:r>
        <w:t xml:space="preserve"> </w:t>
      </w:r>
      <w:r>
        <w:t xml:space="preserve">$$</w:t>
      </w:r>
    </w:p>
    <w:p>
      <w:r>
        <w:pict>
          <v:rect style="width:0;height:1.5pt" o:hralign="center" o:hrstd="t" o:hr="t"/>
        </w:pict>
      </w:r>
    </w:p>
    <w:bookmarkEnd w:id="66"/>
    <w:bookmarkStart w:id="69" w:name="headline-and-narrative-driven-mispricing"/>
    <w:p>
      <w:pPr>
        <w:pStyle w:val="Heading1"/>
      </w:pPr>
      <w:r>
        <w:t xml:space="preserve">13. Headline and Narrative-Driven Mispricing</w:t>
      </w:r>
    </w:p>
    <w:p>
      <w:pPr>
        <w:pStyle w:val="FirstParagraph"/>
      </w:pPr>
      <w:r>
        <w:t xml:space="preserve">Develop an event-driven framework for detecting cases where localized heat headlines cause market prices to overreact relative to their contribution to the global settlement index.</w:t>
      </w:r>
    </w:p>
    <w:bookmarkStart w:id="67" w:name="a.-headline-ingestion"/>
    <w:p>
      <w:pPr>
        <w:pStyle w:val="Heading2"/>
      </w:pPr>
      <w:r>
        <w:t xml:space="preserve">A. Headline Ingestion</w:t>
      </w:r>
    </w:p>
    <w:p>
      <w:pPr>
        <w:pStyle w:val="FirstParagraph"/>
      </w:pPr>
      <w:r>
        <w:t xml:space="preserve">Parse:</w:t>
      </w:r>
    </w:p>
    <w:p>
      <w:pPr>
        <w:pStyle w:val="Compact"/>
        <w:numPr>
          <w:ilvl w:val="0"/>
          <w:numId w:val="1069"/>
        </w:numPr>
      </w:pPr>
      <w:r>
        <w:t xml:space="preserve">Geographic region.</w:t>
      </w:r>
    </w:p>
    <w:p>
      <w:pPr>
        <w:pStyle w:val="Compact"/>
        <w:numPr>
          <w:ilvl w:val="0"/>
          <w:numId w:val="1069"/>
        </w:numPr>
      </w:pPr>
      <w:r>
        <w:t xml:space="preserve">Temperature magnitude.</w:t>
      </w:r>
    </w:p>
    <w:p>
      <w:pPr>
        <w:pStyle w:val="Compact"/>
        <w:numPr>
          <w:ilvl w:val="0"/>
          <w:numId w:val="1069"/>
        </w:numPr>
      </w:pPr>
      <w:r>
        <w:t xml:space="preserve">Duration.</w:t>
      </w:r>
    </w:p>
    <w:p>
      <w:pPr>
        <w:pStyle w:val="Compact"/>
        <w:numPr>
          <w:ilvl w:val="0"/>
          <w:numId w:val="1069"/>
        </w:numPr>
      </w:pPr>
      <w:r>
        <w:t xml:space="preserve">Area affected.</w:t>
      </w:r>
    </w:p>
    <w:p>
      <w:pPr>
        <w:pStyle w:val="Compact"/>
        <w:numPr>
          <w:ilvl w:val="0"/>
          <w:numId w:val="1069"/>
        </w:numPr>
      </w:pPr>
      <w:r>
        <w:t xml:space="preserve">Population exposure.</w:t>
      </w:r>
    </w:p>
    <w:p>
      <w:pPr>
        <w:pStyle w:val="Compact"/>
        <w:numPr>
          <w:ilvl w:val="0"/>
          <w:numId w:val="1069"/>
        </w:numPr>
      </w:pPr>
      <w:r>
        <w:t xml:space="preserve">Whether the event is forecast or observed.</w:t>
      </w:r>
    </w:p>
    <w:p>
      <w:pPr>
        <w:pStyle w:val="Compact"/>
        <w:numPr>
          <w:ilvl w:val="0"/>
          <w:numId w:val="1069"/>
        </w:numPr>
      </w:pPr>
      <w:r>
        <w:t xml:space="preserve">Land or ocean influence.</w:t>
      </w:r>
    </w:p>
    <w:p>
      <w:pPr>
        <w:pStyle w:val="Compact"/>
        <w:numPr>
          <w:ilvl w:val="0"/>
          <w:numId w:val="1069"/>
        </w:numPr>
      </w:pPr>
      <w:r>
        <w:t xml:space="preserve">Confidence language.</w:t>
      </w:r>
    </w:p>
    <w:p>
      <w:pPr>
        <w:pStyle w:val="Compact"/>
        <w:numPr>
          <w:ilvl w:val="0"/>
          <w:numId w:val="1069"/>
        </w:numPr>
      </w:pPr>
      <w:r>
        <w:t xml:space="preserve">Source credibility.</w:t>
      </w:r>
    </w:p>
    <w:p>
      <w:pPr>
        <w:pStyle w:val="Compact"/>
        <w:numPr>
          <w:ilvl w:val="0"/>
          <w:numId w:val="1069"/>
        </w:numPr>
      </w:pPr>
      <w:r>
        <w:t xml:space="preserve">Publication timestamp.</w:t>
      </w:r>
    </w:p>
    <w:p>
      <w:pPr>
        <w:pStyle w:val="Compact"/>
        <w:numPr>
          <w:ilvl w:val="0"/>
          <w:numId w:val="1069"/>
        </w:numPr>
      </w:pPr>
      <w:r>
        <w:t xml:space="preserve">Duplicate or syndicated reporting.</w:t>
      </w:r>
    </w:p>
    <w:p>
      <w:pPr>
        <w:pStyle w:val="FirstParagraph"/>
      </w:pPr>
      <w:r>
        <w:t xml:space="preserve">Use NLP only as a structured event extractor, not as an independent source of climate truth.</w:t>
      </w:r>
    </w:p>
    <w:bookmarkEnd w:id="67"/>
    <w:bookmarkStart w:id="68" w:name="b.-local-to-global-impact-mapping"/>
    <w:p>
      <w:pPr>
        <w:pStyle w:val="Heading2"/>
      </w:pPr>
      <w:r>
        <w:t xml:space="preserve">B. Local-to-Global Impact Mapping</w:t>
      </w:r>
    </w:p>
    <w:p>
      <w:pPr>
        <w:pStyle w:val="FirstParagraph"/>
      </w:pPr>
      <w:r>
        <w:t xml:space="preserve">Estimate the approximate contribution of region</w:t>
      </w:r>
      <w:r>
        <w:t xml:space="preserve"> </w:t>
      </w:r>
      <m:oMath>
        <m:r>
          <m:t>R</m:t>
        </m:r>
      </m:oMath>
      <w:r>
        <w:t xml:space="preserve">:</w:t>
      </w:r>
    </w:p>
    <w:p>
      <w:pPr>
        <w:pStyle w:val="BodyText"/>
      </w:pPr>
      <m:oMathPara>
        <m:oMathParaPr>
          <m:jc m:val="center"/>
        </m:oMathParaPr>
        <m:oMath>
          <m:r>
            <m:t>Δ</m:t>
          </m:r>
          <m:sSub>
            <m:e>
              <m:r>
                <m:t>X</m:t>
              </m:r>
            </m:e>
            <m:sub>
              <m:r>
                <m:rPr>
                  <m:nor/>
                  <m:sty m:val="p"/>
                </m:rPr>
                <m:t>global</m:t>
              </m:r>
            </m:sub>
          </m:sSub>
          <m:r>
            <m:rPr>
              <m:sty m:val="p"/>
            </m:rPr>
            <m:t>≈</m:t>
          </m:r>
          <m:nary>
            <m:naryPr>
              <m:chr m:val="∑"/>
              <m:limLoc m:val="undOvr"/>
              <m:subHide m:val="off"/>
              <m:supHide m:val="on"/>
            </m:naryPr>
            <m:sub>
              <m:r>
                <m:t>i</m:t>
              </m:r>
              <m:r>
                <m:rPr>
                  <m:sty m:val="p"/>
                </m:rPr>
                <m:t>∈</m:t>
              </m:r>
              <m:r>
                <m:t>R</m:t>
              </m:r>
            </m:sub>
            <m:sup>
              <m:r>
                <m:t>​</m:t>
              </m:r>
            </m:sup>
            <m:e>
              <m:sSub>
                <m:e>
                  <m:r>
                    <m:t>w</m:t>
                  </m:r>
                </m:e>
                <m:sub>
                  <m:r>
                    <m:t>i</m:t>
                  </m:r>
                </m:sub>
              </m:sSub>
            </m:e>
          </m:nary>
          <m:r>
            <m:t>Δ</m:t>
          </m:r>
          <m:sSub>
            <m:e>
              <m:r>
                <m:t>X</m:t>
              </m:r>
            </m:e>
            <m:sub>
              <m:r>
                <m:t>i</m:t>
              </m:r>
            </m:sub>
          </m:sSub>
        </m:oMath>
      </m:oMathPara>
    </w:p>
    <w:p>
      <w:pPr>
        <w:pStyle w:val="FirstParagraph"/>
      </w:pPr>
      <w:r>
        <w:t xml:space="preserve">A severe anomaly over a small land region may have limited effect on a land-ocean global mean.</w:t>
      </w:r>
    </w:p>
    <w:p>
      <w:pPr>
        <w:pStyle w:val="BodyText"/>
      </w:pPr>
      <w:r>
        <w:t xml:space="preserve">Construct a headline-dislocation measure:</w:t>
      </w:r>
    </w:p>
    <w:p>
      <w:pPr>
        <w:pStyle w:val="BodyText"/>
      </w:pPr>
      <w:r>
        <w:t xml:space="preserve">$$</w:t>
      </w:r>
      <w:r>
        <w:t xml:space="preserve"> </w:t>
      </w:r>
      <w:r>
        <w:t xml:space="preserve">H_t</w:t>
      </w:r>
      <w:r>
        <w:t xml:space="preserve"> </w:t>
      </w:r>
      <w:r>
        <w:t xml:space="preserve">=</w:t>
      </w:r>
      <w:r>
        <w:t xml:space="preserve"> </w:t>
      </w:r>
      <w:r>
        <w:t xml:space="preserve">q_t^{</w:t>
      </w:r>
      <w:r>
        <w:t xml:space="preserve">}</w:t>
      </w:r>
    </w:p>
    <w:p>
      <w:pPr>
        <w:pStyle w:val="Compact"/>
        <w:numPr>
          <w:ilvl w:val="0"/>
          <w:numId w:val="1070"/>
        </w:numPr>
      </w:pPr>
      <w:r>
        <w:t xml:space="preserve">$$</w:t>
      </w:r>
    </w:p>
    <w:p>
      <w:pPr>
        <w:pStyle w:val="FirstParagraph"/>
      </w:pPr>
      <w:r>
        <w:t xml:space="preserve">Study post-headline price paths with event windows:</w:t>
      </w:r>
    </w:p>
    <w:p>
      <w:pPr>
        <w:pStyle w:val="BodyText"/>
      </w:pPr>
      <m:oMathPara>
        <m:oMathParaPr>
          <m:jc m:val="center"/>
        </m:oMathParaPr>
        <m:oMath>
          <m:r>
            <m:t>C</m:t>
          </m:r>
          <m:r>
            <m:t>A</m:t>
          </m:r>
          <m:sSub>
            <m:e>
              <m:r>
                <m:t>R</m:t>
              </m:r>
            </m:e>
            <m:sub>
              <m:d>
                <m:dPr>
                  <m:begChr m:val="["/>
                  <m:sepChr m:val=""/>
                  <m:endChr m:val="]"/>
                  <m:grow/>
                </m:dPr>
                <m:e>
                  <m:sSub>
                    <m:e>
                      <m:r>
                        <m:t>τ</m:t>
                      </m:r>
                    </m:e>
                    <m:sub>
                      <m:r>
                        <m:t>1</m:t>
                      </m:r>
                    </m:sub>
                  </m:sSub>
                  <m:r>
                    <m:rPr>
                      <m:sty m:val="p"/>
                    </m:rPr>
                    <m:t>,</m:t>
                  </m:r>
                  <m:sSub>
                    <m:e>
                      <m:r>
                        <m:t>τ</m:t>
                      </m:r>
                    </m:e>
                    <m:sub>
                      <m:r>
                        <m:t>2</m:t>
                      </m:r>
                    </m:sub>
                  </m:sSub>
                </m:e>
              </m:d>
            </m:sub>
          </m:sSub>
          <m:r>
            <m:rPr>
              <m:sty m:val="p"/>
            </m:rPr>
            <m:t>=</m:t>
          </m:r>
          <m:nary>
            <m:naryPr>
              <m:chr m:val="∑"/>
              <m:limLoc m:val="undOvr"/>
              <m:subHide m:val="off"/>
              <m:supHide m:val="off"/>
            </m:naryPr>
            <m:sub>
              <m:r>
                <m:t>t</m:t>
              </m:r>
              <m:r>
                <m:rPr>
                  <m:sty m:val="p"/>
                </m:rPr>
                <m:t>=</m:t>
              </m:r>
              <m:sSub>
                <m:e>
                  <m:r>
                    <m:t>τ</m:t>
                  </m:r>
                </m:e>
                <m:sub>
                  <m:r>
                    <m:t>1</m:t>
                  </m:r>
                </m:sub>
              </m:sSub>
            </m:sub>
            <m:sup>
              <m:sSub>
                <m:e>
                  <m:r>
                    <m:t>τ</m:t>
                  </m:r>
                </m:e>
                <m:sub>
                  <m:r>
                    <m:t>2</m:t>
                  </m:r>
                </m:sub>
              </m:sSub>
            </m:sup>
            <m:e>
              <m:d>
                <m:dPr>
                  <m:begChr m:val="("/>
                  <m:sepChr m:val=""/>
                  <m:endChr m:val=")"/>
                  <m:grow/>
                </m:dPr>
                <m:e>
                  <m:sSub>
                    <m:e>
                      <m:r>
                        <m:t>r</m:t>
                      </m:r>
                    </m:e>
                    <m:sub>
                      <m:r>
                        <m:t>t</m:t>
                      </m:r>
                    </m:sub>
                  </m:sSub>
                  <m:r>
                    <m:rPr>
                      <m:sty m:val="p"/>
                    </m:rPr>
                    <m:t>−</m:t>
                  </m:r>
                  <m:sSub>
                    <m:e>
                      <m:acc>
                        <m:accPr>
                          <m:chr m:val="̂"/>
                        </m:accPr>
                        <m:e>
                          <m:r>
                            <m:t>r</m:t>
                          </m:r>
                        </m:e>
                      </m:acc>
                    </m:e>
                    <m:sub>
                      <m:r>
                        <m:t>t</m:t>
                      </m:r>
                    </m:sub>
                  </m:sSub>
                </m:e>
              </m:d>
            </m:e>
          </m:nary>
        </m:oMath>
      </m:oMathPara>
    </w:p>
    <w:p>
      <w:pPr>
        <w:pStyle w:val="FirstParagraph"/>
      </w:pPr>
      <w:r>
        <w:t xml:space="preserve">Test whether apparent reversals remain profitable after:</w:t>
      </w:r>
    </w:p>
    <w:p>
      <w:pPr>
        <w:pStyle w:val="Compact"/>
        <w:numPr>
          <w:ilvl w:val="0"/>
          <w:numId w:val="1071"/>
        </w:numPr>
      </w:pPr>
      <w:r>
        <w:t xml:space="preserve">Spread.</w:t>
      </w:r>
    </w:p>
    <w:p>
      <w:pPr>
        <w:pStyle w:val="Compact"/>
        <w:numPr>
          <w:ilvl w:val="0"/>
          <w:numId w:val="1071"/>
        </w:numPr>
      </w:pPr>
      <w:r>
        <w:t xml:space="preserve">Fees.</w:t>
      </w:r>
    </w:p>
    <w:p>
      <w:pPr>
        <w:pStyle w:val="Compact"/>
        <w:numPr>
          <w:ilvl w:val="0"/>
          <w:numId w:val="1071"/>
        </w:numPr>
      </w:pPr>
      <w:r>
        <w:t xml:space="preserve">Latency.</w:t>
      </w:r>
    </w:p>
    <w:p>
      <w:pPr>
        <w:pStyle w:val="Compact"/>
        <w:numPr>
          <w:ilvl w:val="0"/>
          <w:numId w:val="1071"/>
        </w:numPr>
      </w:pPr>
      <w:r>
        <w:t xml:space="preserve">Selection bias.</w:t>
      </w:r>
    </w:p>
    <w:p>
      <w:pPr>
        <w:pStyle w:val="Compact"/>
        <w:numPr>
          <w:ilvl w:val="0"/>
          <w:numId w:val="1071"/>
        </w:numPr>
      </w:pPr>
      <w:r>
        <w:t xml:space="preserve">Overlapping events.</w:t>
      </w:r>
    </w:p>
    <w:p>
      <w:pPr>
        <w:pStyle w:val="Compact"/>
        <w:numPr>
          <w:ilvl w:val="0"/>
          <w:numId w:val="1071"/>
        </w:numPr>
      </w:pPr>
      <w:r>
        <w:t xml:space="preserve">Release of genuine new forecast information.</w:t>
      </w:r>
    </w:p>
    <w:p>
      <w:pPr>
        <w:pStyle w:val="FirstParagraph"/>
      </w:pPr>
      <w:r>
        <w:t xml:space="preserve">Do not automatically recommend fading headlines. First establish statistically significant, out-of-sample reversal behavior.</w:t>
      </w:r>
    </w:p>
    <w:p>
      <w:r>
        <w:pict>
          <v:rect style="width:0;height:1.5pt" o:hralign="center" o:hrstd="t" o:hr="t"/>
        </w:pict>
      </w:r>
    </w:p>
    <w:bookmarkEnd w:id="68"/>
    <w:bookmarkEnd w:id="69"/>
    <w:bookmarkStart w:id="73" w:name="additional-alpha-factors"/>
    <w:p>
      <w:pPr>
        <w:pStyle w:val="Heading1"/>
      </w:pPr>
      <w:r>
        <w:t xml:space="preserve">14. Additional Alpha Factors</w:t>
      </w:r>
    </w:p>
    <w:p>
      <w:pPr>
        <w:pStyle w:val="FirstParagraph"/>
      </w:pPr>
      <w:r>
        <w:t xml:space="preserve">Research and rank the incremental predictive value of the following factors.</w:t>
      </w:r>
    </w:p>
    <w:bookmarkStart w:id="70" w:name="meteorological-factors"/>
    <w:p>
      <w:pPr>
        <w:pStyle w:val="Heading2"/>
      </w:pPr>
      <w:r>
        <w:t xml:space="preserve">Meteorological Factors</w:t>
      </w:r>
    </w:p>
    <w:p>
      <w:pPr>
        <w:pStyle w:val="Compact"/>
        <w:numPr>
          <w:ilvl w:val="0"/>
          <w:numId w:val="1072"/>
        </w:numPr>
      </w:pPr>
      <w:r>
        <w:t xml:space="preserve">Month-to-date anomaly.</w:t>
      </w:r>
    </w:p>
    <w:p>
      <w:pPr>
        <w:pStyle w:val="Compact"/>
        <w:numPr>
          <w:ilvl w:val="0"/>
          <w:numId w:val="1072"/>
        </w:numPr>
      </w:pPr>
      <w:r>
        <w:t xml:space="preserve">Required remaining-day anomaly.</w:t>
      </w:r>
    </w:p>
    <w:p>
      <w:pPr>
        <w:pStyle w:val="Compact"/>
        <w:numPr>
          <w:ilvl w:val="0"/>
          <w:numId w:val="1072"/>
        </w:numPr>
      </w:pPr>
      <w:r>
        <w:t xml:space="preserve">ECMWF ensemble mean.</w:t>
      </w:r>
    </w:p>
    <w:p>
      <w:pPr>
        <w:pStyle w:val="Compact"/>
        <w:numPr>
          <w:ilvl w:val="0"/>
          <w:numId w:val="1072"/>
        </w:numPr>
      </w:pPr>
      <w:r>
        <w:t xml:space="preserve">Ensemble median.</w:t>
      </w:r>
    </w:p>
    <w:p>
      <w:pPr>
        <w:pStyle w:val="Compact"/>
        <w:numPr>
          <w:ilvl w:val="0"/>
          <w:numId w:val="1072"/>
        </w:numPr>
      </w:pPr>
      <w:r>
        <w:t xml:space="preserve">Ensemble spread.</w:t>
      </w:r>
    </w:p>
    <w:p>
      <w:pPr>
        <w:pStyle w:val="Compact"/>
        <w:numPr>
          <w:ilvl w:val="0"/>
          <w:numId w:val="1072"/>
        </w:numPr>
      </w:pPr>
      <w:r>
        <w:t xml:space="preserve">Ensemble skewness.</w:t>
      </w:r>
    </w:p>
    <w:p>
      <w:pPr>
        <w:pStyle w:val="Compact"/>
        <w:numPr>
          <w:ilvl w:val="0"/>
          <w:numId w:val="1072"/>
        </w:numPr>
      </w:pPr>
      <w:r>
        <w:t xml:space="preserve">Tail-member count.</w:t>
      </w:r>
    </w:p>
    <w:p>
      <w:pPr>
        <w:pStyle w:val="Compact"/>
        <w:numPr>
          <w:ilvl w:val="0"/>
          <w:numId w:val="1072"/>
        </w:numPr>
      </w:pPr>
      <w:r>
        <w:t xml:space="preserve">HRES-versus-ENS divergence.</w:t>
      </w:r>
    </w:p>
    <w:p>
      <w:pPr>
        <w:pStyle w:val="Compact"/>
        <w:numPr>
          <w:ilvl w:val="0"/>
          <w:numId w:val="1072"/>
        </w:numPr>
      </w:pPr>
      <w:r>
        <w:t xml:space="preserve">Forecast-cycle revision.</w:t>
      </w:r>
    </w:p>
    <w:p>
      <w:pPr>
        <w:pStyle w:val="Compact"/>
        <w:numPr>
          <w:ilvl w:val="0"/>
          <w:numId w:val="1072"/>
        </w:numPr>
      </w:pPr>
      <w:r>
        <w:t xml:space="preserve">Lagged-ensemble direction.</w:t>
      </w:r>
    </w:p>
    <w:p>
      <w:pPr>
        <w:pStyle w:val="Compact"/>
        <w:numPr>
          <w:ilvl w:val="0"/>
          <w:numId w:val="1072"/>
        </w:numPr>
      </w:pPr>
      <w:r>
        <w:t xml:space="preserve">Forecast-run consistency.</w:t>
      </w:r>
    </w:p>
    <w:p>
      <w:pPr>
        <w:pStyle w:val="Compact"/>
        <w:numPr>
          <w:ilvl w:val="0"/>
          <w:numId w:val="1072"/>
        </w:numPr>
      </w:pPr>
      <w:r>
        <w:t xml:space="preserve">Spatial heat concentration.</w:t>
      </w:r>
    </w:p>
    <w:p>
      <w:pPr>
        <w:pStyle w:val="Compact"/>
        <w:numPr>
          <w:ilvl w:val="0"/>
          <w:numId w:val="1072"/>
        </w:numPr>
      </w:pPr>
      <w:r>
        <w:t xml:space="preserve">Tropical-ocean anomalies.</w:t>
      </w:r>
    </w:p>
    <w:p>
      <w:pPr>
        <w:pStyle w:val="Compact"/>
        <w:numPr>
          <w:ilvl w:val="0"/>
          <w:numId w:val="1072"/>
        </w:numPr>
      </w:pPr>
      <w:r>
        <w:t xml:space="preserve">North Atlantic SST anomalies.</w:t>
      </w:r>
    </w:p>
    <w:p>
      <w:pPr>
        <w:pStyle w:val="Compact"/>
        <w:numPr>
          <w:ilvl w:val="0"/>
          <w:numId w:val="1072"/>
        </w:numPr>
      </w:pPr>
      <w:r>
        <w:t xml:space="preserve">Southern Ocean anomalies.</w:t>
      </w:r>
    </w:p>
    <w:p>
      <w:pPr>
        <w:pStyle w:val="Compact"/>
        <w:numPr>
          <w:ilvl w:val="0"/>
          <w:numId w:val="1072"/>
        </w:numPr>
      </w:pPr>
      <w:r>
        <w:t xml:space="preserve">Arctic anomalies.</w:t>
      </w:r>
    </w:p>
    <w:p>
      <w:pPr>
        <w:pStyle w:val="Compact"/>
        <w:numPr>
          <w:ilvl w:val="0"/>
          <w:numId w:val="1072"/>
        </w:numPr>
      </w:pPr>
      <w:r>
        <w:t xml:space="preserve">Land-ocean contrast.</w:t>
      </w:r>
    </w:p>
    <w:p>
      <w:pPr>
        <w:pStyle w:val="Compact"/>
        <w:numPr>
          <w:ilvl w:val="0"/>
          <w:numId w:val="1072"/>
        </w:numPr>
      </w:pPr>
      <w:r>
        <w:t xml:space="preserve">Persistence of daily anomalies.</w:t>
      </w:r>
    </w:p>
    <w:p>
      <w:pPr>
        <w:pStyle w:val="Compact"/>
        <w:numPr>
          <w:ilvl w:val="0"/>
          <w:numId w:val="1072"/>
        </w:numPr>
      </w:pPr>
      <w:r>
        <w:t xml:space="preserve">Blocking probability.</w:t>
      </w:r>
    </w:p>
    <w:p>
      <w:pPr>
        <w:pStyle w:val="Compact"/>
        <w:numPr>
          <w:ilvl w:val="0"/>
          <w:numId w:val="1072"/>
        </w:numPr>
      </w:pPr>
      <w:r>
        <w:t xml:space="preserve">MJO phase.</w:t>
      </w:r>
    </w:p>
    <w:p>
      <w:pPr>
        <w:pStyle w:val="Compact"/>
        <w:numPr>
          <w:ilvl w:val="0"/>
          <w:numId w:val="1072"/>
        </w:numPr>
      </w:pPr>
      <w:r>
        <w:t xml:space="preserve">ENSO state.</w:t>
      </w:r>
    </w:p>
    <w:p>
      <w:pPr>
        <w:pStyle w:val="Compact"/>
        <w:numPr>
          <w:ilvl w:val="0"/>
          <w:numId w:val="1072"/>
        </w:numPr>
      </w:pPr>
      <w:r>
        <w:t xml:space="preserve">Soil moisture.</w:t>
      </w:r>
    </w:p>
    <w:p>
      <w:pPr>
        <w:pStyle w:val="Compact"/>
        <w:numPr>
          <w:ilvl w:val="0"/>
          <w:numId w:val="1072"/>
        </w:numPr>
      </w:pPr>
      <w:r>
        <w:t xml:space="preserve">Sea ice.</w:t>
      </w:r>
    </w:p>
    <w:p>
      <w:pPr>
        <w:pStyle w:val="Compact"/>
        <w:numPr>
          <w:ilvl w:val="0"/>
          <w:numId w:val="1072"/>
        </w:numPr>
      </w:pPr>
      <w:r>
        <w:t xml:space="preserve">Volcanic or aerosol forcing.</w:t>
      </w:r>
    </w:p>
    <w:p>
      <w:pPr>
        <w:pStyle w:val="Compact"/>
        <w:numPr>
          <w:ilvl w:val="0"/>
          <w:numId w:val="1072"/>
        </w:numPr>
      </w:pPr>
      <w:r>
        <w:t xml:space="preserve">Cloud and radiation anomalies.</w:t>
      </w:r>
    </w:p>
    <w:p>
      <w:pPr>
        <w:pStyle w:val="Compact"/>
        <w:numPr>
          <w:ilvl w:val="0"/>
          <w:numId w:val="1072"/>
        </w:numPr>
      </w:pPr>
      <w:r>
        <w:t xml:space="preserve">Reanalysis observation density.</w:t>
      </w:r>
    </w:p>
    <w:p>
      <w:pPr>
        <w:pStyle w:val="Compact"/>
        <w:numPr>
          <w:ilvl w:val="0"/>
          <w:numId w:val="1072"/>
        </w:numPr>
      </w:pPr>
      <w:r>
        <w:t xml:space="preserve">Forecast lead time.</w:t>
      </w:r>
    </w:p>
    <w:bookmarkEnd w:id="70"/>
    <w:bookmarkStart w:id="71" w:name="translation-factors"/>
    <w:p>
      <w:pPr>
        <w:pStyle w:val="Heading2"/>
      </w:pPr>
      <w:r>
        <w:t xml:space="preserve">Translation Factors</w:t>
      </w:r>
    </w:p>
    <w:p>
      <w:pPr>
        <w:pStyle w:val="Compact"/>
        <w:numPr>
          <w:ilvl w:val="0"/>
          <w:numId w:val="1073"/>
        </w:numPr>
      </w:pPr>
      <w:r>
        <w:t xml:space="preserve">Rolling ERA5-to-NOAA residual.</w:t>
      </w:r>
    </w:p>
    <w:p>
      <w:pPr>
        <w:pStyle w:val="Compact"/>
        <w:numPr>
          <w:ilvl w:val="0"/>
          <w:numId w:val="1073"/>
        </w:numPr>
      </w:pPr>
      <w:r>
        <w:t xml:space="preserve">Tail-conditioned residual.</w:t>
      </w:r>
    </w:p>
    <w:p>
      <w:pPr>
        <w:pStyle w:val="Compact"/>
        <w:numPr>
          <w:ilvl w:val="0"/>
          <w:numId w:val="1073"/>
        </w:numPr>
      </w:pPr>
      <w:r>
        <w:t xml:space="preserve">Baseline-adjustment uncertainty.</w:t>
      </w:r>
    </w:p>
    <w:p>
      <w:pPr>
        <w:pStyle w:val="Compact"/>
        <w:numPr>
          <w:ilvl w:val="0"/>
          <w:numId w:val="1073"/>
        </w:numPr>
      </w:pPr>
      <w:r>
        <w:t xml:space="preserve">Dataset-vintage revision.</w:t>
      </w:r>
    </w:p>
    <w:p>
      <w:pPr>
        <w:pStyle w:val="Compact"/>
        <w:numPr>
          <w:ilvl w:val="0"/>
          <w:numId w:val="1073"/>
        </w:numPr>
      </w:pPr>
      <w:r>
        <w:t xml:space="preserve">Coverage indicators.</w:t>
      </w:r>
    </w:p>
    <w:p>
      <w:pPr>
        <w:pStyle w:val="Compact"/>
        <w:numPr>
          <w:ilvl w:val="0"/>
          <w:numId w:val="1073"/>
        </w:numPr>
      </w:pPr>
      <w:r>
        <w:t xml:space="preserve">Seasonal coefficients.</w:t>
      </w:r>
    </w:p>
    <w:p>
      <w:pPr>
        <w:pStyle w:val="Compact"/>
        <w:numPr>
          <w:ilvl w:val="0"/>
          <w:numId w:val="1073"/>
        </w:numPr>
      </w:pPr>
      <w:r>
        <w:t xml:space="preserve">Structural-break probability.</w:t>
      </w:r>
    </w:p>
    <w:p>
      <w:pPr>
        <w:pStyle w:val="Compact"/>
        <w:numPr>
          <w:ilvl w:val="0"/>
          <w:numId w:val="1073"/>
        </w:numPr>
      </w:pPr>
      <w:r>
        <w:t xml:space="preserve">Translation-model disagreement.</w:t>
      </w:r>
    </w:p>
    <w:bookmarkEnd w:id="71"/>
    <w:bookmarkStart w:id="72" w:name="market-factors"/>
    <w:p>
      <w:pPr>
        <w:pStyle w:val="Heading2"/>
      </w:pPr>
      <w:r>
        <w:t xml:space="preserve">Market Factors</w:t>
      </w:r>
    </w:p>
    <w:p>
      <w:pPr>
        <w:pStyle w:val="Compact"/>
        <w:numPr>
          <w:ilvl w:val="0"/>
          <w:numId w:val="1074"/>
        </w:numPr>
      </w:pPr>
      <w:r>
        <w:t xml:space="preserve">Price versus posterior mean.</w:t>
      </w:r>
    </w:p>
    <w:p>
      <w:pPr>
        <w:pStyle w:val="Compact"/>
        <w:numPr>
          <w:ilvl w:val="0"/>
          <w:numId w:val="1074"/>
        </w:numPr>
      </w:pPr>
      <w:r>
        <w:t xml:space="preserve">Price versus conservative posterior bound.</w:t>
      </w:r>
    </w:p>
    <w:p>
      <w:pPr>
        <w:pStyle w:val="Compact"/>
        <w:numPr>
          <w:ilvl w:val="0"/>
          <w:numId w:val="1074"/>
        </w:numPr>
      </w:pPr>
      <w:r>
        <w:t xml:space="preserve">Bid-ask spread.</w:t>
      </w:r>
    </w:p>
    <w:p>
      <w:pPr>
        <w:pStyle w:val="Compact"/>
        <w:numPr>
          <w:ilvl w:val="0"/>
          <w:numId w:val="1074"/>
        </w:numPr>
      </w:pPr>
      <w:r>
        <w:t xml:space="preserve">Depth.</w:t>
      </w:r>
    </w:p>
    <w:p>
      <w:pPr>
        <w:pStyle w:val="Compact"/>
        <w:numPr>
          <w:ilvl w:val="0"/>
          <w:numId w:val="1074"/>
        </w:numPr>
      </w:pPr>
      <w:r>
        <w:t xml:space="preserve">Order-book imbalance.</w:t>
      </w:r>
    </w:p>
    <w:p>
      <w:pPr>
        <w:pStyle w:val="Compact"/>
        <w:numPr>
          <w:ilvl w:val="0"/>
          <w:numId w:val="1074"/>
        </w:numPr>
      </w:pPr>
      <w:r>
        <w:t xml:space="preserve">Order-flow imbalance.</w:t>
      </w:r>
    </w:p>
    <w:p>
      <w:pPr>
        <w:pStyle w:val="Compact"/>
        <w:numPr>
          <w:ilvl w:val="0"/>
          <w:numId w:val="1074"/>
        </w:numPr>
      </w:pPr>
      <w:r>
        <w:t xml:space="preserve">Cancellation intensity.</w:t>
      </w:r>
    </w:p>
    <w:p>
      <w:pPr>
        <w:pStyle w:val="Compact"/>
        <w:numPr>
          <w:ilvl w:val="0"/>
          <w:numId w:val="1074"/>
        </w:numPr>
      </w:pPr>
      <w:r>
        <w:t xml:space="preserve">Trade intensity.</w:t>
      </w:r>
    </w:p>
    <w:p>
      <w:pPr>
        <w:pStyle w:val="Compact"/>
        <w:numPr>
          <w:ilvl w:val="0"/>
          <w:numId w:val="1074"/>
        </w:numPr>
      </w:pPr>
      <w:r>
        <w:t xml:space="preserve">Passive-fill probability.</w:t>
      </w:r>
    </w:p>
    <w:p>
      <w:pPr>
        <w:pStyle w:val="Compact"/>
        <w:numPr>
          <w:ilvl w:val="0"/>
          <w:numId w:val="1074"/>
        </w:numPr>
      </w:pPr>
      <w:r>
        <w:t xml:space="preserve">Adverse-selection estimate.</w:t>
      </w:r>
    </w:p>
    <w:p>
      <w:pPr>
        <w:pStyle w:val="Compact"/>
        <w:numPr>
          <w:ilvl w:val="0"/>
          <w:numId w:val="1074"/>
        </w:numPr>
      </w:pPr>
      <w:r>
        <w:t xml:space="preserve">Recent realized volatility.</w:t>
      </w:r>
    </w:p>
    <w:p>
      <w:pPr>
        <w:pStyle w:val="Compact"/>
        <w:numPr>
          <w:ilvl w:val="0"/>
          <w:numId w:val="1074"/>
        </w:numPr>
      </w:pPr>
      <w:r>
        <w:t xml:space="preserve">Time since meteorological update.</w:t>
      </w:r>
    </w:p>
    <w:p>
      <w:pPr>
        <w:pStyle w:val="Compact"/>
        <w:numPr>
          <w:ilvl w:val="0"/>
          <w:numId w:val="1074"/>
        </w:numPr>
      </w:pPr>
      <w:r>
        <w:t xml:space="preserve">Time until settlement.</w:t>
      </w:r>
    </w:p>
    <w:p>
      <w:pPr>
        <w:pStyle w:val="Compact"/>
        <w:numPr>
          <w:ilvl w:val="0"/>
          <w:numId w:val="1074"/>
        </w:numPr>
      </w:pPr>
      <w:r>
        <w:t xml:space="preserve">Price response to forecast revisions.</w:t>
      </w:r>
    </w:p>
    <w:p>
      <w:pPr>
        <w:pStyle w:val="Compact"/>
        <w:numPr>
          <w:ilvl w:val="0"/>
          <w:numId w:val="1074"/>
        </w:numPr>
      </w:pPr>
      <w:r>
        <w:t xml:space="preserve">Cross-contract price consistency.</w:t>
      </w:r>
    </w:p>
    <w:p>
      <w:pPr>
        <w:pStyle w:val="Compact"/>
        <w:numPr>
          <w:ilvl w:val="0"/>
          <w:numId w:val="1074"/>
        </w:numPr>
      </w:pPr>
      <w:r>
        <w:t xml:space="preserve">Market-maker inventory signatures.</w:t>
      </w:r>
    </w:p>
    <w:p>
      <w:pPr>
        <w:pStyle w:val="Compact"/>
        <w:numPr>
          <w:ilvl w:val="0"/>
          <w:numId w:val="1074"/>
        </w:numPr>
      </w:pPr>
      <w:r>
        <w:t xml:space="preserve">Weekend or overnight liquidity.</w:t>
      </w:r>
    </w:p>
    <w:p>
      <w:pPr>
        <w:pStyle w:val="Compact"/>
        <w:numPr>
          <w:ilvl w:val="0"/>
          <w:numId w:val="1074"/>
        </w:numPr>
      </w:pPr>
      <w:r>
        <w:t xml:space="preserve">Headline sentiment dislocation.</w:t>
      </w:r>
    </w:p>
    <w:p>
      <w:pPr>
        <w:pStyle w:val="FirstParagraph"/>
      </w:pPr>
      <w:r>
        <w:t xml:space="preserve">For each factor, provide:</w:t>
      </w:r>
    </w:p>
    <w:p>
      <w:pPr>
        <w:pStyle w:val="Compact"/>
        <w:numPr>
          <w:ilvl w:val="0"/>
          <w:numId w:val="1075"/>
        </w:numPr>
      </w:pPr>
      <w:r>
        <w:t xml:space="preserve">Mathematical definition.</w:t>
      </w:r>
    </w:p>
    <w:p>
      <w:pPr>
        <w:pStyle w:val="Compact"/>
        <w:numPr>
          <w:ilvl w:val="0"/>
          <w:numId w:val="1075"/>
        </w:numPr>
      </w:pPr>
      <w:r>
        <w:t xml:space="preserve">Economic or meteorological rationale.</w:t>
      </w:r>
    </w:p>
    <w:p>
      <w:pPr>
        <w:pStyle w:val="Compact"/>
        <w:numPr>
          <w:ilvl w:val="0"/>
          <w:numId w:val="1075"/>
        </w:numPr>
      </w:pPr>
      <w:r>
        <w:t xml:space="preserve">Expected sign.</w:t>
      </w:r>
    </w:p>
    <w:p>
      <w:pPr>
        <w:pStyle w:val="Compact"/>
        <w:numPr>
          <w:ilvl w:val="0"/>
          <w:numId w:val="1075"/>
        </w:numPr>
      </w:pPr>
      <w:r>
        <w:t xml:space="preserve">Expected horizon.</w:t>
      </w:r>
    </w:p>
    <w:p>
      <w:pPr>
        <w:pStyle w:val="Compact"/>
        <w:numPr>
          <w:ilvl w:val="0"/>
          <w:numId w:val="1075"/>
        </w:numPr>
      </w:pPr>
      <w:r>
        <w:t xml:space="preserve">Data requirements.</w:t>
      </w:r>
    </w:p>
    <w:p>
      <w:pPr>
        <w:pStyle w:val="Compact"/>
        <w:numPr>
          <w:ilvl w:val="0"/>
          <w:numId w:val="1075"/>
        </w:numPr>
      </w:pPr>
      <w:r>
        <w:t xml:space="preserve">Potential leakage.</w:t>
      </w:r>
    </w:p>
    <w:p>
      <w:pPr>
        <w:pStyle w:val="Compact"/>
        <w:numPr>
          <w:ilvl w:val="0"/>
          <w:numId w:val="1075"/>
        </w:numPr>
      </w:pPr>
      <w:r>
        <w:t xml:space="preserve">Collinearity.</w:t>
      </w:r>
    </w:p>
    <w:p>
      <w:pPr>
        <w:pStyle w:val="Compact"/>
        <w:numPr>
          <w:ilvl w:val="0"/>
          <w:numId w:val="1075"/>
        </w:numPr>
      </w:pPr>
      <w:r>
        <w:t xml:space="preserve">Capacity constraints.</w:t>
      </w:r>
    </w:p>
    <w:p>
      <w:pPr>
        <w:pStyle w:val="Compact"/>
        <w:numPr>
          <w:ilvl w:val="0"/>
          <w:numId w:val="1075"/>
        </w:numPr>
      </w:pPr>
      <w:r>
        <w:t xml:space="preserve">Transaction-cost sensitivity.</w:t>
      </w:r>
    </w:p>
    <w:p>
      <w:pPr>
        <w:pStyle w:val="Compact"/>
        <w:numPr>
          <w:ilvl w:val="0"/>
          <w:numId w:val="1075"/>
        </w:numPr>
      </w:pPr>
      <w:r>
        <w:t xml:space="preserve">Out-of-sample evidence.</w:t>
      </w:r>
    </w:p>
    <w:p>
      <w:r>
        <w:pict>
          <v:rect style="width:0;height:1.5pt" o:hralign="center" o:hrstd="t" o:hr="t"/>
        </w:pict>
      </w:r>
    </w:p>
    <w:bookmarkEnd w:id="72"/>
    <w:bookmarkEnd w:id="73"/>
    <w:bookmarkStart w:id="74" w:name="Xca63ccd3446565aa14584819c8b6e4ec0893742"/>
    <w:p>
      <w:pPr>
        <w:pStyle w:val="Heading1"/>
      </w:pPr>
      <w:r>
        <w:t xml:space="preserve">15. Cross-Contract and Portfolio Relative Value</w:t>
      </w:r>
    </w:p>
    <w:p>
      <w:pPr>
        <w:pStyle w:val="FirstParagraph"/>
      </w:pPr>
      <w:r>
        <w:t xml:space="preserve">Analyze the joint probability structure across contracts such as:</w:t>
      </w:r>
    </w:p>
    <w:p>
      <w:pPr>
        <w:pStyle w:val="Compact"/>
        <w:numPr>
          <w:ilvl w:val="0"/>
          <w:numId w:val="1076"/>
        </w:numPr>
      </w:pPr>
      <w:r>
        <w:t xml:space="preserve">June versus July.</w:t>
      </w:r>
    </w:p>
    <w:p>
      <w:pPr>
        <w:pStyle w:val="Compact"/>
        <w:numPr>
          <w:ilvl w:val="0"/>
          <w:numId w:val="1076"/>
        </w:numPr>
      </w:pPr>
      <w:r>
        <w:t xml:space="preserve">Threshold ladders.</w:t>
      </w:r>
    </w:p>
    <w:p>
      <w:pPr>
        <w:pStyle w:val="Compact"/>
        <w:numPr>
          <w:ilvl w:val="0"/>
          <w:numId w:val="1076"/>
        </w:numPr>
      </w:pPr>
      <w:r>
        <w:t xml:space="preserve">Record versus non-record.</w:t>
      </w:r>
    </w:p>
    <w:p>
      <w:pPr>
        <w:pStyle w:val="Compact"/>
        <w:numPr>
          <w:ilvl w:val="0"/>
          <w:numId w:val="1076"/>
        </w:numPr>
      </w:pPr>
      <w:r>
        <w:t xml:space="preserve">Different anomaly bins.</w:t>
      </w:r>
    </w:p>
    <w:p>
      <w:pPr>
        <w:pStyle w:val="Compact"/>
        <w:numPr>
          <w:ilvl w:val="0"/>
          <w:numId w:val="1076"/>
        </w:numPr>
      </w:pPr>
      <w:r>
        <w:t xml:space="preserve">Different settlement datasets.</w:t>
      </w:r>
    </w:p>
    <w:p>
      <w:pPr>
        <w:pStyle w:val="Compact"/>
        <w:numPr>
          <w:ilvl w:val="0"/>
          <w:numId w:val="1076"/>
        </w:numPr>
      </w:pPr>
      <w:r>
        <w:t xml:space="preserve">Monthly versus annual records.</w:t>
      </w:r>
    </w:p>
    <w:p>
      <w:pPr>
        <w:pStyle w:val="Compact"/>
        <w:numPr>
          <w:ilvl w:val="0"/>
          <w:numId w:val="1076"/>
        </w:numPr>
      </w:pPr>
      <w:r>
        <w:t xml:space="preserve">Mutually exclusive outcomes.</w:t>
      </w:r>
    </w:p>
    <w:p>
      <w:pPr>
        <w:pStyle w:val="FirstParagraph"/>
      </w:pPr>
      <w:r>
        <w:t xml:space="preserve">Enforce probability coherence.</w:t>
      </w:r>
    </w:p>
    <w:p>
      <w:pPr>
        <w:pStyle w:val="BodyText"/>
      </w:pPr>
      <w:r>
        <w:t xml:space="preserve">For nested events</w:t>
      </w:r>
      <w:r>
        <w:t xml:space="preserve"> </w:t>
      </w:r>
      <m:oMath>
        <m:r>
          <m:t>A</m:t>
        </m:r>
        <m:r>
          <m:rPr>
            <m:sty m:val="p"/>
          </m:rPr>
          <m:t>⊆</m:t>
        </m:r>
        <m:r>
          <m:t>B</m:t>
        </m:r>
      </m:oMath>
      <w:r>
        <w:t xml:space="preserve">:</w:t>
      </w:r>
    </w:p>
    <w:p>
      <w:pPr>
        <w:pStyle w:val="BodyText"/>
      </w:pPr>
      <m:oMathPara>
        <m:oMathParaPr>
          <m:jc m:val="center"/>
        </m:oMathParaPr>
        <m:oMath>
          <m:r>
            <m:rPr>
              <m:sty m:val="p"/>
            </m:rPr>
            <m:t>Pr</m:t>
          </m:r>
          <m:d>
            <m:dPr>
              <m:begChr m:val="("/>
              <m:sepChr m:val=""/>
              <m:endChr m:val=")"/>
              <m:grow/>
            </m:dPr>
            <m:e>
              <m:r>
                <m:t>A</m:t>
              </m:r>
            </m:e>
          </m:d>
          <m:r>
            <m:rPr>
              <m:sty m:val="p"/>
            </m:rPr>
            <m:t>≤</m:t>
          </m:r>
          <m:r>
            <m:rPr>
              <m:sty m:val="p"/>
            </m:rPr>
            <m:t>Pr</m:t>
          </m:r>
          <m:d>
            <m:dPr>
              <m:begChr m:val="("/>
              <m:sepChr m:val=""/>
              <m:endChr m:val=")"/>
              <m:grow/>
            </m:dPr>
            <m:e>
              <m:r>
                <m:t>B</m:t>
              </m:r>
            </m:e>
          </m:d>
        </m:oMath>
      </m:oMathPara>
    </w:p>
    <w:p>
      <w:pPr>
        <w:pStyle w:val="FirstParagraph"/>
      </w:pPr>
      <w:r>
        <w:t xml:space="preserve">For mutually exclusive and exhaustive bins:</w:t>
      </w:r>
    </w:p>
    <w:p>
      <w:pPr>
        <w:pStyle w:val="BodyText"/>
      </w:pPr>
      <m:oMathPara>
        <m:oMathParaPr>
          <m:jc m:val="center"/>
        </m:oMathParaPr>
        <m:oMath>
          <m:nary>
            <m:naryPr>
              <m:chr m:val="∑"/>
              <m:limLoc m:val="undOvr"/>
              <m:subHide m:val="off"/>
              <m:supHide m:val="off"/>
            </m:naryPr>
            <m:sub>
              <m:r>
                <m:t>i</m:t>
              </m:r>
              <m:r>
                <m:rPr>
                  <m:sty m:val="p"/>
                </m:rPr>
                <m:t>=</m:t>
              </m:r>
              <m:r>
                <m:t>1</m:t>
              </m:r>
            </m:sub>
            <m:sup>
              <m:r>
                <m:t>K</m:t>
              </m:r>
            </m:sup>
            <m:e>
              <m:r>
                <m:rPr>
                  <m:sty m:val="p"/>
                </m:rPr>
                <m:t>Pr</m:t>
              </m:r>
            </m:e>
          </m:nary>
          <m:d>
            <m:dPr>
              <m:begChr m:val="("/>
              <m:sepChr m:val=""/>
              <m:endChr m:val=")"/>
              <m:grow/>
            </m:dPr>
            <m:e>
              <m:sSub>
                <m:e>
                  <m:r>
                    <m:t>A</m:t>
                  </m:r>
                </m:e>
                <m:sub>
                  <m:r>
                    <m:t>i</m:t>
                  </m:r>
                </m:sub>
              </m:sSub>
            </m:e>
          </m:d>
          <m:r>
            <m:rPr>
              <m:sty m:val="p"/>
            </m:rPr>
            <m:t>=</m:t>
          </m:r>
          <m:r>
            <m:t>1</m:t>
          </m:r>
        </m:oMath>
      </m:oMathPara>
    </w:p>
    <w:p>
      <w:pPr>
        <w:pStyle w:val="FirstParagraph"/>
      </w:pPr>
      <w:r>
        <w:t xml:space="preserve">Detect violations after accounting for executable bid and ask prices.</w:t>
      </w:r>
    </w:p>
    <w:p>
      <w:pPr>
        <w:pStyle w:val="BodyText"/>
      </w:pPr>
      <w:r>
        <w:t xml:space="preserve">For a portfolio with outcome vector</w:t>
      </w:r>
      <w:r>
        <w:t xml:space="preserve"> </w:t>
      </w:r>
      <m:oMath>
        <m:r>
          <m:rPr>
            <m:sty m:val="b"/>
          </m:rPr>
          <m:t>S</m:t>
        </m:r>
      </m:oMath>
      <w:r>
        <w:t xml:space="preserve"> </w:t>
      </w:r>
      <w:r>
        <w:t xml:space="preserve">and position vector</w:t>
      </w:r>
      <w:r>
        <w:t xml:space="preserve"> </w:t>
      </w:r>
      <m:oMath>
        <m:r>
          <m:rPr>
            <m:sty m:val="b"/>
          </m:rPr>
          <m:t>w</m:t>
        </m:r>
      </m:oMath>
      <w:r>
        <w:t xml:space="preserve">:</w:t>
      </w:r>
    </w:p>
    <w:p>
      <w:pPr>
        <w:pStyle w:val="BodyText"/>
      </w:pPr>
      <w:r>
        <w:t xml:space="preserve">$$</w:t>
      </w:r>
      <w:r>
        <w:t xml:space="preserve"> </w:t>
      </w:r>
      <w:r>
        <w:t xml:space="preserve">_T</w:t>
      </w:r>
      <w:r>
        <w:t xml:space="preserve"> </w:t>
      </w:r>
      <w:r>
        <w:t xml:space="preserve">=</w:t>
      </w:r>
      <w:r>
        <w:t xml:space="preserve"> </w:t>
      </w:r>
      <w:r>
        <w:t xml:space="preserve">^</w:t>
      </w:r>
    </w:p>
    <w:p>
      <w:pPr>
        <w:numPr>
          <w:ilvl w:val="0"/>
          <w:numId w:val="1077"/>
        </w:numPr>
      </w:pPr>
      <w:r>
        <w:t xml:space="preserve">^</w:t>
      </w:r>
    </w:p>
    <w:p>
      <w:pPr>
        <w:numPr>
          <w:ilvl w:val="0"/>
          <w:numId w:val="1077"/>
        </w:numPr>
      </w:pPr>
      <w:r>
        <w:t xml:space="preserve">C(</w:t>
      </w:r>
      <w:r>
        <w:t xml:space="preserve">)</w:t>
      </w:r>
      <w:r>
        <w:t xml:space="preserve"> </w:t>
      </w:r>
      <w:r>
        <w:t xml:space="preserve">$$</w:t>
      </w:r>
    </w:p>
    <w:p>
      <w:pPr>
        <w:pStyle w:val="FirstParagraph"/>
      </w:pPr>
      <w:r>
        <w:t xml:space="preserve">Optimize:</w:t>
      </w:r>
    </w:p>
    <w:p>
      <w:pPr>
        <w:pStyle w:val="BodyText"/>
      </w:pPr>
      <w:r>
        <w:t xml:space="preserve">$$</w:t>
      </w:r>
      <w:r>
        <w:t xml:space="preserve"> </w:t>
      </w:r>
      <w:r>
        <w:t xml:space="preserve">_{</w:t>
      </w:r>
      <w:r>
        <w:t xml:space="preserve">}</w:t>
      </w:r>
      <w:r>
        <w:t xml:space="preserve"> </w:t>
      </w:r>
      <w:r>
        <w:t xml:space="preserve">;</w:t>
      </w:r>
      <w:r>
        <w:t xml:space="preserve"> </w:t>
      </w:r>
      <w:r>
        <w:t xml:space="preserve">[</w:t>
      </w:r>
      <w:r>
        <w:t xml:space="preserve">_T]</w:t>
      </w:r>
    </w:p>
    <w:p>
      <w:pPr>
        <w:numPr>
          <w:ilvl w:val="0"/>
          <w:numId w:val="1078"/>
        </w:numPr>
      </w:pPr>
      <w:r>
        <w:t xml:space="preserve">(</w:t>
      </w:r>
      <w:r>
        <w:t xml:space="preserve">_T)</w:t>
      </w:r>
    </w:p>
    <w:p>
      <w:pPr>
        <w:numPr>
          <w:ilvl w:val="0"/>
          <w:numId w:val="1078"/>
        </w:numPr>
      </w:pPr>
      <w:r>
        <w:t xml:space="preserve">C(</w:t>
      </w:r>
      <w:r>
        <w:t xml:space="preserve">)</w:t>
      </w:r>
      <w:r>
        <w:t xml:space="preserve"> </w:t>
      </w:r>
      <w:r>
        <w:t xml:space="preserve">$$</w:t>
      </w:r>
    </w:p>
    <w:p>
      <w:pPr>
        <w:pStyle w:val="FirstParagraph"/>
      </w:pPr>
      <w:r>
        <w:t xml:space="preserve">subject to:</w:t>
      </w:r>
    </w:p>
    <w:p>
      <w:pPr>
        <w:pStyle w:val="Compact"/>
        <w:numPr>
          <w:ilvl w:val="0"/>
          <w:numId w:val="1079"/>
        </w:numPr>
      </w:pPr>
      <w:r>
        <w:t xml:space="preserve">Position limits.</w:t>
      </w:r>
    </w:p>
    <w:p>
      <w:pPr>
        <w:pStyle w:val="Compact"/>
        <w:numPr>
          <w:ilvl w:val="0"/>
          <w:numId w:val="1079"/>
        </w:numPr>
      </w:pPr>
      <w:r>
        <w:t xml:space="preserve">Capital limits.</w:t>
      </w:r>
    </w:p>
    <w:p>
      <w:pPr>
        <w:pStyle w:val="Compact"/>
        <w:numPr>
          <w:ilvl w:val="0"/>
          <w:numId w:val="1079"/>
        </w:numPr>
      </w:pPr>
      <w:r>
        <w:t xml:space="preserve">Liquidity limits.</w:t>
      </w:r>
    </w:p>
    <w:p>
      <w:pPr>
        <w:pStyle w:val="Compact"/>
        <w:numPr>
          <w:ilvl w:val="0"/>
          <w:numId w:val="1079"/>
        </w:numPr>
      </w:pPr>
      <w:r>
        <w:t xml:space="preserve">Maximum loss.</w:t>
      </w:r>
    </w:p>
    <w:p>
      <w:pPr>
        <w:pStyle w:val="Compact"/>
        <w:numPr>
          <w:ilvl w:val="0"/>
          <w:numId w:val="1079"/>
        </w:numPr>
      </w:pPr>
      <w:r>
        <w:t xml:space="preserve">Correlation limits.</w:t>
      </w:r>
    </w:p>
    <w:p>
      <w:pPr>
        <w:pStyle w:val="Compact"/>
        <w:numPr>
          <w:ilvl w:val="0"/>
          <w:numId w:val="1079"/>
        </w:numPr>
      </w:pPr>
      <w:r>
        <w:t xml:space="preserve">Settlement-oracle concentration.</w:t>
      </w:r>
    </w:p>
    <w:p>
      <w:pPr>
        <w:pStyle w:val="Compact"/>
        <w:numPr>
          <w:ilvl w:val="0"/>
          <w:numId w:val="1079"/>
        </w:numPr>
      </w:pPr>
      <w:r>
        <w:t xml:space="preserve">Model-family concentration.</w:t>
      </w:r>
    </w:p>
    <w:p>
      <w:pPr>
        <w:pStyle w:val="Compact"/>
        <w:numPr>
          <w:ilvl w:val="0"/>
          <w:numId w:val="1079"/>
        </w:numPr>
      </w:pPr>
      <w:r>
        <w:t xml:space="preserve">Drawdown constraints.</w:t>
      </w:r>
    </w:p>
    <w:p>
      <w:pPr>
        <w:pStyle w:val="FirstParagraph"/>
      </w:pPr>
      <w:r>
        <w:t xml:space="preserve">Use scenario-based optimization rather than relying exclusively on covariance when payoffs are discontinuous.</w:t>
      </w:r>
    </w:p>
    <w:p>
      <w:r>
        <w:pict>
          <v:rect style="width:0;height:1.5pt" o:hralign="center" o:hrstd="t" o:hr="t"/>
        </w:pict>
      </w:r>
    </w:p>
    <w:bookmarkEnd w:id="74"/>
    <w:bookmarkStart w:id="79" w:name="backtesting-methodology"/>
    <w:p>
      <w:pPr>
        <w:pStyle w:val="Heading1"/>
      </w:pPr>
      <w:r>
        <w:t xml:space="preserve">16. Backtesting Methodology</w:t>
      </w:r>
    </w:p>
    <w:p>
      <w:pPr>
        <w:pStyle w:val="FirstParagraph"/>
      </w:pPr>
      <w:r>
        <w:t xml:space="preserve">Design a backtest that replicates the real decision environment.</w:t>
      </w:r>
    </w:p>
    <w:bookmarkStart w:id="75" w:name="a.-required-controls"/>
    <w:p>
      <w:pPr>
        <w:pStyle w:val="Heading2"/>
      </w:pPr>
      <w:r>
        <w:t xml:space="preserve">A. Required Controls</w:t>
      </w:r>
    </w:p>
    <w:p>
      <w:pPr>
        <w:pStyle w:val="FirstParagraph"/>
      </w:pPr>
      <w:r>
        <w:t xml:space="preserve">Use:</w:t>
      </w:r>
    </w:p>
    <w:p>
      <w:pPr>
        <w:pStyle w:val="Compact"/>
        <w:numPr>
          <w:ilvl w:val="0"/>
          <w:numId w:val="1080"/>
        </w:numPr>
      </w:pPr>
      <w:r>
        <w:t xml:space="preserve">Historical forecast vintages.</w:t>
      </w:r>
    </w:p>
    <w:p>
      <w:pPr>
        <w:pStyle w:val="Compact"/>
        <w:numPr>
          <w:ilvl w:val="0"/>
          <w:numId w:val="1080"/>
        </w:numPr>
      </w:pPr>
      <w:r>
        <w:t xml:space="preserve">Historical preliminary observations.</w:t>
      </w:r>
    </w:p>
    <w:p>
      <w:pPr>
        <w:pStyle w:val="Compact"/>
        <w:numPr>
          <w:ilvl w:val="0"/>
          <w:numId w:val="1080"/>
        </w:numPr>
      </w:pPr>
      <w:r>
        <w:t xml:space="preserve">Historical exchange order books or best available quotes.</w:t>
      </w:r>
    </w:p>
    <w:p>
      <w:pPr>
        <w:pStyle w:val="Compact"/>
        <w:numPr>
          <w:ilvl w:val="0"/>
          <w:numId w:val="1080"/>
        </w:numPr>
      </w:pPr>
      <w:r>
        <w:t xml:space="preserve">Actual publication timestamps.</w:t>
      </w:r>
    </w:p>
    <w:p>
      <w:pPr>
        <w:pStyle w:val="Compact"/>
        <w:numPr>
          <w:ilvl w:val="0"/>
          <w:numId w:val="1080"/>
        </w:numPr>
      </w:pPr>
      <w:r>
        <w:t xml:space="preserve">Actual fees.</w:t>
      </w:r>
    </w:p>
    <w:p>
      <w:pPr>
        <w:pStyle w:val="Compact"/>
        <w:numPr>
          <w:ilvl w:val="0"/>
          <w:numId w:val="1080"/>
        </w:numPr>
      </w:pPr>
      <w:r>
        <w:t xml:space="preserve">Tick sizes.</w:t>
      </w:r>
    </w:p>
    <w:p>
      <w:pPr>
        <w:pStyle w:val="Compact"/>
        <w:numPr>
          <w:ilvl w:val="0"/>
          <w:numId w:val="1080"/>
        </w:numPr>
      </w:pPr>
      <w:r>
        <w:t xml:space="preserve">Realistic latency.</w:t>
      </w:r>
    </w:p>
    <w:p>
      <w:pPr>
        <w:pStyle w:val="Compact"/>
        <w:numPr>
          <w:ilvl w:val="0"/>
          <w:numId w:val="1080"/>
        </w:numPr>
      </w:pPr>
      <w:r>
        <w:t xml:space="preserve">Partial fills.</w:t>
      </w:r>
    </w:p>
    <w:p>
      <w:pPr>
        <w:pStyle w:val="Compact"/>
        <w:numPr>
          <w:ilvl w:val="0"/>
          <w:numId w:val="1080"/>
        </w:numPr>
      </w:pPr>
      <w:r>
        <w:t xml:space="preserve">Queue uncertainty.</w:t>
      </w:r>
    </w:p>
    <w:p>
      <w:pPr>
        <w:pStyle w:val="Compact"/>
        <w:numPr>
          <w:ilvl w:val="0"/>
          <w:numId w:val="1080"/>
        </w:numPr>
      </w:pPr>
      <w:r>
        <w:t xml:space="preserve">Market closures.</w:t>
      </w:r>
    </w:p>
    <w:p>
      <w:pPr>
        <w:pStyle w:val="Compact"/>
        <w:numPr>
          <w:ilvl w:val="0"/>
          <w:numId w:val="1080"/>
        </w:numPr>
      </w:pPr>
      <w:r>
        <w:t xml:space="preserve">Missing data.</w:t>
      </w:r>
    </w:p>
    <w:p>
      <w:pPr>
        <w:pStyle w:val="Compact"/>
        <w:numPr>
          <w:ilvl w:val="0"/>
          <w:numId w:val="1080"/>
        </w:numPr>
      </w:pPr>
      <w:r>
        <w:t xml:space="preserve">Contract-specific settlement rules.</w:t>
      </w:r>
    </w:p>
    <w:p>
      <w:pPr>
        <w:pStyle w:val="FirstParagraph"/>
      </w:pPr>
      <w:r>
        <w:t xml:space="preserve">Prohibit:</w:t>
      </w:r>
    </w:p>
    <w:p>
      <w:pPr>
        <w:pStyle w:val="Compact"/>
        <w:numPr>
          <w:ilvl w:val="0"/>
          <w:numId w:val="1081"/>
        </w:numPr>
      </w:pPr>
      <w:r>
        <w:t xml:space="preserve">Revised-data leakage.</w:t>
      </w:r>
    </w:p>
    <w:p>
      <w:pPr>
        <w:pStyle w:val="Compact"/>
        <w:numPr>
          <w:ilvl w:val="0"/>
          <w:numId w:val="1081"/>
        </w:numPr>
      </w:pPr>
      <w:r>
        <w:t xml:space="preserve">Using the final NOAA value before release.</w:t>
      </w:r>
    </w:p>
    <w:p>
      <w:pPr>
        <w:pStyle w:val="Compact"/>
        <w:numPr>
          <w:ilvl w:val="0"/>
          <w:numId w:val="1081"/>
        </w:numPr>
      </w:pPr>
      <w:r>
        <w:t xml:space="preserve">Using future forecast cycles.</w:t>
      </w:r>
    </w:p>
    <w:p>
      <w:pPr>
        <w:pStyle w:val="Compact"/>
        <w:numPr>
          <w:ilvl w:val="0"/>
          <w:numId w:val="1081"/>
        </w:numPr>
      </w:pPr>
      <w:r>
        <w:t xml:space="preserve">Filling at the midpoint without justification.</w:t>
      </w:r>
    </w:p>
    <w:p>
      <w:pPr>
        <w:pStyle w:val="Compact"/>
        <w:numPr>
          <w:ilvl w:val="0"/>
          <w:numId w:val="1081"/>
        </w:numPr>
      </w:pPr>
      <w:r>
        <w:t xml:space="preserve">Assuming unlimited liquidity.</w:t>
      </w:r>
    </w:p>
    <w:p>
      <w:pPr>
        <w:pStyle w:val="Compact"/>
        <w:numPr>
          <w:ilvl w:val="0"/>
          <w:numId w:val="1081"/>
        </w:numPr>
      </w:pPr>
      <w:r>
        <w:t xml:space="preserve">Ignoring unfilled orders.</w:t>
      </w:r>
    </w:p>
    <w:p>
      <w:pPr>
        <w:pStyle w:val="Compact"/>
        <w:numPr>
          <w:ilvl w:val="0"/>
          <w:numId w:val="1081"/>
        </w:numPr>
      </w:pPr>
      <w:r>
        <w:t xml:space="preserve">Optimizing and evaluating on the same events.</w:t>
      </w:r>
    </w:p>
    <w:p>
      <w:pPr>
        <w:pStyle w:val="Compact"/>
        <w:numPr>
          <w:ilvl w:val="0"/>
          <w:numId w:val="1081"/>
        </w:numPr>
      </w:pPr>
      <w:r>
        <w:t xml:space="preserve">Selecting thresholds after viewing test results.</w:t>
      </w:r>
    </w:p>
    <w:bookmarkEnd w:id="75"/>
    <w:bookmarkStart w:id="76" w:name="b.-walk-forward-evaluation"/>
    <w:p>
      <w:pPr>
        <w:pStyle w:val="Heading2"/>
      </w:pPr>
      <w:r>
        <w:t xml:space="preserve">B. Walk-Forward Evaluation</w:t>
      </w:r>
    </w:p>
    <w:p>
      <w:pPr>
        <w:pStyle w:val="FirstParagraph"/>
      </w:pPr>
      <w:r>
        <w:t xml:space="preserve">Use rolling or expanding estimation windows.</w:t>
      </w:r>
    </w:p>
    <w:p>
      <w:pPr>
        <w:pStyle w:val="BodyText"/>
      </w:pPr>
      <w:r>
        <w:t xml:space="preserve">At evaluation time</w:t>
      </w:r>
      <w:r>
        <w:t xml:space="preserve"> </w:t>
      </w:r>
      <m:oMath>
        <m:r>
          <m:t>t</m:t>
        </m:r>
      </m:oMath>
      <w:r>
        <w:t xml:space="preserve">:</w:t>
      </w:r>
    </w:p>
    <w:p>
      <w:pPr>
        <w:pStyle w:val="Compact"/>
        <w:numPr>
          <w:ilvl w:val="0"/>
          <w:numId w:val="1082"/>
        </w:numPr>
      </w:pPr>
      <w:r>
        <w:t xml:space="preserve">Fit using only data available before</w:t>
      </w:r>
      <w:r>
        <w:t xml:space="preserve"> </w:t>
      </w:r>
      <m:oMath>
        <m:r>
          <m:t>t</m:t>
        </m:r>
      </m:oMath>
      <w:r>
        <w:t xml:space="preserve">.</w:t>
      </w:r>
    </w:p>
    <w:p>
      <w:pPr>
        <w:pStyle w:val="Compact"/>
        <w:numPr>
          <w:ilvl w:val="0"/>
          <w:numId w:val="1082"/>
        </w:numPr>
      </w:pPr>
      <w:r>
        <w:t xml:space="preserve">Generate the posterior.</w:t>
      </w:r>
    </w:p>
    <w:p>
      <w:pPr>
        <w:pStyle w:val="Compact"/>
        <w:numPr>
          <w:ilvl w:val="0"/>
          <w:numId w:val="1082"/>
        </w:numPr>
      </w:pPr>
      <w:r>
        <w:t xml:space="preserve">Generate executable orders.</w:t>
      </w:r>
    </w:p>
    <w:p>
      <w:pPr>
        <w:pStyle w:val="Compact"/>
        <w:numPr>
          <w:ilvl w:val="0"/>
          <w:numId w:val="1082"/>
        </w:numPr>
      </w:pPr>
      <w:r>
        <w:t xml:space="preserve">Simulate fills.</w:t>
      </w:r>
    </w:p>
    <w:p>
      <w:pPr>
        <w:pStyle w:val="Compact"/>
        <w:numPr>
          <w:ilvl w:val="0"/>
          <w:numId w:val="1082"/>
        </w:numPr>
      </w:pPr>
      <w:r>
        <w:t xml:space="preserve">Record P&amp;L.</w:t>
      </w:r>
    </w:p>
    <w:p>
      <w:pPr>
        <w:pStyle w:val="Compact"/>
        <w:numPr>
          <w:ilvl w:val="0"/>
          <w:numId w:val="1082"/>
        </w:numPr>
      </w:pPr>
      <w:r>
        <w:t xml:space="preserve">Advance to the next timestamp.</w:t>
      </w:r>
    </w:p>
    <w:p>
      <w:pPr>
        <w:pStyle w:val="Compact"/>
        <w:numPr>
          <w:ilvl w:val="0"/>
          <w:numId w:val="1082"/>
        </w:numPr>
      </w:pPr>
      <w:r>
        <w:t xml:space="preserve">Refit only according to the predefined schedule.</w:t>
      </w:r>
    </w:p>
    <w:p>
      <w:pPr>
        <w:pStyle w:val="FirstParagraph"/>
      </w:pPr>
      <w:r>
        <w:t xml:space="preserve">Use purging and embargo when samples overlap.</w:t>
      </w:r>
    </w:p>
    <w:bookmarkEnd w:id="76"/>
    <w:bookmarkStart w:id="77" w:name="c.-small-sample-problems"/>
    <w:p>
      <w:pPr>
        <w:pStyle w:val="Heading2"/>
      </w:pPr>
      <w:r>
        <w:t xml:space="preserve">C. Small-Sample Problems</w:t>
      </w:r>
    </w:p>
    <w:p>
      <w:pPr>
        <w:pStyle w:val="FirstParagraph"/>
      </w:pPr>
      <w:r>
        <w:t xml:space="preserve">Because record-temperature events are rare, use:</w:t>
      </w:r>
    </w:p>
    <w:p>
      <w:pPr>
        <w:pStyle w:val="Compact"/>
        <w:numPr>
          <w:ilvl w:val="0"/>
          <w:numId w:val="1083"/>
        </w:numPr>
      </w:pPr>
      <w:r>
        <w:t xml:space="preserve">Hierarchical pooling.</w:t>
      </w:r>
    </w:p>
    <w:p>
      <w:pPr>
        <w:pStyle w:val="Compact"/>
        <w:numPr>
          <w:ilvl w:val="0"/>
          <w:numId w:val="1083"/>
        </w:numPr>
      </w:pPr>
      <w:r>
        <w:t xml:space="preserve">Bayesian shrinkage.</w:t>
      </w:r>
    </w:p>
    <w:p>
      <w:pPr>
        <w:pStyle w:val="Compact"/>
        <w:numPr>
          <w:ilvl w:val="0"/>
          <w:numId w:val="1083"/>
        </w:numPr>
      </w:pPr>
      <w:r>
        <w:t xml:space="preserve">Bootstrap uncertainty.</w:t>
      </w:r>
    </w:p>
    <w:p>
      <w:pPr>
        <w:pStyle w:val="Compact"/>
        <w:numPr>
          <w:ilvl w:val="0"/>
          <w:numId w:val="1083"/>
        </w:numPr>
      </w:pPr>
      <w:r>
        <w:t xml:space="preserve">Block bootstrap.</w:t>
      </w:r>
    </w:p>
    <w:p>
      <w:pPr>
        <w:pStyle w:val="Compact"/>
        <w:numPr>
          <w:ilvl w:val="0"/>
          <w:numId w:val="1083"/>
        </w:numPr>
      </w:pPr>
      <w:r>
        <w:t xml:space="preserve">Synthetic stress scenarios.</w:t>
      </w:r>
    </w:p>
    <w:p>
      <w:pPr>
        <w:pStyle w:val="Compact"/>
        <w:numPr>
          <w:ilvl w:val="0"/>
          <w:numId w:val="1083"/>
        </w:numPr>
      </w:pPr>
      <w:r>
        <w:t xml:space="preserve">Multiple related contract histories.</w:t>
      </w:r>
    </w:p>
    <w:p>
      <w:pPr>
        <w:pStyle w:val="Compact"/>
        <w:numPr>
          <w:ilvl w:val="0"/>
          <w:numId w:val="1083"/>
        </w:numPr>
      </w:pPr>
      <w:r>
        <w:t xml:space="preserve">Pre-registered model comparisons.</w:t>
      </w:r>
    </w:p>
    <w:p>
      <w:pPr>
        <w:pStyle w:val="FirstParagraph"/>
      </w:pPr>
      <w:r>
        <w:t xml:space="preserve">Do not report precise tail probabilities unsupported by the effective sample size.</w:t>
      </w:r>
    </w:p>
    <w:bookmarkEnd w:id="77"/>
    <w:bookmarkStart w:id="78" w:name="d.-benchmark-models"/>
    <w:p>
      <w:pPr>
        <w:pStyle w:val="Heading2"/>
      </w:pPr>
      <w:r>
        <w:t xml:space="preserve">D. Benchmark Models</w:t>
      </w:r>
    </w:p>
    <w:p>
      <w:pPr>
        <w:pStyle w:val="FirstParagraph"/>
      </w:pPr>
      <w:r>
        <w:t xml:space="preserve">Compare the full model against:</w:t>
      </w:r>
    </w:p>
    <w:p>
      <w:pPr>
        <w:pStyle w:val="Compact"/>
        <w:numPr>
          <w:ilvl w:val="0"/>
          <w:numId w:val="1084"/>
        </w:numPr>
      </w:pPr>
      <w:r>
        <w:t xml:space="preserve">Market price only.</w:t>
      </w:r>
    </w:p>
    <w:p>
      <w:pPr>
        <w:pStyle w:val="Compact"/>
        <w:numPr>
          <w:ilvl w:val="0"/>
          <w:numId w:val="1084"/>
        </w:numPr>
      </w:pPr>
      <w:r>
        <w:t xml:space="preserve">Climatology only.</w:t>
      </w:r>
    </w:p>
    <w:p>
      <w:pPr>
        <w:pStyle w:val="Compact"/>
        <w:numPr>
          <w:ilvl w:val="0"/>
          <w:numId w:val="1084"/>
        </w:numPr>
      </w:pPr>
      <w:r>
        <w:t xml:space="preserve">Month-to-date linear projection.</w:t>
      </w:r>
    </w:p>
    <w:p>
      <w:pPr>
        <w:pStyle w:val="Compact"/>
        <w:numPr>
          <w:ilvl w:val="0"/>
          <w:numId w:val="1084"/>
        </w:numPr>
      </w:pPr>
      <w:r>
        <w:t xml:space="preserve">Raw ensemble fraction.</w:t>
      </w:r>
    </w:p>
    <w:p>
      <w:pPr>
        <w:pStyle w:val="Compact"/>
        <w:numPr>
          <w:ilvl w:val="0"/>
          <w:numId w:val="1084"/>
        </w:numPr>
      </w:pPr>
      <w:r>
        <w:t xml:space="preserve">Calibrated ensemble.</w:t>
      </w:r>
    </w:p>
    <w:p>
      <w:pPr>
        <w:pStyle w:val="Compact"/>
        <w:numPr>
          <w:ilvl w:val="0"/>
          <w:numId w:val="1084"/>
        </w:numPr>
      </w:pPr>
      <w:r>
        <w:t xml:space="preserve">Static ERA5-to-NOAA regression.</w:t>
      </w:r>
    </w:p>
    <w:p>
      <w:pPr>
        <w:pStyle w:val="Compact"/>
        <w:numPr>
          <w:ilvl w:val="0"/>
          <w:numId w:val="1084"/>
        </w:numPr>
      </w:pPr>
      <w:r>
        <w:t xml:space="preserve">Dynamic state-space translation.</w:t>
      </w:r>
    </w:p>
    <w:p>
      <w:pPr>
        <w:pStyle w:val="Compact"/>
        <w:numPr>
          <w:ilvl w:val="0"/>
          <w:numId w:val="1084"/>
        </w:numPr>
      </w:pPr>
      <w:r>
        <w:t xml:space="preserve">Regime-conditioned model.</w:t>
      </w:r>
    </w:p>
    <w:p>
      <w:pPr>
        <w:pStyle w:val="Compact"/>
        <w:numPr>
          <w:ilvl w:val="0"/>
          <w:numId w:val="1084"/>
        </w:numPr>
      </w:pPr>
      <w:r>
        <w:t xml:space="preserve">Combined Bayesian model average.</w:t>
      </w:r>
    </w:p>
    <w:p>
      <w:pPr>
        <w:pStyle w:val="FirstParagraph"/>
      </w:pPr>
      <w:r>
        <w:t xml:space="preserve">Measure the incremental contribution of each layer through ablation testing.</w:t>
      </w:r>
    </w:p>
    <w:p>
      <w:r>
        <w:pict>
          <v:rect style="width:0;height:1.5pt" o:hralign="center" o:hrstd="t" o:hr="t"/>
        </w:pict>
      </w:r>
    </w:p>
    <w:bookmarkEnd w:id="78"/>
    <w:bookmarkEnd w:id="79"/>
    <w:bookmarkStart w:id="88" w:name="performance-measurement"/>
    <w:p>
      <w:pPr>
        <w:pStyle w:val="Heading1"/>
      </w:pPr>
      <w:r>
        <w:t xml:space="preserve">17. Performance Measurement</w:t>
      </w:r>
    </w:p>
    <w:p>
      <w:pPr>
        <w:pStyle w:val="FirstParagraph"/>
      </w:pPr>
      <w:r>
        <w:t xml:space="preserve">Report both forecasting and trading performance.</w:t>
      </w:r>
    </w:p>
    <w:bookmarkStart w:id="80" w:name="a.-forecast-metrics"/>
    <w:p>
      <w:pPr>
        <w:pStyle w:val="Heading2"/>
      </w:pPr>
      <w:r>
        <w:t xml:space="preserve">A. Forecast Metrics</w:t>
      </w:r>
    </w:p>
    <w:p>
      <w:pPr>
        <w:pStyle w:val="Compact"/>
        <w:numPr>
          <w:ilvl w:val="0"/>
          <w:numId w:val="1085"/>
        </w:numPr>
      </w:pPr>
      <w:r>
        <w:t xml:space="preserve">Brier score.</w:t>
      </w:r>
    </w:p>
    <w:p>
      <w:pPr>
        <w:pStyle w:val="Compact"/>
        <w:numPr>
          <w:ilvl w:val="0"/>
          <w:numId w:val="1085"/>
        </w:numPr>
      </w:pPr>
      <w:r>
        <w:t xml:space="preserve">Log loss.</w:t>
      </w:r>
    </w:p>
    <w:p>
      <w:pPr>
        <w:pStyle w:val="Compact"/>
        <w:numPr>
          <w:ilvl w:val="0"/>
          <w:numId w:val="1085"/>
        </w:numPr>
      </w:pPr>
      <w:r>
        <w:t xml:space="preserve">CRPS.</w:t>
      </w:r>
    </w:p>
    <w:p>
      <w:pPr>
        <w:pStyle w:val="Compact"/>
        <w:numPr>
          <w:ilvl w:val="0"/>
          <w:numId w:val="1085"/>
        </w:numPr>
      </w:pPr>
      <w:r>
        <w:t xml:space="preserve">Calibration error.</w:t>
      </w:r>
    </w:p>
    <w:p>
      <w:pPr>
        <w:pStyle w:val="Compact"/>
        <w:numPr>
          <w:ilvl w:val="0"/>
          <w:numId w:val="1085"/>
        </w:numPr>
      </w:pPr>
      <w:r>
        <w:t xml:space="preserve">Sharpness.</w:t>
      </w:r>
    </w:p>
    <w:p>
      <w:pPr>
        <w:pStyle w:val="Compact"/>
        <w:numPr>
          <w:ilvl w:val="0"/>
          <w:numId w:val="1085"/>
        </w:numPr>
      </w:pPr>
      <w:r>
        <w:t xml:space="preserve">Reliability.</w:t>
      </w:r>
    </w:p>
    <w:p>
      <w:pPr>
        <w:pStyle w:val="Compact"/>
        <w:numPr>
          <w:ilvl w:val="0"/>
          <w:numId w:val="1085"/>
        </w:numPr>
      </w:pPr>
      <w:r>
        <w:t xml:space="preserve">Threshold discrimination.</w:t>
      </w:r>
    </w:p>
    <w:p>
      <w:pPr>
        <w:pStyle w:val="Compact"/>
        <w:numPr>
          <w:ilvl w:val="0"/>
          <w:numId w:val="1085"/>
        </w:numPr>
      </w:pPr>
      <w:r>
        <w:t xml:space="preserve">ROC-AUC, with caution for imbalanced and decision-specific settings.</w:t>
      </w:r>
    </w:p>
    <w:bookmarkEnd w:id="80"/>
    <w:bookmarkStart w:id="87" w:name="b.-trading-metrics"/>
    <w:p>
      <w:pPr>
        <w:pStyle w:val="Heading2"/>
      </w:pPr>
      <w:r>
        <w:t xml:space="preserve">B. Trading Metrics</w:t>
      </w:r>
    </w:p>
    <w:bookmarkStart w:id="81" w:name="total-return"/>
    <w:p>
      <w:pPr>
        <w:pStyle w:val="Heading3"/>
      </w:pPr>
      <w:r>
        <w:t xml:space="preserve">Total return</w:t>
      </w:r>
    </w:p>
    <w:p>
      <w:pPr>
        <w:pStyle w:val="FirstParagraph"/>
      </w:pPr>
      <m:oMathPara>
        <m:oMathParaPr>
          <m:jc m:val="center"/>
        </m:oMathParaPr>
        <m:oMath>
          <m:sSub>
            <m:e>
              <m:r>
                <m:t>R</m:t>
              </m:r>
            </m:e>
            <m:sub>
              <m:r>
                <m:t>T</m:t>
              </m:r>
            </m:sub>
          </m:sSub>
          <m:r>
            <m:rPr>
              <m:sty m:val="p"/>
            </m:rPr>
            <m:t>=</m:t>
          </m:r>
          <m:f>
            <m:fPr>
              <m:type m:val="bar"/>
            </m:fPr>
            <m:num>
              <m:sSub>
                <m:e>
                  <m:r>
                    <m:t>V</m:t>
                  </m:r>
                </m:e>
                <m:sub>
                  <m:r>
                    <m:t>T</m:t>
                  </m:r>
                </m:sub>
              </m:sSub>
              <m:r>
                <m:rPr>
                  <m:sty m:val="p"/>
                </m:rPr>
                <m:t>−</m:t>
              </m:r>
              <m:sSub>
                <m:e>
                  <m:r>
                    <m:t>V</m:t>
                  </m:r>
                </m:e>
                <m:sub>
                  <m:r>
                    <m:t>0</m:t>
                  </m:r>
                </m:sub>
              </m:sSub>
            </m:num>
            <m:den>
              <m:sSub>
                <m:e>
                  <m:r>
                    <m:t>V</m:t>
                  </m:r>
                </m:e>
                <m:sub>
                  <m:r>
                    <m:t>0</m:t>
                  </m:r>
                </m:sub>
              </m:sSub>
            </m:den>
          </m:f>
        </m:oMath>
      </m:oMathPara>
    </w:p>
    <w:bookmarkEnd w:id="81"/>
    <w:bookmarkStart w:id="82" w:name="maximum-drawdown"/>
    <w:p>
      <w:pPr>
        <w:pStyle w:val="Heading3"/>
      </w:pPr>
      <w:r>
        <w:t xml:space="preserve">Maximum drawdown</w:t>
      </w:r>
    </w:p>
    <w:p>
      <w:pPr>
        <w:pStyle w:val="FirstParagraph"/>
      </w:pPr>
      <w:r>
        <w:t xml:space="preserve">Let:</w:t>
      </w:r>
    </w:p>
    <w:p>
      <w:pPr>
        <w:pStyle w:val="BodyText"/>
      </w:pPr>
      <m:oMathPara>
        <m:oMathParaPr>
          <m:jc m:val="center"/>
        </m:oMathParaPr>
        <m:oMath>
          <m:sSubSup>
            <m:e>
              <m:r>
                <m:t>P</m:t>
              </m:r>
            </m:e>
            <m:sub>
              <m:r>
                <m:t>t</m:t>
              </m:r>
            </m:sub>
            <m:sup>
              <m:r>
                <m:rPr>
                  <m:sty m:val="p"/>
                </m:rPr>
                <m:t>max</m:t>
              </m:r>
            </m:sup>
          </m:sSubSup>
          <m:r>
            <m:rPr>
              <m:sty m:val="p"/>
            </m:rPr>
            <m:t>=</m:t>
          </m:r>
          <m:limLow>
            <m:e>
              <m:r>
                <m:rPr>
                  <m:sty m:val="p"/>
                </m:rPr>
                <m:t>max</m:t>
              </m:r>
            </m:e>
            <m:lim>
              <m:r>
                <m:t>u</m:t>
              </m:r>
              <m:r>
                <m:rPr>
                  <m:sty m:val="p"/>
                </m:rPr>
                <m:t>≤</m:t>
              </m:r>
              <m:r>
                <m:t>t</m:t>
              </m:r>
            </m:lim>
          </m:limLow>
          <m:sSub>
            <m:e>
              <m:r>
                <m:t>V</m:t>
              </m:r>
            </m:e>
            <m:sub>
              <m:r>
                <m:t>u</m:t>
              </m:r>
            </m:sub>
          </m:sSub>
        </m:oMath>
      </m:oMathPara>
    </w:p>
    <w:p>
      <w:pPr>
        <w:pStyle w:val="FirstParagraph"/>
      </w:pPr>
      <w:r>
        <w:t xml:space="preserve">Then:</w:t>
      </w:r>
    </w:p>
    <w:p>
      <w:pPr>
        <w:pStyle w:val="BodyText"/>
      </w:pPr>
      <m:oMathPara>
        <m:oMathParaPr>
          <m:jc m:val="center"/>
        </m:oMathParaPr>
        <m:oMath>
          <m:r>
            <m:t>D</m:t>
          </m:r>
          <m:sSub>
            <m:e>
              <m:r>
                <m:t>D</m:t>
              </m:r>
            </m:e>
            <m:sub>
              <m:r>
                <m:t>t</m:t>
              </m:r>
            </m:sub>
          </m:sSub>
          <m:r>
            <m:rPr>
              <m:sty m:val="p"/>
            </m:rPr>
            <m:t>=</m:t>
          </m:r>
          <m:f>
            <m:fPr>
              <m:type m:val="bar"/>
            </m:fPr>
            <m:num>
              <m:sSub>
                <m:e>
                  <m:r>
                    <m:t>V</m:t>
                  </m:r>
                </m:e>
                <m:sub>
                  <m:r>
                    <m:t>t</m:t>
                  </m:r>
                </m:sub>
              </m:sSub>
              <m:r>
                <m:rPr>
                  <m:sty m:val="p"/>
                </m:rPr>
                <m:t>−</m:t>
              </m:r>
              <m:sSubSup>
                <m:e>
                  <m:r>
                    <m:t>P</m:t>
                  </m:r>
                </m:e>
                <m:sub>
                  <m:r>
                    <m:t>t</m:t>
                  </m:r>
                </m:sub>
                <m:sup>
                  <m:r>
                    <m:rPr>
                      <m:sty m:val="p"/>
                    </m:rPr>
                    <m:t>max</m:t>
                  </m:r>
                </m:sup>
              </m:sSubSup>
            </m:num>
            <m:den>
              <m:sSubSup>
                <m:e>
                  <m:r>
                    <m:t>P</m:t>
                  </m:r>
                </m:e>
                <m:sub>
                  <m:r>
                    <m:t>t</m:t>
                  </m:r>
                </m:sub>
                <m:sup>
                  <m:r>
                    <m:rPr>
                      <m:sty m:val="p"/>
                    </m:rPr>
                    <m:t>max</m:t>
                  </m:r>
                </m:sup>
              </m:sSubSup>
            </m:den>
          </m:f>
        </m:oMath>
      </m:oMathPara>
    </w:p>
    <w:p>
      <w:pPr>
        <w:pStyle w:val="FirstParagraph"/>
      </w:pPr>
      <w:r>
        <w:t xml:space="preserve">and:</w:t>
      </w:r>
    </w:p>
    <w:p>
      <w:pPr>
        <w:pStyle w:val="BodyText"/>
      </w:pPr>
      <m:oMathPara>
        <m:oMathParaPr>
          <m:jc m:val="center"/>
        </m:oMathParaPr>
        <m:oMath>
          <m:r>
            <m:t>M</m:t>
          </m:r>
          <m:r>
            <m:t>D</m:t>
          </m:r>
          <m:r>
            <m:t>D</m:t>
          </m:r>
          <m:r>
            <m:rPr>
              <m:sty m:val="p"/>
            </m:rPr>
            <m:t>=</m:t>
          </m:r>
          <m:limLow>
            <m:e>
              <m:r>
                <m:rPr>
                  <m:sty m:val="p"/>
                </m:rPr>
                <m:t>min</m:t>
              </m:r>
            </m:e>
            <m:lim>
              <m:r>
                <m:t>t</m:t>
              </m:r>
            </m:lim>
          </m:limLow>
          <m:r>
            <m:t>D</m:t>
          </m:r>
          <m:sSub>
            <m:e>
              <m:r>
                <m:t>D</m:t>
              </m:r>
            </m:e>
            <m:sub>
              <m:r>
                <m:t>t</m:t>
              </m:r>
            </m:sub>
          </m:sSub>
        </m:oMath>
      </m:oMathPara>
    </w:p>
    <w:p>
      <w:pPr>
        <w:pStyle w:val="FirstParagraph"/>
      </w:pPr>
      <w:r>
        <w:t xml:space="preserve">Report drawdown as a positive magnitude where useful:</w:t>
      </w:r>
    </w:p>
    <w:p>
      <w:pPr>
        <w:pStyle w:val="BodyText"/>
      </w:pPr>
      <m:oMathPara>
        <m:oMathParaPr>
          <m:jc m:val="center"/>
        </m:oMathParaPr>
        <m:oMath>
          <m:d>
            <m:dPr>
              <m:begChr m:val="|"/>
              <m:sepChr m:val=""/>
              <m:endChr m:val="|"/>
              <m:grow/>
            </m:dPr>
            <m:e>
              <m:r>
                <m:t>M</m:t>
              </m:r>
              <m:r>
                <m:t>D</m:t>
              </m:r>
              <m:r>
                <m:t>D</m:t>
              </m:r>
            </m:e>
          </m:d>
          <m:r>
            <m:rPr>
              <m:sty m:val="p"/>
            </m:rPr>
            <m:t>=</m:t>
          </m:r>
          <m:r>
            <m:rPr>
              <m:sty m:val="p"/>
            </m:rPr>
            <m:t>−</m:t>
          </m:r>
          <m:limLow>
            <m:e>
              <m:r>
                <m:rPr>
                  <m:sty m:val="p"/>
                </m:rPr>
                <m:t>min</m:t>
              </m:r>
            </m:e>
            <m:lim>
              <m:r>
                <m:t>t</m:t>
              </m:r>
            </m:lim>
          </m:limLow>
          <m:r>
            <m:t>D</m:t>
          </m:r>
          <m:sSub>
            <m:e>
              <m:r>
                <m:t>D</m:t>
              </m:r>
            </m:e>
            <m:sub>
              <m:r>
                <m:t>t</m:t>
              </m:r>
            </m:sub>
          </m:sSub>
        </m:oMath>
      </m:oMathPara>
    </w:p>
    <w:bookmarkEnd w:id="82"/>
    <w:bookmarkStart w:id="83" w:name="calmar-ratio"/>
    <w:p>
      <w:pPr>
        <w:pStyle w:val="Heading3"/>
      </w:pPr>
      <w:r>
        <w:t xml:space="preserve">Calmar ratio</w:t>
      </w:r>
    </w:p>
    <w:p>
      <w:pPr>
        <w:pStyle w:val="FirstParagraph"/>
      </w:pPr>
      <m:oMathPara>
        <m:oMathParaPr>
          <m:jc m:val="center"/>
        </m:oMathParaPr>
        <m:oMath>
          <m:r>
            <m:rPr>
              <m:nor/>
              <m:sty m:val="p"/>
            </m:rPr>
            <m:t>Calmar</m:t>
          </m:r>
          <m:r>
            <m:rPr>
              <m:sty m:val="p"/>
            </m:rPr>
            <m:t>=</m:t>
          </m:r>
          <m:f>
            <m:fPr>
              <m:type m:val="bar"/>
            </m:fPr>
            <m:num>
              <m:sSub>
                <m:e>
                  <m:r>
                    <m:t>R</m:t>
                  </m:r>
                </m:e>
                <m:sub>
                  <m:r>
                    <m:rPr>
                      <m:nor/>
                      <m:sty m:val="p"/>
                    </m:rPr>
                    <m:t>annualized</m:t>
                  </m:r>
                </m:sub>
              </m:sSub>
            </m:num>
            <m:den>
              <m:d>
                <m:dPr>
                  <m:begChr m:val="|"/>
                  <m:sepChr m:val=""/>
                  <m:endChr m:val="|"/>
                  <m:grow/>
                </m:dPr>
                <m:e>
                  <m:r>
                    <m:t>M</m:t>
                  </m:r>
                  <m:r>
                    <m:t>D</m:t>
                  </m:r>
                  <m:r>
                    <m:t>D</m:t>
                  </m:r>
                </m:e>
              </m:d>
            </m:den>
          </m:f>
        </m:oMath>
      </m:oMathPara>
    </w:p>
    <w:bookmarkEnd w:id="83"/>
    <w:bookmarkStart w:id="84" w:name="sortino-ratio"/>
    <w:p>
      <w:pPr>
        <w:pStyle w:val="Heading3"/>
      </w:pPr>
      <w:r>
        <w:t xml:space="preserve">Sortino ratio</w:t>
      </w:r>
    </w:p>
    <w:p>
      <w:pPr>
        <w:pStyle w:val="FirstParagraph"/>
      </w:pPr>
      <m:oMathPara>
        <m:oMathParaPr>
          <m:jc m:val="center"/>
        </m:oMathParaPr>
        <m:oMath>
          <m:r>
            <m:rPr>
              <m:nor/>
              <m:sty m:val="p"/>
            </m:rPr>
            <m:t>Sortino</m:t>
          </m:r>
          <m:r>
            <m:rPr>
              <m:sty m:val="p"/>
            </m:rPr>
            <m:t>=</m:t>
          </m:r>
          <m:f>
            <m:fPr>
              <m:type m:val="bar"/>
            </m:fPr>
            <m:num>
              <m:r>
                <m:rPr>
                  <m:sty m:val="p"/>
                  <m:scr m:val="double-struck"/>
                </m:rPr>
                <m:t>E</m:t>
              </m:r>
              <m:d>
                <m:dPr>
                  <m:begChr m:val="["/>
                  <m:sepChr m:val=""/>
                  <m:endChr m:val="]"/>
                  <m:grow/>
                </m:dPr>
                <m:e>
                  <m:r>
                    <m:t>R</m:t>
                  </m:r>
                  <m:r>
                    <m:rPr>
                      <m:sty m:val="p"/>
                    </m:rPr>
                    <m:t>−</m:t>
                  </m:r>
                  <m:sSub>
                    <m:e>
                      <m:r>
                        <m:t>R</m:t>
                      </m:r>
                    </m:e>
                    <m:sub>
                      <m:r>
                        <m:t>f</m:t>
                      </m:r>
                    </m:sub>
                  </m:sSub>
                </m:e>
              </m:d>
            </m:num>
            <m:den>
              <m:rad>
                <m:radPr>
                  <m:degHide m:val="on"/>
                </m:radPr>
                <m:deg/>
                <m:e>
                  <m:r>
                    <m:rPr>
                      <m:sty m:val="p"/>
                      <m:scr m:val="double-struck"/>
                    </m:rPr>
                    <m:t>E</m:t>
                  </m:r>
                  <m:d>
                    <m:dPr>
                      <m:begChr m:val="["/>
                      <m:sepChr m:val=""/>
                      <m:endChr m:val="]"/>
                      <m:grow/>
                    </m:dPr>
                    <m:e>
                      <m:r>
                        <m:rPr>
                          <m:sty m:val="p"/>
                        </m:rPr>
                        <m:t>min</m:t>
                      </m:r>
                      <m:sSup>
                        <m:e>
                          <m:d>
                            <m:dPr>
                              <m:begChr m:val="("/>
                              <m:sepChr m:val=""/>
                              <m:endChr m:val=")"/>
                              <m:grow/>
                            </m:dPr>
                            <m:e>
                              <m:r>
                                <m:t>R</m:t>
                              </m:r>
                              <m:r>
                                <m:rPr>
                                  <m:sty m:val="p"/>
                                </m:rPr>
                                <m:t>−</m:t>
                              </m:r>
                              <m:sSub>
                                <m:e>
                                  <m:r>
                                    <m:t>R</m:t>
                                  </m:r>
                                </m:e>
                                <m:sub>
                                  <m:r>
                                    <m:t>f</m:t>
                                  </m:r>
                                </m:sub>
                              </m:sSub>
                              <m:r>
                                <m:rPr>
                                  <m:sty m:val="p"/>
                                </m:rPr>
                                <m:t>,</m:t>
                              </m:r>
                              <m:r>
                                <m:t>0</m:t>
                              </m:r>
                            </m:e>
                          </m:d>
                        </m:e>
                        <m:sup>
                          <m:r>
                            <m:t>2</m:t>
                          </m:r>
                        </m:sup>
                      </m:sSup>
                    </m:e>
                  </m:d>
                </m:e>
              </m:rad>
            </m:den>
          </m:f>
        </m:oMath>
      </m:oMathPara>
    </w:p>
    <w:bookmarkEnd w:id="84"/>
    <w:bookmarkStart w:id="85" w:name="value-at-risk"/>
    <w:p>
      <w:pPr>
        <w:pStyle w:val="Heading3"/>
      </w:pPr>
      <w:r>
        <w:t xml:space="preserve">Value at Risk</w:t>
      </w:r>
    </w:p>
    <w:p>
      <w:pPr>
        <w:pStyle w:val="FirstParagraph"/>
      </w:pPr>
      <m:oMathPara>
        <m:oMathParaPr>
          <m:jc m:val="center"/>
        </m:oMathParaPr>
        <m:oMath>
          <m:sSub>
            <m:e>
              <m:r>
                <m:rPr>
                  <m:sty m:val="p"/>
                </m:rPr>
                <m:t>VaR</m:t>
              </m:r>
            </m:e>
            <m:sub>
              <m:r>
                <m:t>α</m:t>
              </m:r>
            </m:sub>
          </m:sSub>
          <m:d>
            <m:dPr>
              <m:begChr m:val="("/>
              <m:sepChr m:val=""/>
              <m:endChr m:val=")"/>
              <m:grow/>
            </m:dPr>
            <m:e>
              <m:r>
                <m:t>L</m:t>
              </m:r>
            </m:e>
          </m:d>
          <m:r>
            <m:rPr>
              <m:sty m:val="p"/>
            </m:rPr>
            <m:t>=</m:t>
          </m:r>
          <m:r>
            <m:rPr>
              <m:sty m:val="p"/>
            </m:rPr>
            <m:t>inf</m:t>
          </m:r>
          <m:d>
            <m:dPr>
              <m:begChr m:val="{"/>
              <m:sepChr m:val=""/>
              <m:endChr m:val="}"/>
              <m:grow/>
            </m:dPr>
            <m:e>
              <m:r>
                <m:rPr>
                  <m:sty m:val="p"/>
                </m:rPr>
                <m:t>ℓ</m:t>
              </m:r>
              <m:r>
                <m:rPr>
                  <m:sty m:val="p"/>
                </m:rPr>
                <m:t>:</m:t>
              </m:r>
              <m:r>
                <m:rPr>
                  <m:sty m:val="p"/>
                </m:rPr>
                <m:t>Pr</m:t>
              </m:r>
              <m:d>
                <m:dPr>
                  <m:begChr m:val="("/>
                  <m:sepChr m:val=""/>
                  <m:endChr m:val=")"/>
                  <m:grow/>
                </m:dPr>
                <m:e>
                  <m:r>
                    <m:t>L</m:t>
                  </m:r>
                  <m:r>
                    <m:rPr>
                      <m:sty m:val="p"/>
                    </m:rPr>
                    <m:t>≤</m:t>
                  </m:r>
                  <m:r>
                    <m:rPr>
                      <m:sty m:val="p"/>
                    </m:rPr>
                    <m:t>ℓ</m:t>
                  </m:r>
                </m:e>
              </m:d>
              <m:r>
                <m:rPr>
                  <m:sty m:val="p"/>
                </m:rPr>
                <m:t>≥</m:t>
              </m:r>
              <m:r>
                <m:t>α</m:t>
              </m:r>
            </m:e>
          </m:d>
        </m:oMath>
      </m:oMathPara>
    </w:p>
    <w:bookmarkEnd w:id="85"/>
    <w:bookmarkStart w:id="86" w:name="expected-shortfall"/>
    <w:p>
      <w:pPr>
        <w:pStyle w:val="Heading3"/>
      </w:pPr>
      <w:r>
        <w:t xml:space="preserve">Expected shortfall</w:t>
      </w:r>
    </w:p>
    <w:p>
      <w:pPr>
        <w:pStyle w:val="FirstParagraph"/>
      </w:pPr>
      <m:oMathPara>
        <m:oMathParaPr>
          <m:jc m:val="center"/>
        </m:oMathParaPr>
        <m:oMath>
          <m:sSub>
            <m:e>
              <m:r>
                <m:rPr>
                  <m:sty m:val="p"/>
                </m:rPr>
                <m:t>ES</m:t>
              </m:r>
            </m:e>
            <m:sub>
              <m:r>
                <m:t>α</m:t>
              </m:r>
            </m:sub>
          </m:sSub>
          <m:r>
            <m:rPr>
              <m:sty m:val="p"/>
            </m:rPr>
            <m:t>=</m:t>
          </m:r>
          <m:r>
            <m:rPr>
              <m:sty m:val="p"/>
              <m:scr m:val="double-struck"/>
            </m:rPr>
            <m:t>E</m:t>
          </m:r>
          <m:d>
            <m:dPr>
              <m:begChr m:val="["/>
              <m:sepChr m:val=""/>
              <m:endChr m:val="]"/>
              <m:grow/>
            </m:dPr>
            <m:e>
              <m:r>
                <m:t>L</m:t>
              </m:r>
              <m:r>
                <m:rPr>
                  <m:sty m:val="p"/>
                </m:rPr>
                <m:t>∣</m:t>
              </m:r>
              <m:r>
                <m:t>L</m:t>
              </m:r>
              <m:r>
                <m:rPr>
                  <m:sty m:val="p"/>
                </m:rPr>
                <m:t>≥</m:t>
              </m:r>
              <m:sSub>
                <m:e>
                  <m:r>
                    <m:rPr>
                      <m:sty m:val="p"/>
                    </m:rPr>
                    <m:t>VaR</m:t>
                  </m:r>
                </m:e>
                <m:sub>
                  <m:r>
                    <m:t>α</m:t>
                  </m:r>
                </m:sub>
              </m:sSub>
              <m:d>
                <m:dPr>
                  <m:begChr m:val="("/>
                  <m:sepChr m:val=""/>
                  <m:endChr m:val=")"/>
                  <m:grow/>
                </m:dPr>
                <m:e>
                  <m:r>
                    <m:t>L</m:t>
                  </m:r>
                </m:e>
              </m:d>
            </m:e>
          </m:d>
        </m:oMath>
      </m:oMathPara>
    </w:p>
    <w:p>
      <w:pPr>
        <w:pStyle w:val="FirstParagraph"/>
      </w:pPr>
      <w:r>
        <w:t xml:space="preserve">For discrete binary portfolios, calculate ES directly from the full scenario distribution rather than relying on Gaussian approximations.</w:t>
      </w:r>
    </w:p>
    <w:p>
      <w:pPr>
        <w:pStyle w:val="BodyText"/>
      </w:pPr>
      <w:r>
        <w:t xml:space="preserve">Also report:</w:t>
      </w:r>
    </w:p>
    <w:p>
      <w:pPr>
        <w:pStyle w:val="Compact"/>
        <w:numPr>
          <w:ilvl w:val="0"/>
          <w:numId w:val="1086"/>
        </w:numPr>
      </w:pPr>
      <w:r>
        <w:t xml:space="preserve">Profit factor.</w:t>
      </w:r>
    </w:p>
    <w:p>
      <w:pPr>
        <w:pStyle w:val="Compact"/>
        <w:numPr>
          <w:ilvl w:val="0"/>
          <w:numId w:val="1086"/>
        </w:numPr>
      </w:pPr>
      <w:r>
        <w:t xml:space="preserve">Hit rate.</w:t>
      </w:r>
    </w:p>
    <w:p>
      <w:pPr>
        <w:pStyle w:val="Compact"/>
        <w:numPr>
          <w:ilvl w:val="0"/>
          <w:numId w:val="1086"/>
        </w:numPr>
      </w:pPr>
      <w:r>
        <w:t xml:space="preserve">Expected value per trade.</w:t>
      </w:r>
    </w:p>
    <w:p>
      <w:pPr>
        <w:pStyle w:val="Compact"/>
        <w:numPr>
          <w:ilvl w:val="0"/>
          <w:numId w:val="1086"/>
        </w:numPr>
      </w:pPr>
      <w:r>
        <w:t xml:space="preserve">Median trade P&amp;L.</w:t>
      </w:r>
    </w:p>
    <w:p>
      <w:pPr>
        <w:pStyle w:val="Compact"/>
        <w:numPr>
          <w:ilvl w:val="0"/>
          <w:numId w:val="1086"/>
        </w:numPr>
      </w:pPr>
      <w:r>
        <w:t xml:space="preserve">Tail loss.</w:t>
      </w:r>
    </w:p>
    <w:p>
      <w:pPr>
        <w:pStyle w:val="Compact"/>
        <w:numPr>
          <w:ilvl w:val="0"/>
          <w:numId w:val="1086"/>
        </w:numPr>
      </w:pPr>
      <w:r>
        <w:t xml:space="preserve">Turnover.</w:t>
      </w:r>
    </w:p>
    <w:p>
      <w:pPr>
        <w:pStyle w:val="Compact"/>
        <w:numPr>
          <w:ilvl w:val="0"/>
          <w:numId w:val="1086"/>
        </w:numPr>
      </w:pPr>
      <w:r>
        <w:t xml:space="preserve">Capacity.</w:t>
      </w:r>
    </w:p>
    <w:p>
      <w:pPr>
        <w:pStyle w:val="Compact"/>
        <w:numPr>
          <w:ilvl w:val="0"/>
          <w:numId w:val="1086"/>
        </w:numPr>
      </w:pPr>
      <w:r>
        <w:t xml:space="preserve">Fill rate.</w:t>
      </w:r>
    </w:p>
    <w:p>
      <w:pPr>
        <w:pStyle w:val="Compact"/>
        <w:numPr>
          <w:ilvl w:val="0"/>
          <w:numId w:val="1086"/>
        </w:numPr>
      </w:pPr>
      <w:r>
        <w:t xml:space="preserve">Cancellation rate.</w:t>
      </w:r>
    </w:p>
    <w:p>
      <w:pPr>
        <w:pStyle w:val="Compact"/>
        <w:numPr>
          <w:ilvl w:val="0"/>
          <w:numId w:val="1086"/>
        </w:numPr>
      </w:pPr>
      <w:r>
        <w:t xml:space="preserve">Realized spread.</w:t>
      </w:r>
    </w:p>
    <w:p>
      <w:pPr>
        <w:pStyle w:val="Compact"/>
        <w:numPr>
          <w:ilvl w:val="0"/>
          <w:numId w:val="1086"/>
        </w:numPr>
      </w:pPr>
      <w:r>
        <w:t xml:space="preserve">Adverse-selection cost.</w:t>
      </w:r>
    </w:p>
    <w:p>
      <w:pPr>
        <w:pStyle w:val="Compact"/>
        <w:numPr>
          <w:ilvl w:val="0"/>
          <w:numId w:val="1086"/>
        </w:numPr>
      </w:pPr>
      <w:r>
        <w:t xml:space="preserve">P&amp;L by signal family.</w:t>
      </w:r>
    </w:p>
    <w:p>
      <w:pPr>
        <w:pStyle w:val="Compact"/>
        <w:numPr>
          <w:ilvl w:val="0"/>
          <w:numId w:val="1086"/>
        </w:numPr>
      </w:pPr>
      <w:r>
        <w:t xml:space="preserve">P&amp;L by forecast horizon.</w:t>
      </w:r>
    </w:p>
    <w:p>
      <w:pPr>
        <w:pStyle w:val="Compact"/>
        <w:numPr>
          <w:ilvl w:val="0"/>
          <w:numId w:val="1086"/>
        </w:numPr>
      </w:pPr>
      <w:r>
        <w:t xml:space="preserve">P&amp;L by liquidity regime.</w:t>
      </w:r>
    </w:p>
    <w:p>
      <w:pPr>
        <w:pStyle w:val="Compact"/>
        <w:numPr>
          <w:ilvl w:val="0"/>
          <w:numId w:val="1086"/>
        </w:numPr>
      </w:pPr>
      <w:r>
        <w:t xml:space="preserve">P&amp;L by atmospheric regime.</w:t>
      </w:r>
    </w:p>
    <w:p>
      <w:pPr>
        <w:pStyle w:val="Compact"/>
        <w:numPr>
          <w:ilvl w:val="0"/>
          <w:numId w:val="1086"/>
        </w:numPr>
      </w:pPr>
      <w:r>
        <w:t xml:space="preserve">P&amp;L by contract type.</w:t>
      </w:r>
    </w:p>
    <w:p>
      <w:pPr>
        <w:pStyle w:val="Compact"/>
        <w:numPr>
          <w:ilvl w:val="0"/>
          <w:numId w:val="1086"/>
        </w:numPr>
      </w:pPr>
      <w:r>
        <w:t xml:space="preserve">Probability calibration conditioned on trade entry.</w:t>
      </w:r>
    </w:p>
    <w:p>
      <w:pPr>
        <w:pStyle w:val="FirstParagraph"/>
      </w:pPr>
      <w:r>
        <w:t xml:space="preserve">Use confidence intervals for every major performance statistic.</w:t>
      </w:r>
    </w:p>
    <w:p>
      <w:r>
        <w:pict>
          <v:rect style="width:0;height:1.5pt" o:hralign="center" o:hrstd="t" o:hr="t"/>
        </w:pict>
      </w:r>
    </w:p>
    <w:bookmarkEnd w:id="86"/>
    <w:bookmarkEnd w:id="87"/>
    <w:bookmarkEnd w:id="88"/>
    <w:bookmarkStart w:id="91" w:name="capital-allocation-and-kelly-sizing"/>
    <w:p>
      <w:pPr>
        <w:pStyle w:val="Heading1"/>
      </w:pPr>
      <w:r>
        <w:t xml:space="preserve">18. Capital Allocation and Kelly Sizing</w:t>
      </w:r>
    </w:p>
    <w:p>
      <w:pPr>
        <w:pStyle w:val="FirstParagraph"/>
      </w:pPr>
      <w:r>
        <w:t xml:space="preserve">For a binary YES contract purchased at price</w:t>
      </w:r>
      <w:r>
        <w:t xml:space="preserve"> </w:t>
      </w:r>
      <m:oMath>
        <m:r>
          <m:t>q</m:t>
        </m:r>
      </m:oMath>
      <w:r>
        <w:t xml:space="preserve"> </w:t>
      </w:r>
      <w:r>
        <w:t xml:space="preserve">with probability</w:t>
      </w:r>
      <w:r>
        <w:t xml:space="preserve"> </w:t>
      </w:r>
      <m:oMath>
        <m:r>
          <m:t>p</m:t>
        </m:r>
      </m:oMath>
      <w:r>
        <w:t xml:space="preserve">, derive the Kelly fraction under the exact payoff convention.</w:t>
      </w:r>
    </w:p>
    <w:p>
      <w:pPr>
        <w:pStyle w:val="BodyText"/>
      </w:pPr>
      <w:r>
        <w:t xml:space="preserve">When risking</w:t>
      </w:r>
      <w:r>
        <w:t xml:space="preserve"> </w:t>
      </w:r>
      <m:oMath>
        <m:r>
          <m:t>q</m:t>
        </m:r>
      </m:oMath>
      <w:r>
        <w:t xml:space="preserve"> </w:t>
      </w:r>
      <w:r>
        <w:t xml:space="preserve">to receive a net profit of</w:t>
      </w:r>
      <w:r>
        <w:t xml:space="preserve"> </w:t>
      </w:r>
      <m:oMath>
        <m:r>
          <m:t>1</m:t>
        </m:r>
        <m:r>
          <m:rPr>
            <m:sty m:val="p"/>
          </m:rPr>
          <m:t>−</m:t>
        </m:r>
        <m:r>
          <m:t>q</m:t>
        </m:r>
      </m:oMath>
      <w:r>
        <w:t xml:space="preserve"> </w:t>
      </w:r>
      <w:r>
        <w:t xml:space="preserve">upon success, the full-Kelly fraction under the simplified independent single-bet setting is:</w:t>
      </w:r>
    </w:p>
    <w:p>
      <w:pPr>
        <w:pStyle w:val="BodyText"/>
      </w:pPr>
      <m:oMathPara>
        <m:oMathParaPr>
          <m:jc m:val="center"/>
        </m:oMathParaPr>
        <m:oMath>
          <m:sSup>
            <m:e>
              <m:r>
                <m:t>f</m:t>
              </m:r>
            </m:e>
            <m:sup>
              <m:r>
                <m:rPr>
                  <m:sty m:val="p"/>
                </m:rPr>
                <m:t>*</m:t>
              </m:r>
            </m:sup>
          </m:sSup>
          <m:r>
            <m:rPr>
              <m:sty m:val="p"/>
            </m:rPr>
            <m:t>=</m:t>
          </m:r>
          <m:f>
            <m:fPr>
              <m:type m:val="bar"/>
            </m:fPr>
            <m:num>
              <m:r>
                <m:t>p</m:t>
              </m:r>
              <m:r>
                <m:rPr>
                  <m:sty m:val="p"/>
                </m:rPr>
                <m:t>−</m:t>
              </m:r>
              <m:r>
                <m:t>q</m:t>
              </m:r>
            </m:num>
            <m:den>
              <m:r>
                <m:t>1</m:t>
              </m:r>
              <m:r>
                <m:rPr>
                  <m:sty m:val="p"/>
                </m:rPr>
                <m:t>−</m:t>
              </m:r>
              <m:r>
                <m:t>q</m:t>
              </m:r>
            </m:den>
          </m:f>
        </m:oMath>
      </m:oMathPara>
    </w:p>
    <w:p>
      <w:pPr>
        <w:pStyle w:val="FirstParagraph"/>
      </w:pPr>
      <w:r>
        <w:t xml:space="preserve">Verify this derivation under the actual exchange fee and payoff structure.</w:t>
      </w:r>
    </w:p>
    <w:p>
      <w:pPr>
        <w:pStyle w:val="BodyText"/>
      </w:pPr>
      <w:r>
        <w:t xml:space="preserve">Apply fractional Kelly:</w:t>
      </w:r>
    </w:p>
    <w:p>
      <w:pPr>
        <w:pStyle w:val="BodyText"/>
      </w:pPr>
      <m:oMathPara>
        <m:oMathParaPr>
          <m:jc m:val="center"/>
        </m:oMathParaPr>
        <m:oMath>
          <m:sSub>
            <m:e>
              <m:r>
                <m:t>f</m:t>
              </m:r>
            </m:e>
            <m:sub>
              <m:r>
                <m:t>t</m:t>
              </m:r>
            </m:sub>
          </m:sSub>
          <m:r>
            <m:rPr>
              <m:sty m:val="p"/>
            </m:rPr>
            <m:t>=</m:t>
          </m:r>
          <m:sSub>
            <m:e>
              <m:r>
                <m:t>λ</m:t>
              </m:r>
            </m:e>
            <m:sub>
              <m:r>
                <m:t>t</m:t>
              </m:r>
            </m:sub>
          </m:sSub>
          <m:sSubSup>
            <m:e>
              <m:r>
                <m:t>f</m:t>
              </m:r>
            </m:e>
            <m:sub>
              <m:r>
                <m:t>t</m:t>
              </m:r>
            </m:sub>
            <m:sup>
              <m:r>
                <m:rPr>
                  <m:sty m:val="p"/>
                </m:rPr>
                <m:t>*</m:t>
              </m:r>
            </m:sup>
          </m:sSubSup>
        </m:oMath>
      </m:oMathPara>
    </w:p>
    <w:p>
      <w:pPr>
        <w:pStyle w:val="FirstParagraph"/>
      </w:pPr>
      <w:r>
        <w:t xml:space="preserve">with:</w:t>
      </w:r>
    </w:p>
    <w:p>
      <w:pPr>
        <w:pStyle w:val="BodyText"/>
      </w:pPr>
      <m:oMathPara>
        <m:oMathParaPr>
          <m:jc m:val="center"/>
        </m:oMathParaPr>
        <m:oMath>
          <m:r>
            <m:t>0</m:t>
          </m:r>
          <m:r>
            <m:rPr>
              <m:sty m:val="p"/>
            </m:rPr>
            <m:t>≤</m:t>
          </m:r>
          <m:sSub>
            <m:e>
              <m:r>
                <m:t>λ</m:t>
              </m:r>
            </m:e>
            <m:sub>
              <m:r>
                <m:t>t</m:t>
              </m:r>
            </m:sub>
          </m:sSub>
          <m:r>
            <m:rPr>
              <m:sty m:val="p"/>
            </m:rPr>
            <m:t>≤</m:t>
          </m:r>
          <m:r>
            <m:t>1</m:t>
          </m:r>
        </m:oMath>
      </m:oMathPara>
    </w:p>
    <w:p>
      <w:pPr>
        <w:pStyle w:val="FirstParagraph"/>
      </w:pPr>
      <w:r>
        <w:t xml:space="preserve">Make</w:t>
      </w:r>
      <w:r>
        <w:t xml:space="preserve"> </w:t>
      </w:r>
      <m:oMath>
        <m:sSub>
          <m:e>
            <m:r>
              <m:t>λ</m:t>
            </m:r>
          </m:e>
          <m:sub>
            <m:r>
              <m:t>t</m:t>
            </m:r>
          </m:sub>
        </m:sSub>
      </m:oMath>
      <w:r>
        <w:t xml:space="preserve"> </w:t>
      </w:r>
      <w:r>
        <w:t xml:space="preserve">depend on:</w:t>
      </w:r>
    </w:p>
    <w:p>
      <w:pPr>
        <w:pStyle w:val="Compact"/>
        <w:numPr>
          <w:ilvl w:val="0"/>
          <w:numId w:val="1087"/>
        </w:numPr>
      </w:pPr>
      <w:r>
        <w:t xml:space="preserve">Posterior uncertainty.</w:t>
      </w:r>
    </w:p>
    <w:p>
      <w:pPr>
        <w:pStyle w:val="Compact"/>
        <w:numPr>
          <w:ilvl w:val="0"/>
          <w:numId w:val="1087"/>
        </w:numPr>
      </w:pPr>
      <w:r>
        <w:t xml:space="preserve">Calibration error.</w:t>
      </w:r>
    </w:p>
    <w:p>
      <w:pPr>
        <w:pStyle w:val="Compact"/>
        <w:numPr>
          <w:ilvl w:val="0"/>
          <w:numId w:val="1087"/>
        </w:numPr>
      </w:pPr>
      <w:r>
        <w:t xml:space="preserve">Liquidity.</w:t>
      </w:r>
    </w:p>
    <w:p>
      <w:pPr>
        <w:pStyle w:val="Compact"/>
        <w:numPr>
          <w:ilvl w:val="0"/>
          <w:numId w:val="1087"/>
        </w:numPr>
      </w:pPr>
      <w:r>
        <w:t xml:space="preserve">Drawdown.</w:t>
      </w:r>
    </w:p>
    <w:p>
      <w:pPr>
        <w:pStyle w:val="Compact"/>
        <w:numPr>
          <w:ilvl w:val="0"/>
          <w:numId w:val="1087"/>
        </w:numPr>
      </w:pPr>
      <w:r>
        <w:t xml:space="preserve">Parameter instability.</w:t>
      </w:r>
    </w:p>
    <w:p>
      <w:pPr>
        <w:pStyle w:val="Compact"/>
        <w:numPr>
          <w:ilvl w:val="0"/>
          <w:numId w:val="1087"/>
        </w:numPr>
      </w:pPr>
      <w:r>
        <w:t xml:space="preserve">Correlation with existing positions.</w:t>
      </w:r>
    </w:p>
    <w:p>
      <w:pPr>
        <w:pStyle w:val="Compact"/>
        <w:numPr>
          <w:ilvl w:val="0"/>
          <w:numId w:val="1087"/>
        </w:numPr>
      </w:pPr>
      <w:r>
        <w:t xml:space="preserve">Time to settlement.</w:t>
      </w:r>
    </w:p>
    <w:p>
      <w:pPr>
        <w:pStyle w:val="Compact"/>
        <w:numPr>
          <w:ilvl w:val="0"/>
          <w:numId w:val="1087"/>
        </w:numPr>
      </w:pPr>
      <w:r>
        <w:t xml:space="preserve">Tail risk.</w:t>
      </w:r>
    </w:p>
    <w:p>
      <w:pPr>
        <w:pStyle w:val="Compact"/>
        <w:numPr>
          <w:ilvl w:val="0"/>
          <w:numId w:val="1087"/>
        </w:numPr>
      </w:pPr>
      <w:r>
        <w:t xml:space="preserve">Model disagreement.</w:t>
      </w:r>
    </w:p>
    <w:p>
      <w:pPr>
        <w:pStyle w:val="FirstParagraph"/>
      </w:pPr>
      <w:r>
        <w:t xml:space="preserve">For example:</w:t>
      </w:r>
    </w:p>
    <w:p>
      <w:pPr>
        <w:pStyle w:val="BodyText"/>
      </w:pPr>
      <m:oMathPara>
        <m:oMathParaPr>
          <m:jc m:val="center"/>
        </m:oMathParaPr>
        <m:oMath>
          <m:sSub>
            <m:e>
              <m:r>
                <m:t>λ</m:t>
              </m:r>
            </m:e>
            <m:sub>
              <m:r>
                <m:t>t</m:t>
              </m:r>
            </m:sub>
          </m:sSub>
          <m:r>
            <m:rPr>
              <m:sty m:val="p"/>
            </m:rPr>
            <m:t>=</m:t>
          </m:r>
          <m:sSub>
            <m:e>
              <m:r>
                <m:t>λ</m:t>
              </m:r>
            </m:e>
            <m:sub>
              <m:r>
                <m:t>0</m:t>
              </m:r>
            </m:sub>
          </m:sSub>
          <m:sSub>
            <m:e>
              <m:r>
                <m:t>g</m:t>
              </m:r>
            </m:e>
            <m:sub>
              <m:r>
                <m:t>1</m:t>
              </m:r>
            </m:sub>
          </m:sSub>
          <m:d>
            <m:dPr>
              <m:begChr m:val="("/>
              <m:sepChr m:val=""/>
              <m:endChr m:val=")"/>
              <m:grow/>
            </m:dPr>
            <m:e>
              <m:sSub>
                <m:e>
                  <m:r>
                    <m:t>U</m:t>
                  </m:r>
                </m:e>
                <m:sub>
                  <m:r>
                    <m:t>t</m:t>
                  </m:r>
                </m:sub>
              </m:sSub>
            </m:e>
          </m:d>
          <m:sSub>
            <m:e>
              <m:r>
                <m:t>g</m:t>
              </m:r>
            </m:e>
            <m:sub>
              <m:r>
                <m:t>2</m:t>
              </m:r>
            </m:sub>
          </m:sSub>
          <m:d>
            <m:dPr>
              <m:begChr m:val="("/>
              <m:sepChr m:val=""/>
              <m:endChr m:val=")"/>
              <m:grow/>
            </m:dPr>
            <m:e>
              <m:sSub>
                <m:e>
                  <m:r>
                    <m:t>L</m:t>
                  </m:r>
                </m:e>
                <m:sub>
                  <m:r>
                    <m:t>t</m:t>
                  </m:r>
                </m:sub>
              </m:sSub>
            </m:e>
          </m:d>
          <m:sSub>
            <m:e>
              <m:r>
                <m:t>g</m:t>
              </m:r>
            </m:e>
            <m:sub>
              <m:r>
                <m:t>3</m:t>
              </m:r>
            </m:sub>
          </m:sSub>
          <m:d>
            <m:dPr>
              <m:begChr m:val="("/>
              <m:sepChr m:val=""/>
              <m:endChr m:val=")"/>
              <m:grow/>
            </m:dPr>
            <m:e>
              <m:r>
                <m:t>D</m:t>
              </m:r>
              <m:sSub>
                <m:e>
                  <m:r>
                    <m:t>D</m:t>
                  </m:r>
                </m:e>
                <m:sub>
                  <m:r>
                    <m:t>t</m:t>
                  </m:r>
                </m:sub>
              </m:sSub>
            </m:e>
          </m:d>
          <m:sSub>
            <m:e>
              <m:r>
                <m:t>g</m:t>
              </m:r>
            </m:e>
            <m:sub>
              <m:r>
                <m:t>4</m:t>
              </m:r>
            </m:sub>
          </m:sSub>
          <m:d>
            <m:dPr>
              <m:begChr m:val="("/>
              <m:sepChr m:val=""/>
              <m:endChr m:val=")"/>
              <m:grow/>
            </m:dPr>
            <m:e>
              <m:sSub>
                <m:e>
                  <m:r>
                    <m:t>M</m:t>
                  </m:r>
                </m:e>
                <m:sub>
                  <m:r>
                    <m:t>t</m:t>
                  </m:r>
                </m:sub>
              </m:sSub>
            </m:e>
          </m:d>
        </m:oMath>
      </m:oMathPara>
    </w:p>
    <w:p>
      <w:pPr>
        <w:pStyle w:val="FirstParagraph"/>
      </w:pPr>
      <w:r>
        <w:t xml:space="preserve">where each</w:t>
      </w:r>
      <w:r>
        <w:t xml:space="preserve"> </w:t>
      </w:r>
      <m:oMath>
        <m:sSub>
          <m:e>
            <m:r>
              <m:t>g</m:t>
            </m:r>
          </m:e>
          <m:sub>
            <m:r>
              <m:t>i</m:t>
            </m:r>
          </m:sub>
        </m:sSub>
      </m:oMath>
      <w:r>
        <w:t xml:space="preserve"> </w:t>
      </w:r>
      <w:r>
        <w:t xml:space="preserve">is bounded between zero and one.</w:t>
      </w:r>
    </w:p>
    <w:bookmarkStart w:id="89" w:name="continuous-time-interpretation"/>
    <w:p>
      <w:pPr>
        <w:pStyle w:val="Heading2"/>
      </w:pPr>
      <w:r>
        <w:t xml:space="preserve">Continuous-Time Interpretation</w:t>
      </w:r>
    </w:p>
    <w:p>
      <w:pPr>
        <w:pStyle w:val="FirstParagraph"/>
      </w:pPr>
      <w:r>
        <w:t xml:space="preserve">For event-driven repricing:</w:t>
      </w:r>
    </w:p>
    <w:p>
      <w:pPr>
        <w:pStyle w:val="BodyText"/>
      </w:pPr>
      <w:r>
        <w:t xml:space="preserve">$$</w:t>
      </w:r>
      <w:r>
        <w:t xml:space="preserve"> </w:t>
      </w:r>
      <w:r>
        <w:t xml:space="preserve">df_t</w:t>
      </w:r>
      <w:r>
        <w:t xml:space="preserve"> </w:t>
      </w:r>
      <w:r>
        <w:t xml:space="preserve">=</w:t>
      </w:r>
      <w:r>
        <w:t xml:space="preserve"> </w:t>
      </w:r>
      <w:r>
        <w:t xml:space="preserve"> </w:t>
      </w:r>
      <w:r>
        <w:t xml:space="preserve">(</w:t>
      </w:r>
      <w:r>
        <w:t xml:space="preserve"> </w:t>
      </w:r>
      <w:r>
        <w:t xml:space="preserve">f_t^{</w:t>
      </w:r>
      <w:r>
        <w:t xml:space="preserve">}-f_t</w:t>
      </w:r>
      <w:r>
        <w:t xml:space="preserve"> </w:t>
      </w:r>
      <w:r>
        <w:t xml:space="preserve">)dt</w:t>
      </w:r>
    </w:p>
    <w:p>
      <w:pPr>
        <w:pStyle w:val="Compact"/>
        <w:numPr>
          <w:ilvl w:val="0"/>
          <w:numId w:val="1088"/>
        </w:numPr>
      </w:pPr>
      <w:r>
        <w:t xml:space="preserve">_f,dW_t</w:t>
      </w:r>
      <w:r>
        <w:t xml:space="preserve"> </w:t>
      </w:r>
      <w:r>
        <w:t xml:space="preserve">$$</w:t>
      </w:r>
    </w:p>
    <w:p>
      <w:pPr>
        <w:pStyle w:val="FirstParagraph"/>
      </w:pPr>
      <w:r>
        <w:t xml:space="preserve">but explain the limitations of applying continuous-time diffusion assumptions to discrete, bounded, event-driven binary contracts.</w:t>
      </w:r>
    </w:p>
    <w:bookmarkEnd w:id="89"/>
    <w:bookmarkStart w:id="90" w:name="estimation-error-penalty"/>
    <w:p>
      <w:pPr>
        <w:pStyle w:val="Heading2"/>
      </w:pPr>
      <w:r>
        <w:t xml:space="preserve">Estimation-Error Penalty</w:t>
      </w:r>
    </w:p>
    <w:p>
      <w:pPr>
        <w:pStyle w:val="FirstParagraph"/>
      </w:pPr>
      <w:r>
        <w:t xml:space="preserve">Because Kelly sizing is highly sensitive to probability error, use a conservative estimate:</w:t>
      </w:r>
    </w:p>
    <w:p>
      <w:pPr>
        <w:pStyle w:val="BodyText"/>
      </w:pPr>
      <w:r>
        <w:t xml:space="preserve">$$</w:t>
      </w:r>
      <w:r>
        <w:t xml:space="preserve"> </w:t>
      </w:r>
      <w:r>
        <w:t xml:space="preserve">p_t^{</w:t>
      </w:r>
      <w:r>
        <w:t xml:space="preserve">}</w:t>
      </w:r>
      <w:r>
        <w:t xml:space="preserve"> </w:t>
      </w:r>
      <w:r>
        <w:t xml:space="preserve">=</w:t>
      </w:r>
      <w:r>
        <w:t xml:space="preserve"> </w:t>
      </w:r>
      <w:r>
        <w:t xml:space="preserve">p_t</w:t>
      </w:r>
    </w:p>
    <w:p>
      <w:pPr>
        <w:pStyle w:val="Compact"/>
        <w:numPr>
          <w:ilvl w:val="0"/>
          <w:numId w:val="1089"/>
        </w:numPr>
      </w:pPr>
      <w:r>
        <w:t xml:space="preserve">z_</w:t>
      </w:r>
      <w:r>
        <w:t xml:space="preserve">_{p,t}</w:t>
      </w:r>
      <w:r>
        <w:t xml:space="preserve"> </w:t>
      </w:r>
      <w:r>
        <w:t xml:space="preserve">$$</w:t>
      </w:r>
    </w:p>
    <w:p>
      <w:pPr>
        <w:pStyle w:val="FirstParagraph"/>
      </w:pPr>
      <w:r>
        <w:t xml:space="preserve">for YES positions, and the corresponding upper-bound adjustment for NO positions.</w:t>
      </w:r>
    </w:p>
    <w:p>
      <w:pPr>
        <w:pStyle w:val="BodyText"/>
      </w:pPr>
      <w:r>
        <w:t xml:space="preserve">Also consider robust optimization:</w:t>
      </w:r>
    </w:p>
    <w:p>
      <w:pPr>
        <w:pStyle w:val="BodyText"/>
      </w:pPr>
      <m:oMathPara>
        <m:oMathParaPr>
          <m:jc m:val="center"/>
        </m:oMathParaPr>
        <m:oMath>
          <m:limLow>
            <m:e>
              <m:r>
                <m:rPr>
                  <m:sty m:val="p"/>
                </m:rPr>
                <m:t>max</m:t>
              </m:r>
            </m:e>
            <m:lim>
              <m:r>
                <m:t>f</m:t>
              </m:r>
            </m:lim>
          </m:limLow>
          <m:limLow>
            <m:e>
              <m:r>
                <m:rPr>
                  <m:sty m:val="p"/>
                </m:rPr>
                <m:t>min</m:t>
              </m:r>
            </m:e>
            <m:lim>
              <m:r>
                <m:t>p</m:t>
              </m:r>
              <m:r>
                <m:rPr>
                  <m:sty m:val="p"/>
                </m:rPr>
                <m:t>∈</m:t>
              </m:r>
              <m:sSub>
                <m:e>
                  <m:r>
                    <m:rPr>
                      <m:sty m:val="p"/>
                      <m:scr m:val="script"/>
                    </m:rPr>
                    <m:t>P</m:t>
                  </m:r>
                </m:e>
                <m:sub>
                  <m:r>
                    <m:t>t</m:t>
                  </m:r>
                </m:sub>
              </m:sSub>
            </m:lim>
          </m:limLow>
          <m:sSub>
            <m:e>
              <m:r>
                <m:rPr>
                  <m:sty m:val="p"/>
                  <m:scr m:val="double-struck"/>
                </m:rPr>
                <m:t>E</m:t>
              </m:r>
            </m:e>
            <m:sub>
              <m:r>
                <m:t>p</m:t>
              </m:r>
            </m:sub>
          </m:sSub>
          <m:d>
            <m:dPr>
              <m:begChr m:val="["/>
              <m:sepChr m:val=""/>
              <m:endChr m:val="]"/>
              <m:grow/>
            </m:dPr>
            <m:e>
              <m:r>
                <m:rPr>
                  <m:sty m:val="p"/>
                </m:rPr>
                <m:t>log</m:t>
              </m:r>
              <m:sSub>
                <m:e>
                  <m:r>
                    <m:t>W</m:t>
                  </m:r>
                </m:e>
                <m:sub>
                  <m:r>
                    <m:t>T</m:t>
                  </m:r>
                </m:sub>
              </m:sSub>
            </m:e>
          </m:d>
        </m:oMath>
      </m:oMathPara>
    </w:p>
    <w:p>
      <w:pPr>
        <w:pStyle w:val="FirstParagraph"/>
      </w:pPr>
      <w:r>
        <w:t xml:space="preserve">where</w:t>
      </w:r>
      <w:r>
        <w:t xml:space="preserve"> </w:t>
      </w:r>
      <m:oMath>
        <m:sSub>
          <m:e>
            <m:r>
              <m:rPr>
                <m:sty m:val="p"/>
                <m:scr m:val="script"/>
              </m:rPr>
              <m:t>P</m:t>
            </m:r>
          </m:e>
          <m:sub>
            <m:r>
              <m:t>t</m:t>
            </m:r>
          </m:sub>
        </m:sSub>
      </m:oMath>
      <w:r>
        <w:t xml:space="preserve"> </w:t>
      </w:r>
      <w:r>
        <w:t xml:space="preserve">is an uncertainty set around the estimated probability.</w:t>
      </w:r>
    </w:p>
    <w:p>
      <w:pPr>
        <w:pStyle w:val="BodyText"/>
      </w:pPr>
      <w:r>
        <w:t xml:space="preserve">Impose hard caps independent of Kelly output.</w:t>
      </w:r>
    </w:p>
    <w:p>
      <w:r>
        <w:pict>
          <v:rect style="width:0;height:1.5pt" o:hralign="center" o:hrstd="t" o:hr="t"/>
        </w:pict>
      </w:r>
    </w:p>
    <w:bookmarkEnd w:id="90"/>
    <w:bookmarkEnd w:id="91"/>
    <w:bookmarkStart w:id="95" w:name="execution-algorithm"/>
    <w:p>
      <w:pPr>
        <w:pStyle w:val="Heading1"/>
      </w:pPr>
      <w:r>
        <w:t xml:space="preserve">19. Execution Algorithm</w:t>
      </w:r>
    </w:p>
    <w:p>
      <w:pPr>
        <w:pStyle w:val="FirstParagraph"/>
      </w:pPr>
      <w:r>
        <w:t xml:space="preserve">Design a state machine that separates signal generation from execution.</w:t>
      </w:r>
    </w:p>
    <w:bookmarkStart w:id="92" w:name="required-states"/>
    <w:p>
      <w:pPr>
        <w:pStyle w:val="Heading2"/>
      </w:pPr>
      <w:r>
        <w:t xml:space="preserve">Required States</w:t>
      </w:r>
    </w:p>
    <w:p>
      <w:pPr>
        <w:pStyle w:val="Compact"/>
        <w:numPr>
          <w:ilvl w:val="0"/>
          <w:numId w:val="1090"/>
        </w:numPr>
      </w:pPr>
      <w:r>
        <w:rPr>
          <w:rStyle w:val="VerbatimChar"/>
        </w:rPr>
        <w:t xml:space="preserve">NO_POSITION</w:t>
      </w:r>
    </w:p>
    <w:p>
      <w:pPr>
        <w:pStyle w:val="Compact"/>
        <w:numPr>
          <w:ilvl w:val="0"/>
          <w:numId w:val="1090"/>
        </w:numPr>
      </w:pPr>
      <w:r>
        <w:rPr>
          <w:rStyle w:val="VerbatimChar"/>
        </w:rPr>
        <w:t xml:space="preserve">PASSIVE_YES</w:t>
      </w:r>
    </w:p>
    <w:p>
      <w:pPr>
        <w:pStyle w:val="Compact"/>
        <w:numPr>
          <w:ilvl w:val="0"/>
          <w:numId w:val="1090"/>
        </w:numPr>
      </w:pPr>
      <w:r>
        <w:rPr>
          <w:rStyle w:val="VerbatimChar"/>
        </w:rPr>
        <w:t xml:space="preserve">AGGRESSIVE_YES</w:t>
      </w:r>
    </w:p>
    <w:p>
      <w:pPr>
        <w:pStyle w:val="Compact"/>
        <w:numPr>
          <w:ilvl w:val="0"/>
          <w:numId w:val="1090"/>
        </w:numPr>
      </w:pPr>
      <w:r>
        <w:rPr>
          <w:rStyle w:val="VerbatimChar"/>
        </w:rPr>
        <w:t xml:space="preserve">LONG_YES</w:t>
      </w:r>
    </w:p>
    <w:p>
      <w:pPr>
        <w:pStyle w:val="Compact"/>
        <w:numPr>
          <w:ilvl w:val="0"/>
          <w:numId w:val="1090"/>
        </w:numPr>
      </w:pPr>
      <w:r>
        <w:rPr>
          <w:rStyle w:val="VerbatimChar"/>
        </w:rPr>
        <w:t xml:space="preserve">REDUCE_YES</w:t>
      </w:r>
    </w:p>
    <w:p>
      <w:pPr>
        <w:pStyle w:val="Compact"/>
        <w:numPr>
          <w:ilvl w:val="0"/>
          <w:numId w:val="1090"/>
        </w:numPr>
      </w:pPr>
      <w:r>
        <w:rPr>
          <w:rStyle w:val="VerbatimChar"/>
        </w:rPr>
        <w:t xml:space="preserve">PASSIVE_NO</w:t>
      </w:r>
    </w:p>
    <w:p>
      <w:pPr>
        <w:pStyle w:val="Compact"/>
        <w:numPr>
          <w:ilvl w:val="0"/>
          <w:numId w:val="1090"/>
        </w:numPr>
      </w:pPr>
      <w:r>
        <w:rPr>
          <w:rStyle w:val="VerbatimChar"/>
        </w:rPr>
        <w:t xml:space="preserve">AGGRESSIVE_NO</w:t>
      </w:r>
    </w:p>
    <w:p>
      <w:pPr>
        <w:pStyle w:val="Compact"/>
        <w:numPr>
          <w:ilvl w:val="0"/>
          <w:numId w:val="1090"/>
        </w:numPr>
      </w:pPr>
      <w:r>
        <w:rPr>
          <w:rStyle w:val="VerbatimChar"/>
        </w:rPr>
        <w:t xml:space="preserve">LONG_NO</w:t>
      </w:r>
    </w:p>
    <w:p>
      <w:pPr>
        <w:pStyle w:val="Compact"/>
        <w:numPr>
          <w:ilvl w:val="0"/>
          <w:numId w:val="1090"/>
        </w:numPr>
      </w:pPr>
      <w:r>
        <w:rPr>
          <w:rStyle w:val="VerbatimChar"/>
        </w:rPr>
        <w:t xml:space="preserve">REDUCE_NO</w:t>
      </w:r>
    </w:p>
    <w:p>
      <w:pPr>
        <w:pStyle w:val="Compact"/>
        <w:numPr>
          <w:ilvl w:val="0"/>
          <w:numId w:val="1090"/>
        </w:numPr>
      </w:pPr>
      <w:r>
        <w:rPr>
          <w:rStyle w:val="VerbatimChar"/>
        </w:rPr>
        <w:t xml:space="preserve">HEDGED</w:t>
      </w:r>
    </w:p>
    <w:p>
      <w:pPr>
        <w:pStyle w:val="Compact"/>
        <w:numPr>
          <w:ilvl w:val="0"/>
          <w:numId w:val="1090"/>
        </w:numPr>
      </w:pPr>
      <w:r>
        <w:rPr>
          <w:rStyle w:val="VerbatimChar"/>
        </w:rPr>
        <w:t xml:space="preserve">DATA_STALE</w:t>
      </w:r>
    </w:p>
    <w:p>
      <w:pPr>
        <w:pStyle w:val="Compact"/>
        <w:numPr>
          <w:ilvl w:val="0"/>
          <w:numId w:val="1090"/>
        </w:numPr>
      </w:pPr>
      <w:r>
        <w:rPr>
          <w:rStyle w:val="VerbatimChar"/>
        </w:rPr>
        <w:t xml:space="preserve">RISK_HALTED</w:t>
      </w:r>
    </w:p>
    <w:p>
      <w:pPr>
        <w:pStyle w:val="Compact"/>
        <w:numPr>
          <w:ilvl w:val="0"/>
          <w:numId w:val="1090"/>
        </w:numPr>
      </w:pPr>
      <w:r>
        <w:rPr>
          <w:rStyle w:val="VerbatimChar"/>
        </w:rPr>
        <w:t xml:space="preserve">SETTLEMENT_LOCKDOWN</w:t>
      </w:r>
    </w:p>
    <w:bookmarkEnd w:id="92"/>
    <w:bookmarkStart w:id="93" w:name="decision-variables"/>
    <w:p>
      <w:pPr>
        <w:pStyle w:val="Heading2"/>
      </w:pPr>
      <w:r>
        <w:t xml:space="preserve">Decision Variables</w:t>
      </w:r>
    </w:p>
    <w:p>
      <w:pPr>
        <w:pStyle w:val="FirstParagraph"/>
      </w:pPr>
      <w:r>
        <w:t xml:space="preserve">At each event time, evaluate:</w:t>
      </w:r>
    </w:p>
    <w:p>
      <w:pPr>
        <w:pStyle w:val="Compact"/>
        <w:numPr>
          <w:ilvl w:val="0"/>
          <w:numId w:val="1091"/>
        </w:numPr>
      </w:pPr>
      <w:r>
        <w:t xml:space="preserve">Posterior probability.</w:t>
      </w:r>
    </w:p>
    <w:p>
      <w:pPr>
        <w:pStyle w:val="Compact"/>
        <w:numPr>
          <w:ilvl w:val="0"/>
          <w:numId w:val="1091"/>
        </w:numPr>
      </w:pPr>
      <w:r>
        <w:t xml:space="preserve">Lower and upper probability bounds.</w:t>
      </w:r>
    </w:p>
    <w:p>
      <w:pPr>
        <w:pStyle w:val="Compact"/>
        <w:numPr>
          <w:ilvl w:val="0"/>
          <w:numId w:val="1091"/>
        </w:numPr>
      </w:pPr>
      <w:r>
        <w:t xml:space="preserve">Best executable YES and NO prices.</w:t>
      </w:r>
    </w:p>
    <w:p>
      <w:pPr>
        <w:pStyle w:val="Compact"/>
        <w:numPr>
          <w:ilvl w:val="0"/>
          <w:numId w:val="1091"/>
        </w:numPr>
      </w:pPr>
      <w:r>
        <w:t xml:space="preserve">Spread.</w:t>
      </w:r>
    </w:p>
    <w:p>
      <w:pPr>
        <w:pStyle w:val="Compact"/>
        <w:numPr>
          <w:ilvl w:val="0"/>
          <w:numId w:val="1091"/>
        </w:numPr>
      </w:pPr>
      <w:r>
        <w:t xml:space="preserve">Depth.</w:t>
      </w:r>
    </w:p>
    <w:p>
      <w:pPr>
        <w:pStyle w:val="Compact"/>
        <w:numPr>
          <w:ilvl w:val="0"/>
          <w:numId w:val="1091"/>
        </w:numPr>
      </w:pPr>
      <w:r>
        <w:t xml:space="preserve">Fill probability.</w:t>
      </w:r>
    </w:p>
    <w:p>
      <w:pPr>
        <w:pStyle w:val="Compact"/>
        <w:numPr>
          <w:ilvl w:val="0"/>
          <w:numId w:val="1091"/>
        </w:numPr>
      </w:pPr>
      <w:r>
        <w:t xml:space="preserve">Queue position estimate.</w:t>
      </w:r>
    </w:p>
    <w:p>
      <w:pPr>
        <w:pStyle w:val="Compact"/>
        <w:numPr>
          <w:ilvl w:val="0"/>
          <w:numId w:val="1091"/>
        </w:numPr>
      </w:pPr>
      <w:r>
        <w:t xml:space="preserve">Adverse-selection risk.</w:t>
      </w:r>
    </w:p>
    <w:p>
      <w:pPr>
        <w:pStyle w:val="Compact"/>
        <w:numPr>
          <w:ilvl w:val="0"/>
          <w:numId w:val="1091"/>
        </w:numPr>
      </w:pPr>
      <w:r>
        <w:t xml:space="preserve">Forecast revision.</w:t>
      </w:r>
    </w:p>
    <w:p>
      <w:pPr>
        <w:pStyle w:val="Compact"/>
        <w:numPr>
          <w:ilvl w:val="0"/>
          <w:numId w:val="1091"/>
        </w:numPr>
      </w:pPr>
      <w:r>
        <w:t xml:space="preserve">Model disagreement.</w:t>
      </w:r>
    </w:p>
    <w:p>
      <w:pPr>
        <w:pStyle w:val="Compact"/>
        <w:numPr>
          <w:ilvl w:val="0"/>
          <w:numId w:val="1091"/>
        </w:numPr>
      </w:pPr>
      <w:r>
        <w:t xml:space="preserve">Time to settlement.</w:t>
      </w:r>
    </w:p>
    <w:p>
      <w:pPr>
        <w:pStyle w:val="Compact"/>
        <w:numPr>
          <w:ilvl w:val="0"/>
          <w:numId w:val="1091"/>
        </w:numPr>
      </w:pPr>
      <w:r>
        <w:t xml:space="preserve">Current inventory.</w:t>
      </w:r>
    </w:p>
    <w:p>
      <w:pPr>
        <w:pStyle w:val="Compact"/>
        <w:numPr>
          <w:ilvl w:val="0"/>
          <w:numId w:val="1091"/>
        </w:numPr>
      </w:pPr>
      <w:r>
        <w:t xml:space="preserve">Current drawdown.</w:t>
      </w:r>
    </w:p>
    <w:p>
      <w:pPr>
        <w:pStyle w:val="Compact"/>
        <w:numPr>
          <w:ilvl w:val="0"/>
          <w:numId w:val="1091"/>
        </w:numPr>
      </w:pPr>
      <w:r>
        <w:t xml:space="preserve">Data freshness.</w:t>
      </w:r>
    </w:p>
    <w:p>
      <w:pPr>
        <w:pStyle w:val="Compact"/>
        <w:numPr>
          <w:ilvl w:val="0"/>
          <w:numId w:val="1091"/>
        </w:numPr>
      </w:pPr>
      <w:r>
        <w:t xml:space="preserve">Expected transaction cost.</w:t>
      </w:r>
    </w:p>
    <w:bookmarkEnd w:id="93"/>
    <w:bookmarkStart w:id="94" w:name="switching-logic"/>
    <w:p>
      <w:pPr>
        <w:pStyle w:val="Heading2"/>
      </w:pPr>
      <w:r>
        <w:t xml:space="preserve">Switching Logic</w:t>
      </w:r>
    </w:p>
    <w:p>
      <w:pPr>
        <w:pStyle w:val="FirstParagraph"/>
      </w:pPr>
      <w:r>
        <w:t xml:space="preserve">Do not flip directly from long YES to long NO based solely on short-term momentum.</w:t>
      </w:r>
    </w:p>
    <w:p>
      <w:pPr>
        <w:pStyle w:val="BodyText"/>
      </w:pPr>
      <w:r>
        <w:t xml:space="preserve">Require a posterior change large enough to cover:</w:t>
      </w:r>
    </w:p>
    <w:p>
      <w:pPr>
        <w:pStyle w:val="Compact"/>
        <w:numPr>
          <w:ilvl w:val="0"/>
          <w:numId w:val="1092"/>
        </w:numPr>
      </w:pPr>
      <w:r>
        <w:t xml:space="preserve">Exit cost.</w:t>
      </w:r>
    </w:p>
    <w:p>
      <w:pPr>
        <w:pStyle w:val="Compact"/>
        <w:numPr>
          <w:ilvl w:val="0"/>
          <w:numId w:val="1092"/>
        </w:numPr>
      </w:pPr>
      <w:r>
        <w:t xml:space="preserve">Entry cost.</w:t>
      </w:r>
    </w:p>
    <w:p>
      <w:pPr>
        <w:pStyle w:val="Compact"/>
        <w:numPr>
          <w:ilvl w:val="0"/>
          <w:numId w:val="1092"/>
        </w:numPr>
      </w:pPr>
      <w:r>
        <w:t xml:space="preserve">Model uncertainty.</w:t>
      </w:r>
    </w:p>
    <w:p>
      <w:pPr>
        <w:pStyle w:val="Compact"/>
        <w:numPr>
          <w:ilvl w:val="0"/>
          <w:numId w:val="1092"/>
        </w:numPr>
      </w:pPr>
      <w:r>
        <w:t xml:space="preserve">Hysteresis threshold.</w:t>
      </w:r>
    </w:p>
    <w:p>
      <w:pPr>
        <w:pStyle w:val="Compact"/>
        <w:numPr>
          <w:ilvl w:val="0"/>
          <w:numId w:val="1092"/>
        </w:numPr>
      </w:pPr>
      <w:r>
        <w:t xml:space="preserve">Adverse-selection cost.</w:t>
      </w:r>
    </w:p>
    <w:p>
      <w:pPr>
        <w:pStyle w:val="FirstParagraph"/>
      </w:pPr>
      <w:r>
        <w:t xml:space="preserve">Define:</w:t>
      </w:r>
    </w:p>
    <w:p>
      <w:pPr>
        <w:pStyle w:val="BodyText"/>
      </w:pPr>
      <w:r>
        <w:t xml:space="preserve">$$</w:t>
      </w:r>
      <w:r>
        <w:t xml:space="preserve"> </w:t>
      </w:r>
      <w:r>
        <w:t xml:space="preserve">EV_t^{</w:t>
      </w:r>
      <w:r>
        <w:t xml:space="preserve">}</w:t>
      </w:r>
      <w:r>
        <w:t xml:space="preserve"> </w:t>
      </w:r>
      <w:r>
        <w:t xml:space="preserve">=</w:t>
      </w:r>
      <w:r>
        <w:t xml:space="preserve"> </w:t>
      </w:r>
      <w:r>
        <w:t xml:space="preserve">EV_t^{</w:t>
      </w:r>
      <w:r>
        <w:t xml:space="preserve">}</w:t>
      </w:r>
    </w:p>
    <w:p>
      <w:pPr>
        <w:numPr>
          <w:ilvl w:val="0"/>
          <w:numId w:val="1093"/>
        </w:numPr>
      </w:pPr>
      <w:r>
        <w:t xml:space="preserve">EV_t^{</w:t>
      </w:r>
      <w:r>
        <w:t xml:space="preserve">}</w:t>
      </w:r>
    </w:p>
    <w:p>
      <w:pPr>
        <w:numPr>
          <w:ilvl w:val="0"/>
          <w:numId w:val="1093"/>
        </w:numPr>
      </w:pPr>
      <w:r>
        <w:t xml:space="preserve">C_t^{</w:t>
      </w:r>
      <w:r>
        <w:t xml:space="preserve">}</w:t>
      </w:r>
      <w:r>
        <w:t xml:space="preserve"> </w:t>
      </w:r>
      <w:r>
        <w:t xml:space="preserve">$$</w:t>
      </w:r>
    </w:p>
    <w:p>
      <w:pPr>
        <w:pStyle w:val="FirstParagraph"/>
      </w:pPr>
      <w:r>
        <w:t xml:space="preserve">Flip only when:</w:t>
      </w:r>
    </w:p>
    <w:p>
      <w:pPr>
        <w:pStyle w:val="BodyText"/>
      </w:pPr>
      <m:oMathPara>
        <m:oMathParaPr>
          <m:jc m:val="center"/>
        </m:oMathParaPr>
        <m:oMath>
          <m:r>
            <m:t>Δ</m:t>
          </m:r>
          <m:r>
            <m:t>E</m:t>
          </m:r>
          <m:sSubSup>
            <m:e>
              <m:r>
                <m:t>V</m:t>
              </m:r>
            </m:e>
            <m:sub>
              <m:r>
                <m:t>t</m:t>
              </m:r>
            </m:sub>
            <m:sup>
              <m:r>
                <m:rPr>
                  <m:nor/>
                  <m:sty m:val="p"/>
                </m:rPr>
                <m:t>flip</m:t>
              </m:r>
            </m:sup>
          </m:sSubSup>
          <m:r>
            <m:rPr>
              <m:sty m:val="p"/>
            </m:rPr>
            <m:t>&gt;</m:t>
          </m:r>
          <m:sSub>
            <m:e>
              <m:r>
                <m:t>H</m:t>
              </m:r>
            </m:e>
            <m:sub>
              <m:r>
                <m:t>t</m:t>
              </m:r>
            </m:sub>
          </m:sSub>
        </m:oMath>
      </m:oMathPara>
    </w:p>
    <w:p>
      <w:pPr>
        <w:pStyle w:val="FirstParagraph"/>
      </w:pPr>
      <w:r>
        <w:t xml:space="preserve">where</w:t>
      </w:r>
      <w:r>
        <w:t xml:space="preserve"> </w:t>
      </w:r>
      <m:oMath>
        <m:sSub>
          <m:e>
            <m:r>
              <m:t>H</m:t>
            </m:r>
          </m:e>
          <m:sub>
            <m:r>
              <m:t>t</m:t>
            </m:r>
          </m:sub>
        </m:sSub>
      </m:oMath>
      <w:r>
        <w:t xml:space="preserve"> </w:t>
      </w:r>
      <w:r>
        <w:t xml:space="preserve">is a dynamic hysteresis band.</w:t>
      </w:r>
    </w:p>
    <w:p>
      <w:pPr>
        <w:pStyle w:val="BodyText"/>
      </w:pPr>
      <w:r>
        <w:t xml:space="preserve">Provide detailed pseudocode comparable to:</w:t>
      </w:r>
    </w:p>
    <w:p>
      <w:pPr>
        <w:pStyle w:val="SourceCode"/>
      </w:pPr>
      <w:r>
        <w:rPr>
          <w:rStyle w:val="VerbatimChar"/>
        </w:rPr>
        <w:t xml:space="preserve">on_event(event):</w:t>
      </w:r>
      <w:r>
        <w:br/>
      </w:r>
      <w:r>
        <w:rPr>
          <w:rStyle w:val="VerbatimChar"/>
        </w:rPr>
        <w:t xml:space="preserve">    update_market_state(event)</w:t>
      </w:r>
      <w:r>
        <w:br/>
      </w:r>
      <w:r>
        <w:rPr>
          <w:rStyle w:val="VerbatimChar"/>
        </w:rPr>
        <w:t xml:space="preserve">    update_data_freshness()</w:t>
      </w:r>
      <w:r>
        <w:br/>
      </w:r>
      <w:r>
        <w:br/>
      </w:r>
      <w:r>
        <w:rPr>
          <w:rStyle w:val="VerbatimChar"/>
        </w:rPr>
        <w:t xml:space="preserve">    if critical_data_stale():</w:t>
      </w:r>
      <w:r>
        <w:br/>
      </w:r>
      <w:r>
        <w:rPr>
          <w:rStyle w:val="VerbatimChar"/>
        </w:rPr>
        <w:t xml:space="preserve">        cancel_all_orders()</w:t>
      </w:r>
      <w:r>
        <w:br/>
      </w:r>
      <w:r>
        <w:rPr>
          <w:rStyle w:val="VerbatimChar"/>
        </w:rPr>
        <w:t xml:space="preserve">        reduce_risk_if_possible()</w:t>
      </w:r>
      <w:r>
        <w:br/>
      </w:r>
      <w:r>
        <w:rPr>
          <w:rStyle w:val="VerbatimChar"/>
        </w:rPr>
        <w:t xml:space="preserve">        state = DATA_STALE</w:t>
      </w:r>
      <w:r>
        <w:br/>
      </w:r>
      <w:r>
        <w:rPr>
          <w:rStyle w:val="VerbatimChar"/>
        </w:rPr>
        <w:t xml:space="preserve">        return</w:t>
      </w:r>
      <w:r>
        <w:br/>
      </w:r>
      <w:r>
        <w:br/>
      </w:r>
      <w:r>
        <w:rPr>
          <w:rStyle w:val="VerbatimChar"/>
        </w:rPr>
        <w:t xml:space="preserve">    if risk_limit_breached():</w:t>
      </w:r>
      <w:r>
        <w:br/>
      </w:r>
      <w:r>
        <w:rPr>
          <w:rStyle w:val="VerbatimChar"/>
        </w:rPr>
        <w:t xml:space="preserve">        cancel_all_orders()</w:t>
      </w:r>
      <w:r>
        <w:br/>
      </w:r>
      <w:r>
        <w:rPr>
          <w:rStyle w:val="VerbatimChar"/>
        </w:rPr>
        <w:t xml:space="preserve">        reduce_positions()</w:t>
      </w:r>
      <w:r>
        <w:br/>
      </w:r>
      <w:r>
        <w:rPr>
          <w:rStyle w:val="VerbatimChar"/>
        </w:rPr>
        <w:t xml:space="preserve">        state = RISK_HALTED</w:t>
      </w:r>
      <w:r>
        <w:br/>
      </w:r>
      <w:r>
        <w:rPr>
          <w:rStyle w:val="VerbatimChar"/>
        </w:rPr>
        <w:t xml:space="preserve">        return</w:t>
      </w:r>
      <w:r>
        <w:br/>
      </w:r>
      <w:r>
        <w:br/>
      </w:r>
      <w:r>
        <w:rPr>
          <w:rStyle w:val="VerbatimChar"/>
        </w:rPr>
        <w:t xml:space="preserve">    posterior = model_engine.posterior()</w:t>
      </w:r>
      <w:r>
        <w:br/>
      </w:r>
      <w:r>
        <w:rPr>
          <w:rStyle w:val="VerbatimChar"/>
        </w:rPr>
        <w:t xml:space="preserve">    yes_ev = executable_yes_ev(posterior)</w:t>
      </w:r>
      <w:r>
        <w:br/>
      </w:r>
      <w:r>
        <w:rPr>
          <w:rStyle w:val="VerbatimChar"/>
        </w:rPr>
        <w:t xml:space="preserve">    no_ev  = executable_no_ev(posterior)</w:t>
      </w:r>
      <w:r>
        <w:br/>
      </w:r>
      <w:r>
        <w:br/>
      </w:r>
      <w:r>
        <w:rPr>
          <w:rStyle w:val="VerbatimChar"/>
        </w:rPr>
        <w:t xml:space="preserve">    target = portfolio_optimizer(</w:t>
      </w:r>
      <w:r>
        <w:br/>
      </w:r>
      <w:r>
        <w:rPr>
          <w:rStyle w:val="VerbatimChar"/>
        </w:rPr>
        <w:t xml:space="preserve">        yes_ev,</w:t>
      </w:r>
      <w:r>
        <w:br/>
      </w:r>
      <w:r>
        <w:rPr>
          <w:rStyle w:val="VerbatimChar"/>
        </w:rPr>
        <w:t xml:space="preserve">        no_ev,</w:t>
      </w:r>
      <w:r>
        <w:br/>
      </w:r>
      <w:r>
        <w:rPr>
          <w:rStyle w:val="VerbatimChar"/>
        </w:rPr>
        <w:t xml:space="preserve">        uncertainty=posterior.uncertainty,</w:t>
      </w:r>
      <w:r>
        <w:br/>
      </w:r>
      <w:r>
        <w:rPr>
          <w:rStyle w:val="VerbatimChar"/>
        </w:rPr>
        <w:t xml:space="preserve">        liquidity=market_state.liquidity,</w:t>
      </w:r>
      <w:r>
        <w:br/>
      </w:r>
      <w:r>
        <w:rPr>
          <w:rStyle w:val="VerbatimChar"/>
        </w:rPr>
        <w:t xml:space="preserve">        inventory=current_inventory,</w:t>
      </w:r>
      <w:r>
        <w:br/>
      </w:r>
      <w:r>
        <w:rPr>
          <w:rStyle w:val="VerbatimChar"/>
        </w:rPr>
        <w:t xml:space="preserve">        drawdown=current_drawdown</w:t>
      </w:r>
      <w:r>
        <w:br/>
      </w:r>
      <w:r>
        <w:rPr>
          <w:rStyle w:val="VerbatimChar"/>
        </w:rPr>
        <w:t xml:space="preserve">    )</w:t>
      </w:r>
      <w:r>
        <w:br/>
      </w:r>
      <w:r>
        <w:br/>
      </w:r>
      <w:r>
        <w:rPr>
          <w:rStyle w:val="VerbatimChar"/>
        </w:rPr>
        <w:t xml:space="preserve">    if target.requires_flip:</w:t>
      </w:r>
      <w:r>
        <w:br/>
      </w:r>
      <w:r>
        <w:rPr>
          <w:rStyle w:val="VerbatimChar"/>
        </w:rPr>
        <w:t xml:space="preserve">        switch_cost = estimate_switch_cost()</w:t>
      </w:r>
      <w:r>
        <w:br/>
      </w:r>
      <w:r>
        <w:rPr>
          <w:rStyle w:val="VerbatimChar"/>
        </w:rPr>
        <w:t xml:space="preserve">        if target.incremental_ev &lt;= switch_cost + hysteresis_buffer():</w:t>
      </w:r>
      <w:r>
        <w:br/>
      </w:r>
      <w:r>
        <w:rPr>
          <w:rStyle w:val="VerbatimChar"/>
        </w:rPr>
        <w:t xml:space="preserve">            retain_or_reduce_current_position()</w:t>
      </w:r>
      <w:r>
        <w:br/>
      </w:r>
      <w:r>
        <w:rPr>
          <w:rStyle w:val="VerbatimChar"/>
        </w:rPr>
        <w:t xml:space="preserve">            return</w:t>
      </w:r>
      <w:r>
        <w:br/>
      </w:r>
      <w:r>
        <w:br/>
      </w:r>
      <w:r>
        <w:rPr>
          <w:rStyle w:val="VerbatimChar"/>
        </w:rPr>
        <w:t xml:space="preserve">    execution_plan = choose_execution_style(</w:t>
      </w:r>
      <w:r>
        <w:br/>
      </w:r>
      <w:r>
        <w:rPr>
          <w:rStyle w:val="VerbatimChar"/>
        </w:rPr>
        <w:t xml:space="preserve">        target,</w:t>
      </w:r>
      <w:r>
        <w:br/>
      </w:r>
      <w:r>
        <w:rPr>
          <w:rStyle w:val="VerbatimChar"/>
        </w:rPr>
        <w:t xml:space="preserve">        spread=market_state.spread,</w:t>
      </w:r>
      <w:r>
        <w:br/>
      </w:r>
      <w:r>
        <w:rPr>
          <w:rStyle w:val="VerbatimChar"/>
        </w:rPr>
        <w:t xml:space="preserve">        depth=market_state.depth,</w:t>
      </w:r>
      <w:r>
        <w:br/>
      </w:r>
      <w:r>
        <w:rPr>
          <w:rStyle w:val="VerbatimChar"/>
        </w:rPr>
        <w:t xml:space="preserve">        urgency=time_to_settlement(),</w:t>
      </w:r>
      <w:r>
        <w:br/>
      </w:r>
      <w:r>
        <w:rPr>
          <w:rStyle w:val="VerbatimChar"/>
        </w:rPr>
        <w:t xml:space="preserve">        toxicity=estimate_toxicity(),</w:t>
      </w:r>
      <w:r>
        <w:br/>
      </w:r>
      <w:r>
        <w:rPr>
          <w:rStyle w:val="VerbatimChar"/>
        </w:rPr>
        <w:t xml:space="preserve">        fill_probability=estimate_fill_probability()</w:t>
      </w:r>
      <w:r>
        <w:br/>
      </w:r>
      <w:r>
        <w:rPr>
          <w:rStyle w:val="VerbatimChar"/>
        </w:rPr>
        <w:t xml:space="preserve">    )</w:t>
      </w:r>
      <w:r>
        <w:br/>
      </w:r>
      <w:r>
        <w:br/>
      </w:r>
      <w:r>
        <w:rPr>
          <w:rStyle w:val="VerbatimChar"/>
        </w:rPr>
        <w:t xml:space="preserve">    submit_or_amend_orders(execution_plan)</w:t>
      </w:r>
      <w:r>
        <w:br/>
      </w:r>
      <w:r>
        <w:rPr>
          <w:rStyle w:val="VerbatimChar"/>
        </w:rPr>
        <w:t xml:space="preserve">    log_full_decision_state()</w:t>
      </w:r>
    </w:p>
    <w:p>
      <w:pPr>
        <w:pStyle w:val="FirstParagraph"/>
      </w:pPr>
      <w:r>
        <w:t xml:space="preserve">Expand this into implementable logic for:</w:t>
      </w:r>
    </w:p>
    <w:p>
      <w:pPr>
        <w:pStyle w:val="Compact"/>
        <w:numPr>
          <w:ilvl w:val="0"/>
          <w:numId w:val="1094"/>
        </w:numPr>
      </w:pPr>
      <w:r>
        <w:t xml:space="preserve">Passive versus aggressive execution.</w:t>
      </w:r>
    </w:p>
    <w:p>
      <w:pPr>
        <w:pStyle w:val="Compact"/>
        <w:numPr>
          <w:ilvl w:val="0"/>
          <w:numId w:val="1094"/>
        </w:numPr>
      </w:pPr>
      <w:r>
        <w:t xml:space="preserve">Order replacement.</w:t>
      </w:r>
    </w:p>
    <w:p>
      <w:pPr>
        <w:pStyle w:val="Compact"/>
        <w:numPr>
          <w:ilvl w:val="0"/>
          <w:numId w:val="1094"/>
        </w:numPr>
      </w:pPr>
      <w:r>
        <w:t xml:space="preserve">Queue deterioration.</w:t>
      </w:r>
    </w:p>
    <w:p>
      <w:pPr>
        <w:pStyle w:val="Compact"/>
        <w:numPr>
          <w:ilvl w:val="0"/>
          <w:numId w:val="1094"/>
        </w:numPr>
      </w:pPr>
      <w:r>
        <w:t xml:space="preserve">Maximum order age.</w:t>
      </w:r>
    </w:p>
    <w:p>
      <w:pPr>
        <w:pStyle w:val="Compact"/>
        <w:numPr>
          <w:ilvl w:val="0"/>
          <w:numId w:val="1094"/>
        </w:numPr>
      </w:pPr>
      <w:r>
        <w:t xml:space="preserve">Price chasing.</w:t>
      </w:r>
    </w:p>
    <w:p>
      <w:pPr>
        <w:pStyle w:val="Compact"/>
        <w:numPr>
          <w:ilvl w:val="0"/>
          <w:numId w:val="1094"/>
        </w:numPr>
      </w:pPr>
      <w:r>
        <w:t xml:space="preserve">Cancellation throttles.</w:t>
      </w:r>
    </w:p>
    <w:p>
      <w:pPr>
        <w:pStyle w:val="Compact"/>
        <w:numPr>
          <w:ilvl w:val="0"/>
          <w:numId w:val="1094"/>
        </w:numPr>
      </w:pPr>
      <w:r>
        <w:t xml:space="preserve">Partial fills.</w:t>
      </w:r>
    </w:p>
    <w:p>
      <w:pPr>
        <w:pStyle w:val="Compact"/>
        <w:numPr>
          <w:ilvl w:val="0"/>
          <w:numId w:val="1094"/>
        </w:numPr>
      </w:pPr>
      <w:r>
        <w:t xml:space="preserve">Inventory skew.</w:t>
      </w:r>
    </w:p>
    <w:p>
      <w:pPr>
        <w:pStyle w:val="Compact"/>
        <w:numPr>
          <w:ilvl w:val="0"/>
          <w:numId w:val="1094"/>
        </w:numPr>
      </w:pPr>
      <w:r>
        <w:t xml:space="preserve">Stale signals.</w:t>
      </w:r>
    </w:p>
    <w:p>
      <w:pPr>
        <w:pStyle w:val="Compact"/>
        <w:numPr>
          <w:ilvl w:val="0"/>
          <w:numId w:val="1094"/>
        </w:numPr>
      </w:pPr>
      <w:r>
        <w:t xml:space="preserve">Forecast-release windows.</w:t>
      </w:r>
    </w:p>
    <w:p>
      <w:pPr>
        <w:pStyle w:val="Compact"/>
        <w:numPr>
          <w:ilvl w:val="0"/>
          <w:numId w:val="1094"/>
        </w:numPr>
      </w:pPr>
      <w:r>
        <w:t xml:space="preserve">Settlement proximity.</w:t>
      </w:r>
    </w:p>
    <w:p>
      <w:pPr>
        <w:pStyle w:val="Compact"/>
        <w:numPr>
          <w:ilvl w:val="0"/>
          <w:numId w:val="1094"/>
        </w:numPr>
      </w:pPr>
      <w:r>
        <w:t xml:space="preserve">Exchange outages.</w:t>
      </w:r>
    </w:p>
    <w:p>
      <w:r>
        <w:pict>
          <v:rect style="width:0;height:1.5pt" o:hralign="center" o:hrstd="t" o:hr="t"/>
        </w:pict>
      </w:r>
    </w:p>
    <w:bookmarkEnd w:id="94"/>
    <w:bookmarkEnd w:id="95"/>
    <w:bookmarkStart w:id="96" w:name="momentum-and-mean-reversion-analysis"/>
    <w:p>
      <w:pPr>
        <w:pStyle w:val="Heading1"/>
      </w:pPr>
      <w:r>
        <w:t xml:space="preserve">20. Momentum and Mean-Reversion Analysis</w:t>
      </w:r>
    </w:p>
    <w:p>
      <w:pPr>
        <w:pStyle w:val="FirstParagraph"/>
      </w:pPr>
      <w:r>
        <w:t xml:space="preserve">Define market momentum formally rather than using visual intuition.</w:t>
      </w:r>
    </w:p>
    <w:p>
      <w:pPr>
        <w:pStyle w:val="BodyText"/>
      </w:pPr>
      <w:r>
        <w:t xml:space="preserve">Potential measures include:</w:t>
      </w:r>
    </w:p>
    <w:p>
      <w:pPr>
        <w:pStyle w:val="BodyText"/>
      </w:pPr>
      <m:oMathPara>
        <m:oMathParaPr>
          <m:jc m:val="center"/>
        </m:oMathParaPr>
        <m:oMath>
          <m:sSubSup>
            <m:e>
              <m:r>
                <m:t>M</m:t>
              </m:r>
            </m:e>
            <m:sub>
              <m:r>
                <m:t>t</m:t>
              </m:r>
            </m:sub>
            <m:sup>
              <m:d>
                <m:dPr>
                  <m:begChr m:val="("/>
                  <m:sepChr m:val=""/>
                  <m:endChr m:val=")"/>
                  <m:grow/>
                </m:dPr>
                <m:e>
                  <m:r>
                    <m:t>h</m:t>
                  </m:r>
                </m:e>
              </m:d>
            </m:sup>
          </m:sSubSup>
          <m:r>
            <m:rPr>
              <m:sty m:val="p"/>
            </m:rPr>
            <m:t>=</m:t>
          </m:r>
          <m:sSub>
            <m:e>
              <m:r>
                <m:t>q</m:t>
              </m:r>
            </m:e>
            <m:sub>
              <m:r>
                <m:t>t</m:t>
              </m:r>
            </m:sub>
          </m:sSub>
          <m:r>
            <m:rPr>
              <m:sty m:val="p"/>
            </m:rPr>
            <m:t>−</m:t>
          </m:r>
          <m:sSub>
            <m:e>
              <m:r>
                <m:t>q</m:t>
              </m:r>
            </m:e>
            <m:sub>
              <m:r>
                <m:t>t</m:t>
              </m:r>
              <m:r>
                <m:rPr>
                  <m:sty m:val="p"/>
                </m:rPr>
                <m:t>−</m:t>
              </m:r>
              <m:r>
                <m:t>h</m:t>
              </m:r>
            </m:sub>
          </m:sSub>
        </m:oMath>
      </m:oMathPara>
    </w:p>
    <w:p>
      <w:pPr>
        <w:pStyle w:val="FirstParagraph"/>
      </w:pPr>
      <w:r>
        <w:t xml:space="preserve">or exponentially weighted momentum:</w:t>
      </w:r>
    </w:p>
    <w:p>
      <w:pPr>
        <w:pStyle w:val="BodyText"/>
      </w:pPr>
      <m:oMathPara>
        <m:oMathParaPr>
          <m:jc m:val="center"/>
        </m:oMathParaPr>
        <m:oMath>
          <m:sSub>
            <m:e>
              <m:r>
                <m:t>M</m:t>
              </m:r>
            </m:e>
            <m:sub>
              <m:r>
                <m:t>t</m:t>
              </m:r>
            </m:sub>
          </m:sSub>
          <m:r>
            <m:rPr>
              <m:sty m:val="p"/>
            </m:rPr>
            <m:t>=</m:t>
          </m:r>
          <m:d>
            <m:dPr>
              <m:begChr m:val="("/>
              <m:sepChr m:val=""/>
              <m:endChr m:val=")"/>
              <m:grow/>
            </m:dPr>
            <m:e>
              <m:r>
                <m:t>1</m:t>
              </m:r>
              <m:r>
                <m:rPr>
                  <m:sty m:val="p"/>
                </m:rPr>
                <m:t>−</m:t>
              </m:r>
              <m:r>
                <m:t>λ</m:t>
              </m:r>
            </m:e>
          </m:d>
          <m:nary>
            <m:naryPr>
              <m:chr m:val="∑"/>
              <m:limLoc m:val="undOvr"/>
              <m:subHide m:val="off"/>
              <m:supHide m:val="off"/>
            </m:naryPr>
            <m:sub>
              <m:r>
                <m:t>j</m:t>
              </m:r>
              <m:r>
                <m:rPr>
                  <m:sty m:val="p"/>
                </m:rPr>
                <m:t>=</m:t>
              </m:r>
              <m:r>
                <m:t>1</m:t>
              </m:r>
            </m:sub>
            <m:sup>
              <m:r>
                <m:rPr>
                  <m:sty m:val="p"/>
                </m:rPr>
                <m:t>∞</m:t>
              </m:r>
            </m:sup>
            <m:e>
              <m:sSup>
                <m:e>
                  <m:r>
                    <m:t>λ</m:t>
                  </m:r>
                </m:e>
                <m:sup>
                  <m:r>
                    <m:t>j</m:t>
                  </m:r>
                  <m:r>
                    <m:rPr>
                      <m:sty m:val="p"/>
                    </m:rPr>
                    <m:t>−</m:t>
                  </m:r>
                  <m:r>
                    <m:t>1</m:t>
                  </m:r>
                </m:sup>
              </m:sSup>
            </m:e>
          </m:nary>
          <m:r>
            <m:t>Δ</m:t>
          </m:r>
          <m:sSub>
            <m:e>
              <m:r>
                <m:t>q</m:t>
              </m:r>
            </m:e>
            <m:sub>
              <m:r>
                <m:t>t</m:t>
              </m:r>
              <m:r>
                <m:rPr>
                  <m:sty m:val="p"/>
                </m:rPr>
                <m:t>−</m:t>
              </m:r>
              <m:r>
                <m:t>j</m:t>
              </m:r>
              <m:r>
                <m:rPr>
                  <m:sty m:val="p"/>
                </m:rPr>
                <m:t>+</m:t>
              </m:r>
              <m:r>
                <m:t>1</m:t>
              </m:r>
            </m:sub>
          </m:sSub>
        </m:oMath>
      </m:oMathPara>
    </w:p>
    <w:p>
      <w:pPr>
        <w:pStyle w:val="FirstParagraph"/>
      </w:pPr>
      <w:r>
        <w:t xml:space="preserve">Model momentum decay:</w:t>
      </w:r>
    </w:p>
    <w:p>
      <w:pPr>
        <w:pStyle w:val="BodyText"/>
      </w:pPr>
      <w:r>
        <w:t xml:space="preserve">$$</w:t>
      </w:r>
      <w:r>
        <w:t xml:space="preserve"> </w:t>
      </w:r>
      <w:r>
        <w:t xml:space="preserve">M_{t+</w:t>
      </w:r>
      <w:r>
        <w:t xml:space="preserve">}</w:t>
      </w:r>
      <w:r>
        <w:t xml:space="preserve"> </w:t>
      </w:r>
      <w:r>
        <w:t xml:space="preserve">=</w:t>
      </w:r>
      <w:r>
        <w:t xml:space="preserve"> </w:t>
      </w:r>
      <w:r>
        <w:t xml:space="preserve">M_t e^{-</w:t>
      </w:r>
      <w:r>
        <w:t xml:space="preserve">}</w:t>
      </w:r>
    </w:p>
    <w:p>
      <w:pPr>
        <w:pStyle w:val="Compact"/>
        <w:numPr>
          <w:ilvl w:val="0"/>
          <w:numId w:val="1095"/>
        </w:numPr>
      </w:pPr>
      <w:r>
        <w:t xml:space="preserve">_{t+</w:t>
      </w:r>
      <w:r>
        <w:t xml:space="preserve">}</w:t>
      </w:r>
      <w:r>
        <w:t xml:space="preserve"> </w:t>
      </w:r>
      <w:r>
        <w:t xml:space="preserve">$$</w:t>
      </w:r>
    </w:p>
    <w:p>
      <w:pPr>
        <w:pStyle w:val="FirstParagraph"/>
      </w:pPr>
      <w:r>
        <w:t xml:space="preserve">Test whether price momentum is explained by:</w:t>
      </w:r>
    </w:p>
    <w:p>
      <w:pPr>
        <w:pStyle w:val="Compact"/>
        <w:numPr>
          <w:ilvl w:val="0"/>
          <w:numId w:val="1096"/>
        </w:numPr>
      </w:pPr>
      <w:r>
        <w:t xml:space="preserve">Genuine forecast revisions.</w:t>
      </w:r>
    </w:p>
    <w:p>
      <w:pPr>
        <w:pStyle w:val="Compact"/>
        <w:numPr>
          <w:ilvl w:val="0"/>
          <w:numId w:val="1096"/>
        </w:numPr>
      </w:pPr>
      <w:r>
        <w:t xml:space="preserve">Order-flow continuation.</w:t>
      </w:r>
    </w:p>
    <w:p>
      <w:pPr>
        <w:pStyle w:val="Compact"/>
        <w:numPr>
          <w:ilvl w:val="0"/>
          <w:numId w:val="1096"/>
        </w:numPr>
      </w:pPr>
      <w:r>
        <w:t xml:space="preserve">Delayed information diffusion.</w:t>
      </w:r>
    </w:p>
    <w:p>
      <w:pPr>
        <w:pStyle w:val="Compact"/>
        <w:numPr>
          <w:ilvl w:val="0"/>
          <w:numId w:val="1096"/>
        </w:numPr>
      </w:pPr>
      <w:r>
        <w:t xml:space="preserve">Thin-book mechanical effects.</w:t>
      </w:r>
    </w:p>
    <w:p>
      <w:pPr>
        <w:pStyle w:val="Compact"/>
        <w:numPr>
          <w:ilvl w:val="0"/>
          <w:numId w:val="1096"/>
        </w:numPr>
      </w:pPr>
      <w:r>
        <w:t xml:space="preserve">Retail headline reaction.</w:t>
      </w:r>
    </w:p>
    <w:p>
      <w:pPr>
        <w:pStyle w:val="Compact"/>
        <w:numPr>
          <w:ilvl w:val="0"/>
          <w:numId w:val="1096"/>
        </w:numPr>
      </w:pPr>
      <w:r>
        <w:t xml:space="preserve">Temporary liquidity shocks.</w:t>
      </w:r>
    </w:p>
    <w:p>
      <w:pPr>
        <w:pStyle w:val="FirstParagraph"/>
      </w:pPr>
      <w:r>
        <w:t xml:space="preserve">Define residual momentum after controlling for fundamental updates:</w:t>
      </w:r>
    </w:p>
    <w:p>
      <w:pPr>
        <w:pStyle w:val="BodyText"/>
      </w:pPr>
      <w:r>
        <w:t xml:space="preserve">$$</w:t>
      </w:r>
      <w:r>
        <w:t xml:space="preserve"> </w:t>
      </w:r>
      <w:r>
        <w:t xml:space="preserve">M_t^{</w:t>
      </w:r>
      <w:r>
        <w:t xml:space="preserve">}</w:t>
      </w:r>
      <w:r>
        <w:t xml:space="preserve"> </w:t>
      </w:r>
      <w:r>
        <w:t xml:space="preserve">=</w:t>
      </w:r>
      <w:r>
        <w:t xml:space="preserve"> </w:t>
      </w:r>
      <w:r>
        <w:t xml:space="preserve">q_t</w:t>
      </w:r>
    </w:p>
    <w:p>
      <w:pPr>
        <w:pStyle w:val="Compact"/>
        <w:numPr>
          <w:ilvl w:val="0"/>
          <w:numId w:val="1097"/>
        </w:numPr>
      </w:pPr>
      <w:r>
        <w:t xml:space="preserve">$$</w:t>
      </w:r>
    </w:p>
    <w:p>
      <w:pPr>
        <w:pStyle w:val="FirstParagraph"/>
      </w:pPr>
      <w:r>
        <w:t xml:space="preserve">Only treat residual momentum as a trading factor if it predicts future executable returns out of sample.</w:t>
      </w:r>
    </w:p>
    <w:p>
      <w:r>
        <w:pict>
          <v:rect style="width:0;height:1.5pt" o:hralign="center" o:hrstd="t" o:hr="t"/>
        </w:pict>
      </w:r>
    </w:p>
    <w:bookmarkEnd w:id="96"/>
    <w:bookmarkStart w:id="97" w:name="model-combination"/>
    <w:p>
      <w:pPr>
        <w:pStyle w:val="Heading1"/>
      </w:pPr>
      <w:r>
        <w:t xml:space="preserve">21. Model Combination</w:t>
      </w:r>
    </w:p>
    <w:p>
      <w:pPr>
        <w:pStyle w:val="FirstParagraph"/>
      </w:pPr>
      <w:r>
        <w:t xml:space="preserve">Combine forecasts from multiple model families.</w:t>
      </w:r>
    </w:p>
    <w:p>
      <w:pPr>
        <w:pStyle w:val="BodyText"/>
      </w:pPr>
      <w:r>
        <w:t xml:space="preserve">Let model</w:t>
      </w:r>
      <w:r>
        <w:t xml:space="preserve"> </w:t>
      </w:r>
      <m:oMath>
        <m:r>
          <m:t>j</m:t>
        </m:r>
      </m:oMath>
      <w:r>
        <w:t xml:space="preserve"> </w:t>
      </w:r>
      <w:r>
        <w:t xml:space="preserve">produce probability</w:t>
      </w:r>
      <w:r>
        <w:t xml:space="preserve"> </w:t>
      </w:r>
      <m:oMath>
        <m:sSub>
          <m:e>
            <m:r>
              <m:t>p</m:t>
            </m:r>
          </m:e>
          <m:sub>
            <m:r>
              <m:t>j</m:t>
            </m:r>
            <m:r>
              <m:rPr>
                <m:sty m:val="p"/>
              </m:rPr>
              <m:t>,</m:t>
            </m:r>
            <m:r>
              <m:t>t</m:t>
            </m:r>
          </m:sub>
        </m:sSub>
      </m:oMath>
      <w:r>
        <w:t xml:space="preserve">.</w:t>
      </w:r>
    </w:p>
    <w:p>
      <w:pPr>
        <w:pStyle w:val="BodyText"/>
      </w:pPr>
      <w:r>
        <w:t xml:space="preserve">A linear opinion pool is:</w:t>
      </w:r>
    </w:p>
    <w:p>
      <w:pPr>
        <w:pStyle w:val="BodyText"/>
      </w:pPr>
      <m:oMathPara>
        <m:oMathParaPr>
          <m:jc m:val="center"/>
        </m:oMathParaPr>
        <m:oMath>
          <m:sSub>
            <m:e>
              <m:r>
                <m:t>p</m:t>
              </m:r>
            </m:e>
            <m:sub>
              <m:r>
                <m:t>t</m:t>
              </m:r>
            </m:sub>
          </m:sSub>
          <m:r>
            <m:rPr>
              <m:sty m:val="p"/>
            </m:rPr>
            <m:t>=</m:t>
          </m:r>
          <m:nary>
            <m:naryPr>
              <m:chr m:val="∑"/>
              <m:limLoc m:val="undOvr"/>
              <m:subHide m:val="off"/>
              <m:supHide m:val="off"/>
            </m:naryPr>
            <m:sub>
              <m:r>
                <m:t>j</m:t>
              </m:r>
              <m:r>
                <m:rPr>
                  <m:sty m:val="p"/>
                </m:rPr>
                <m:t>=</m:t>
              </m:r>
              <m:r>
                <m:t>1</m:t>
              </m:r>
            </m:sub>
            <m:sup>
              <m:r>
                <m:t>J</m:t>
              </m:r>
            </m:sup>
            <m:e>
              <m:sSub>
                <m:e>
                  <m:r>
                    <m:t>w</m:t>
                  </m:r>
                </m:e>
                <m:sub>
                  <m:r>
                    <m:t>j</m:t>
                  </m:r>
                  <m:r>
                    <m:rPr>
                      <m:sty m:val="p"/>
                    </m:rPr>
                    <m:t>,</m:t>
                  </m:r>
                  <m:r>
                    <m:t>t</m:t>
                  </m:r>
                </m:sub>
              </m:sSub>
            </m:e>
          </m:nary>
          <m:sSub>
            <m:e>
              <m:r>
                <m:t>p</m:t>
              </m:r>
            </m:e>
            <m:sub>
              <m:r>
                <m:t>j</m:t>
              </m:r>
              <m:r>
                <m:rPr>
                  <m:sty m:val="p"/>
                </m:rPr>
                <m:t>,</m:t>
              </m:r>
              <m:r>
                <m:t>t</m:t>
              </m:r>
            </m:sub>
          </m:sSub>
        </m:oMath>
      </m:oMathPara>
    </w:p>
    <w:p>
      <w:pPr>
        <w:pStyle w:val="FirstParagraph"/>
      </w:pPr>
      <w:r>
        <w:t xml:space="preserve">subject to:</w:t>
      </w:r>
    </w:p>
    <w:p>
      <w:pPr>
        <w:pStyle w:val="BodyText"/>
      </w:pPr>
      <m:oMathPara>
        <m:oMathParaPr>
          <m:jc m:val="center"/>
        </m:oMathParaPr>
        <m:oMath>
          <m:sSub>
            <m:e>
              <m:r>
                <m:t>w</m:t>
              </m:r>
            </m:e>
            <m:sub>
              <m:r>
                <m:t>j</m:t>
              </m:r>
              <m:r>
                <m:rPr>
                  <m:sty m:val="p"/>
                </m:rPr>
                <m:t>,</m:t>
              </m:r>
              <m:r>
                <m:t>t</m:t>
              </m:r>
            </m:sub>
          </m:sSub>
          <m:r>
            <m:rPr>
              <m:sty m:val="p"/>
            </m:rPr>
            <m:t>≥</m:t>
          </m:r>
          <m:r>
            <m:t>0</m:t>
          </m:r>
          <m:r>
            <m:rPr>
              <m:sty m:val="p"/>
            </m:rPr>
            <m:t>,</m:t>
          </m:r>
          <m:r>
            <m:t>  </m:t>
          </m:r>
          <m:nary>
            <m:naryPr>
              <m:chr m:val="∑"/>
              <m:limLoc m:val="undOvr"/>
              <m:subHide m:val="off"/>
              <m:supHide m:val="off"/>
            </m:naryPr>
            <m:sub>
              <m:r>
                <m:t>j</m:t>
              </m:r>
              <m:r>
                <m:rPr>
                  <m:sty m:val="p"/>
                </m:rPr>
                <m:t>=</m:t>
              </m:r>
              <m:r>
                <m:t>1</m:t>
              </m:r>
            </m:sub>
            <m:sup>
              <m:r>
                <m:t>J</m:t>
              </m:r>
            </m:sup>
            <m:e>
              <m:sSub>
                <m:e>
                  <m:r>
                    <m:t>w</m:t>
                  </m:r>
                </m:e>
                <m:sub>
                  <m:r>
                    <m:t>j</m:t>
                  </m:r>
                  <m:r>
                    <m:rPr>
                      <m:sty m:val="p"/>
                    </m:rPr>
                    <m:t>,</m:t>
                  </m:r>
                  <m:r>
                    <m:t>t</m:t>
                  </m:r>
                </m:sub>
              </m:sSub>
            </m:e>
          </m:nary>
          <m:r>
            <m:rPr>
              <m:sty m:val="p"/>
            </m:rPr>
            <m:t>=</m:t>
          </m:r>
          <m:r>
            <m:t>1</m:t>
          </m:r>
        </m:oMath>
      </m:oMathPara>
    </w:p>
    <w:p>
      <w:pPr>
        <w:pStyle w:val="FirstParagraph"/>
      </w:pPr>
      <w:r>
        <w:t xml:space="preserve">Possible components:</w:t>
      </w:r>
    </w:p>
    <w:p>
      <w:pPr>
        <w:pStyle w:val="Compact"/>
        <w:numPr>
          <w:ilvl w:val="0"/>
          <w:numId w:val="1098"/>
        </w:numPr>
      </w:pPr>
      <w:r>
        <w:t xml:space="preserve">Raw ensemble.</w:t>
      </w:r>
    </w:p>
    <w:p>
      <w:pPr>
        <w:pStyle w:val="Compact"/>
        <w:numPr>
          <w:ilvl w:val="0"/>
          <w:numId w:val="1098"/>
        </w:numPr>
      </w:pPr>
      <w:r>
        <w:t xml:space="preserve">EMOS-calibrated ensemble.</w:t>
      </w:r>
    </w:p>
    <w:p>
      <w:pPr>
        <w:pStyle w:val="Compact"/>
        <w:numPr>
          <w:ilvl w:val="0"/>
          <w:numId w:val="1098"/>
        </w:numPr>
      </w:pPr>
      <w:r>
        <w:t xml:space="preserve">Bayesian translation model.</w:t>
      </w:r>
    </w:p>
    <w:p>
      <w:pPr>
        <w:pStyle w:val="Compact"/>
        <w:numPr>
          <w:ilvl w:val="0"/>
          <w:numId w:val="1098"/>
        </w:numPr>
      </w:pPr>
      <w:r>
        <w:t xml:space="preserve">HMM regime model.</w:t>
      </w:r>
    </w:p>
    <w:p>
      <w:pPr>
        <w:pStyle w:val="Compact"/>
        <w:numPr>
          <w:ilvl w:val="0"/>
          <w:numId w:val="1098"/>
        </w:numPr>
      </w:pPr>
      <w:r>
        <w:t xml:space="preserve">Tail model.</w:t>
      </w:r>
    </w:p>
    <w:p>
      <w:pPr>
        <w:pStyle w:val="Compact"/>
        <w:numPr>
          <w:ilvl w:val="0"/>
          <w:numId w:val="1098"/>
        </w:numPr>
      </w:pPr>
      <w:r>
        <w:t xml:space="preserve">Alternative-dataset model.</w:t>
      </w:r>
    </w:p>
    <w:p>
      <w:pPr>
        <w:pStyle w:val="Compact"/>
        <w:numPr>
          <w:ilvl w:val="0"/>
          <w:numId w:val="1098"/>
        </w:numPr>
      </w:pPr>
      <w:r>
        <w:t xml:space="preserve">Market-implied prior.</w:t>
      </w:r>
    </w:p>
    <w:p>
      <w:pPr>
        <w:pStyle w:val="FirstParagraph"/>
      </w:pPr>
      <w:r>
        <w:t xml:space="preserve">Estimate weights through:</w:t>
      </w:r>
    </w:p>
    <w:p>
      <w:pPr>
        <w:pStyle w:val="Compact"/>
        <w:numPr>
          <w:ilvl w:val="0"/>
          <w:numId w:val="1099"/>
        </w:numPr>
      </w:pPr>
      <w:r>
        <w:t xml:space="preserve">Bayesian model averaging.</w:t>
      </w:r>
    </w:p>
    <w:p>
      <w:pPr>
        <w:pStyle w:val="Compact"/>
        <w:numPr>
          <w:ilvl w:val="0"/>
          <w:numId w:val="1099"/>
        </w:numPr>
      </w:pPr>
      <w:r>
        <w:t xml:space="preserve">Stacking.</w:t>
      </w:r>
    </w:p>
    <w:p>
      <w:pPr>
        <w:pStyle w:val="Compact"/>
        <w:numPr>
          <w:ilvl w:val="0"/>
          <w:numId w:val="1099"/>
        </w:numPr>
      </w:pPr>
      <w:r>
        <w:t xml:space="preserve">Exponentially weighted performance.</w:t>
      </w:r>
    </w:p>
    <w:p>
      <w:pPr>
        <w:pStyle w:val="Compact"/>
        <w:numPr>
          <w:ilvl w:val="0"/>
          <w:numId w:val="1099"/>
        </w:numPr>
      </w:pPr>
      <w:r>
        <w:t xml:space="preserve">Regime-conditioned weights.</w:t>
      </w:r>
    </w:p>
    <w:p>
      <w:pPr>
        <w:pStyle w:val="Compact"/>
        <w:numPr>
          <w:ilvl w:val="0"/>
          <w:numId w:val="1099"/>
        </w:numPr>
      </w:pPr>
      <w:r>
        <w:t xml:space="preserve">Log-score optimization.</w:t>
      </w:r>
    </w:p>
    <w:p>
      <w:pPr>
        <w:pStyle w:val="FirstParagraph"/>
      </w:pPr>
      <w:r>
        <w:t xml:space="preserve">Avoid double-counting common information.</w:t>
      </w:r>
    </w:p>
    <w:p>
      <w:pPr>
        <w:pStyle w:val="BodyText"/>
      </w:pPr>
      <w:r>
        <w:t xml:space="preserve">Estimate forecast-error correlations between models and penalize highly redundant components.</w:t>
      </w:r>
    </w:p>
    <w:p>
      <w:r>
        <w:pict>
          <v:rect style="width:0;height:1.5pt" o:hralign="center" o:hrstd="t" o:hr="t"/>
        </w:pict>
      </w:r>
    </w:p>
    <w:bookmarkEnd w:id="97"/>
    <w:bookmarkStart w:id="98" w:name="market-price-as-an-informative-prior"/>
    <w:p>
      <w:pPr>
        <w:pStyle w:val="Heading1"/>
      </w:pPr>
      <w:r>
        <w:t xml:space="preserve">22. Market Price as an Informative Prior</w:t>
      </w:r>
    </w:p>
    <w:p>
      <w:pPr>
        <w:pStyle w:val="FirstParagraph"/>
      </w:pPr>
      <w:r>
        <w:t xml:space="preserve">Do not assume either that the market is fully efficient or that it contains no useful information.</w:t>
      </w:r>
    </w:p>
    <w:p>
      <w:pPr>
        <w:pStyle w:val="BodyText"/>
      </w:pPr>
      <w:r>
        <w:t xml:space="preserve">Construct a market-informed prior:</w:t>
      </w:r>
    </w:p>
    <w:p>
      <w:pPr>
        <w:pStyle w:val="BodyText"/>
      </w:pPr>
      <w:r>
        <w:t xml:space="preserve">$$</w:t>
      </w:r>
      <w:r>
        <w:t xml:space="preserve"> </w:t>
      </w:r>
      <w:r>
        <w:t xml:space="preserve">(p_t)</w:t>
      </w:r>
      <w:r>
        <w:t xml:space="preserve"> </w:t>
      </w:r>
      <w:r>
        <w:t xml:space="preserve">=</w:t>
      </w:r>
      <w:r>
        <w:t xml:space="preserve"> </w:t>
      </w:r>
      <w:r>
        <w:t xml:space="preserve">_t</w:t>
      </w:r>
      <w:r>
        <w:t xml:space="preserve"> </w:t>
      </w:r>
      <w:r>
        <w:t xml:space="preserve">(p_t^{</w:t>
      </w:r>
      <w:r>
        <w:t xml:space="preserve">})</w:t>
      </w:r>
    </w:p>
    <w:p>
      <w:pPr>
        <w:numPr>
          <w:ilvl w:val="0"/>
          <w:numId w:val="1100"/>
        </w:numPr>
      </w:pPr>
      <w:r>
        <w:t xml:space="preserve">(1-</w:t>
      </w:r>
      <w:r>
        <w:t xml:space="preserve">_t)</w:t>
      </w:r>
      <w:r>
        <w:t xml:space="preserve"> </w:t>
      </w:r>
      <w:r>
        <w:t xml:space="preserve">(p_t^{</w:t>
      </w:r>
      <w:r>
        <w:t xml:space="preserve">})</w:t>
      </w:r>
    </w:p>
    <w:p>
      <w:pPr>
        <w:numPr>
          <w:ilvl w:val="0"/>
          <w:numId w:val="1100"/>
        </w:numPr>
      </w:pPr>
      <w:r>
        <w:t xml:space="preserve">_t</w:t>
      </w:r>
      <w:r>
        <w:t xml:space="preserve"> </w:t>
      </w:r>
      <w:r>
        <w:t xml:space="preserve">$$</w:t>
      </w:r>
    </w:p>
    <w:p>
      <w:pPr>
        <w:pStyle w:val="FirstParagraph"/>
      </w:pPr>
      <w:r>
        <w:t xml:space="preserve">Determine</w:t>
      </w:r>
      <w:r>
        <w:t xml:space="preserve"> </w:t>
      </w:r>
      <m:oMath>
        <m:sSub>
          <m:e>
            <m:r>
              <m:t>ω</m:t>
            </m:r>
          </m:e>
          <m:sub>
            <m:r>
              <m:t>t</m:t>
            </m:r>
          </m:sub>
        </m:sSub>
      </m:oMath>
      <w:r>
        <w:t xml:space="preserve"> </w:t>
      </w:r>
      <w:r>
        <w:t xml:space="preserve">from historical relative calibration.</w:t>
      </w:r>
    </w:p>
    <w:p>
      <w:pPr>
        <w:pStyle w:val="BodyText"/>
      </w:pPr>
      <w:r>
        <w:t xml:space="preserve">Investigate whether the market anticipates information absent from the meteorological pipeline, including:</w:t>
      </w:r>
    </w:p>
    <w:p>
      <w:pPr>
        <w:pStyle w:val="Compact"/>
        <w:numPr>
          <w:ilvl w:val="0"/>
          <w:numId w:val="1101"/>
        </w:numPr>
      </w:pPr>
      <w:r>
        <w:t xml:space="preserve">Faster data access.</w:t>
      </w:r>
    </w:p>
    <w:p>
      <w:pPr>
        <w:pStyle w:val="Compact"/>
        <w:numPr>
          <w:ilvl w:val="0"/>
          <w:numId w:val="1101"/>
        </w:numPr>
      </w:pPr>
      <w:r>
        <w:t xml:space="preserve">Alternative forecasts.</w:t>
      </w:r>
    </w:p>
    <w:p>
      <w:pPr>
        <w:pStyle w:val="Compact"/>
        <w:numPr>
          <w:ilvl w:val="0"/>
          <w:numId w:val="1101"/>
        </w:numPr>
      </w:pPr>
      <w:r>
        <w:t xml:space="preserve">Better settlement-rule interpretation.</w:t>
      </w:r>
    </w:p>
    <w:p>
      <w:pPr>
        <w:pStyle w:val="Compact"/>
        <w:numPr>
          <w:ilvl w:val="0"/>
          <w:numId w:val="1101"/>
        </w:numPr>
      </w:pPr>
      <w:r>
        <w:t xml:space="preserve">Informed participants.</w:t>
      </w:r>
    </w:p>
    <w:p>
      <w:pPr>
        <w:pStyle w:val="Compact"/>
        <w:numPr>
          <w:ilvl w:val="0"/>
          <w:numId w:val="1101"/>
        </w:numPr>
      </w:pPr>
      <w:r>
        <w:t xml:space="preserve">Dataset-release knowledge.</w:t>
      </w:r>
    </w:p>
    <w:p>
      <w:pPr>
        <w:pStyle w:val="FirstParagraph"/>
      </w:pPr>
      <w:r>
        <w:t xml:space="preserve">Use disagreement between market and model as a research target, not automatic proof that the market is wrong.</w:t>
      </w:r>
    </w:p>
    <w:p>
      <w:r>
        <w:pict>
          <v:rect style="width:0;height:1.5pt" o:hralign="center" o:hrstd="t" o:hr="t"/>
        </w:pict>
      </w:r>
    </w:p>
    <w:bookmarkEnd w:id="98"/>
    <w:bookmarkStart w:id="99" w:name="uncertainty-decomposition"/>
    <w:p>
      <w:pPr>
        <w:pStyle w:val="Heading1"/>
      </w:pPr>
      <w:r>
        <w:t xml:space="preserve">23. Uncertainty Decomposition</w:t>
      </w:r>
    </w:p>
    <w:p>
      <w:pPr>
        <w:pStyle w:val="FirstParagraph"/>
      </w:pPr>
      <w:r>
        <w:t xml:space="preserve">For every forecast, decompose uncertainty into:</w:t>
      </w:r>
    </w:p>
    <w:p>
      <w:pPr>
        <w:pStyle w:val="BodyText"/>
      </w:pPr>
      <w:r>
        <w:t xml:space="preserve">$$</w:t>
      </w:r>
      <w:r>
        <w:t xml:space="preserve"> </w:t>
      </w:r>
      <w:r>
        <w:rPr>
          <w:i/>
          <w:iCs/>
        </w:rPr>
        <w:t xml:space="preserve">{</w:t>
      </w:r>
      <w:r>
        <w:rPr>
          <w:i/>
          <w:iCs/>
        </w:rPr>
        <w:t xml:space="preserve">}^2</w:t>
      </w:r>
      <w:r>
        <w:rPr>
          <w:i/>
          <w:iCs/>
        </w:rPr>
        <w:t xml:space="preserve"> </w:t>
      </w:r>
      <w:r>
        <w:rPr>
          <w:i/>
          <w:iCs/>
        </w:rPr>
        <w:t xml:space="preserve">=</w:t>
      </w:r>
      <w:r>
        <w:rPr>
          <w:i/>
          <w:iCs/>
        </w:rPr>
        <w:t xml:space="preserve"> </w:t>
      </w:r>
      <w:r>
        <w:t xml:space="preserve">{</w:t>
      </w:r>
      <w:r>
        <w:t xml:space="preserve">}^2</w:t>
      </w:r>
    </w:p>
    <w:p>
      <w:pPr>
        <w:numPr>
          <w:ilvl w:val="0"/>
          <w:numId w:val="1102"/>
        </w:numPr>
      </w:pPr>
      <w:r>
        <w:t xml:space="preserve">_{</w:t>
      </w:r>
      <w:r>
        <w:t xml:space="preserve">}^2</w:t>
      </w:r>
    </w:p>
    <w:p>
      <w:pPr>
        <w:numPr>
          <w:ilvl w:val="0"/>
          <w:numId w:val="1102"/>
        </w:numPr>
      </w:pPr>
      <w:r>
        <w:t xml:space="preserve">_{</w:t>
      </w:r>
      <w:r>
        <w:t xml:space="preserve">}^2</w:t>
      </w:r>
    </w:p>
    <w:p>
      <w:pPr>
        <w:numPr>
          <w:ilvl w:val="0"/>
          <w:numId w:val="1102"/>
        </w:numPr>
      </w:pPr>
      <w:r>
        <w:t xml:space="preserve">_{</w:t>
      </w:r>
      <w:r>
        <w:t xml:space="preserve">}^2</w:t>
      </w:r>
    </w:p>
    <w:p>
      <w:pPr>
        <w:numPr>
          <w:ilvl w:val="0"/>
          <w:numId w:val="1102"/>
        </w:numPr>
      </w:pPr>
      <w:r>
        <w:t xml:space="preserve">_{</w:t>
      </w:r>
      <w:r>
        <w:t xml:space="preserve">}^2</w:t>
      </w:r>
    </w:p>
    <w:p>
      <w:pPr>
        <w:numPr>
          <w:ilvl w:val="0"/>
          <w:numId w:val="1102"/>
        </w:numPr>
      </w:pPr>
      <w:r>
        <w:t xml:space="preserve">_{</w:t>
      </w:r>
      <w:r>
        <w:t xml:space="preserve">}^2</w:t>
      </w:r>
    </w:p>
    <w:p>
      <w:pPr>
        <w:numPr>
          <w:ilvl w:val="0"/>
          <w:numId w:val="1102"/>
        </w:numPr>
      </w:pPr>
      <w:r>
        <w:t xml:space="preserve">_{</w:t>
      </w:r>
      <w:r>
        <w:t xml:space="preserve">}^2</w:t>
      </w:r>
    </w:p>
    <w:p>
      <w:pPr>
        <w:numPr>
          <w:ilvl w:val="0"/>
          <w:numId w:val="1102"/>
        </w:numPr>
      </w:pPr>
      <w:r>
        <w:t xml:space="preserve">2</w:t>
      </w:r>
      <w:r>
        <w:rPr>
          <w:i/>
          <w:iCs/>
        </w:rPr>
        <w:t xml:space="preserve">{i&lt;j}</w:t>
      </w:r>
      <w:r>
        <w:t xml:space="preserve">{ij}</w:t>
      </w:r>
      <w:r>
        <w:t xml:space="preserve"> </w:t>
      </w:r>
      <w:r>
        <w:t xml:space="preserve">$$</w:t>
      </w:r>
    </w:p>
    <w:p>
      <w:pPr>
        <w:pStyle w:val="FirstParagraph"/>
      </w:pPr>
      <w:r>
        <w:t xml:space="preserve">Report the proportion attributable to each component.</w:t>
      </w:r>
    </w:p>
    <w:p>
      <w:pPr>
        <w:pStyle w:val="BodyText"/>
      </w:pPr>
      <w:r>
        <w:t xml:space="preserve">Identify which new data source would produce the greatest expected reduction in decision uncertainty.</w:t>
      </w:r>
    </w:p>
    <w:p>
      <w:pPr>
        <w:pStyle w:val="BodyText"/>
      </w:pPr>
      <w:r>
        <w:t xml:space="preserve">Calculate the value of information when possible:</w:t>
      </w:r>
    </w:p>
    <w:p>
      <w:pPr>
        <w:pStyle w:val="BodyText"/>
      </w:pPr>
      <w:r>
        <w:t xml:space="preserve">$$</w:t>
      </w:r>
      <w:r>
        <w:t xml:space="preserve"> </w:t>
      </w:r>
      <w:r>
        <w:t xml:space="preserve">VOI(X)</w:t>
      </w:r>
      <w:r>
        <w:t xml:space="preserve"> </w:t>
      </w:r>
      <w:r>
        <w:t xml:space="preserve">=</w:t>
      </w:r>
      <w:r>
        <w:t xml:space="preserve"> </w:t>
      </w:r>
      <w:r>
        <w:t xml:space="preserve"> </w:t>
      </w:r>
      <w:r>
        <w:t xml:space="preserve">]</w:t>
      </w:r>
    </w:p>
    <w:p>
      <w:pPr>
        <w:pStyle w:val="Compact"/>
        <w:numPr>
          <w:ilvl w:val="0"/>
          <w:numId w:val="1103"/>
        </w:numPr>
      </w:pPr>
      <w:r>
        <w:t xml:space="preserve">_a</w:t>
      </w:r>
      <w:r>
        <w:t xml:space="preserve"> </w:t>
      </w:r>
      <w:r>
        <w:t xml:space="preserve">[U(a)]</w:t>
      </w:r>
      <w:r>
        <w:t xml:space="preserve"> </w:t>
      </w:r>
      <w:r>
        <w:t xml:space="preserve">$$</w:t>
      </w:r>
    </w:p>
    <w:p>
      <w:pPr>
        <w:pStyle w:val="FirstParagraph"/>
      </w:pPr>
      <w:r>
        <w:t xml:space="preserve">Use this to prioritize engineering and data-acquisition work.</w:t>
      </w:r>
    </w:p>
    <w:p>
      <w:r>
        <w:pict>
          <v:rect style="width:0;height:1.5pt" o:hralign="center" o:hrstd="t" o:hr="t"/>
        </w:pict>
      </w:r>
    </w:p>
    <w:bookmarkEnd w:id="99"/>
    <w:bookmarkStart w:id="100" w:name="Xf87ca1d282998eb6ba61dd255a6ea628853f19b"/>
    <w:p>
      <w:pPr>
        <w:pStyle w:val="Heading1"/>
      </w:pPr>
      <w:r>
        <w:t xml:space="preserve">24. Sensitivity, Stress Testing, and Model Risk</w:t>
      </w:r>
    </w:p>
    <w:p>
      <w:pPr>
        <w:pStyle w:val="FirstParagraph"/>
      </w:pPr>
      <w:r>
        <w:t xml:space="preserve">Stress-test the strategy under:</w:t>
      </w:r>
    </w:p>
    <w:p>
      <w:pPr>
        <w:pStyle w:val="Compact"/>
        <w:numPr>
          <w:ilvl w:val="0"/>
          <w:numId w:val="1104"/>
        </w:numPr>
      </w:pPr>
      <w:r>
        <w:t xml:space="preserve">Forecast bias twice its historical average.</w:t>
      </w:r>
    </w:p>
    <w:p>
      <w:pPr>
        <w:pStyle w:val="Compact"/>
        <w:numPr>
          <w:ilvl w:val="0"/>
          <w:numId w:val="1104"/>
        </w:numPr>
      </w:pPr>
      <w:r>
        <w:t xml:space="preserve">Ensemble underdispersion.</w:t>
      </w:r>
    </w:p>
    <w:p>
      <w:pPr>
        <w:pStyle w:val="Compact"/>
        <w:numPr>
          <w:ilvl w:val="0"/>
          <w:numId w:val="1104"/>
        </w:numPr>
      </w:pPr>
      <w:r>
        <w:t xml:space="preserve">Translation-slope break.</w:t>
      </w:r>
    </w:p>
    <w:p>
      <w:pPr>
        <w:pStyle w:val="Compact"/>
        <w:numPr>
          <w:ilvl w:val="0"/>
          <w:numId w:val="1104"/>
        </w:numPr>
      </w:pPr>
      <w:r>
        <w:t xml:space="preserve">NOAA methodology revision.</w:t>
      </w:r>
    </w:p>
    <w:p>
      <w:pPr>
        <w:pStyle w:val="Compact"/>
        <w:numPr>
          <w:ilvl w:val="0"/>
          <w:numId w:val="1104"/>
        </w:numPr>
      </w:pPr>
      <w:r>
        <w:t xml:space="preserve">Extreme right-tail weather.</w:t>
      </w:r>
    </w:p>
    <w:p>
      <w:pPr>
        <w:pStyle w:val="Compact"/>
        <w:numPr>
          <w:ilvl w:val="0"/>
          <w:numId w:val="1104"/>
        </w:numPr>
      </w:pPr>
      <w:r>
        <w:t xml:space="preserve">Forecast-cycle reversal.</w:t>
      </w:r>
    </w:p>
    <w:p>
      <w:pPr>
        <w:pStyle w:val="Compact"/>
        <w:numPr>
          <w:ilvl w:val="0"/>
          <w:numId w:val="1104"/>
        </w:numPr>
      </w:pPr>
      <w:r>
        <w:t xml:space="preserve">API outage.</w:t>
      </w:r>
    </w:p>
    <w:p>
      <w:pPr>
        <w:pStyle w:val="Compact"/>
        <w:numPr>
          <w:ilvl w:val="0"/>
          <w:numId w:val="1104"/>
        </w:numPr>
      </w:pPr>
      <w:r>
        <w:t xml:space="preserve">Delayed settlement publication.</w:t>
      </w:r>
    </w:p>
    <w:p>
      <w:pPr>
        <w:pStyle w:val="Compact"/>
        <w:numPr>
          <w:ilvl w:val="0"/>
          <w:numId w:val="1104"/>
        </w:numPr>
      </w:pPr>
      <w:r>
        <w:t xml:space="preserve">Large market gap.</w:t>
      </w:r>
    </w:p>
    <w:p>
      <w:pPr>
        <w:pStyle w:val="Compact"/>
        <w:numPr>
          <w:ilvl w:val="0"/>
          <w:numId w:val="1104"/>
        </w:numPr>
      </w:pPr>
      <w:r>
        <w:t xml:space="preserve">Vanishing liquidity.</w:t>
      </w:r>
    </w:p>
    <w:p>
      <w:pPr>
        <w:pStyle w:val="Compact"/>
        <w:numPr>
          <w:ilvl w:val="0"/>
          <w:numId w:val="1104"/>
        </w:numPr>
      </w:pPr>
      <w:r>
        <w:t xml:space="preserve">Fee increase.</w:t>
      </w:r>
    </w:p>
    <w:p>
      <w:pPr>
        <w:pStyle w:val="Compact"/>
        <w:numPr>
          <w:ilvl w:val="0"/>
          <w:numId w:val="1104"/>
        </w:numPr>
      </w:pPr>
      <w:r>
        <w:t xml:space="preserve">Position-limit reduction.</w:t>
      </w:r>
    </w:p>
    <w:p>
      <w:pPr>
        <w:pStyle w:val="Compact"/>
        <w:numPr>
          <w:ilvl w:val="0"/>
          <w:numId w:val="1104"/>
        </w:numPr>
      </w:pPr>
      <w:r>
        <w:t xml:space="preserve">Adverse revision to preliminary data.</w:t>
      </w:r>
    </w:p>
    <w:p>
      <w:pPr>
        <w:pStyle w:val="Compact"/>
        <w:numPr>
          <w:ilvl w:val="0"/>
          <w:numId w:val="1104"/>
        </w:numPr>
      </w:pPr>
      <w:r>
        <w:t xml:space="preserve">Incorrect rounding interpretation.</w:t>
      </w:r>
    </w:p>
    <w:p>
      <w:pPr>
        <w:pStyle w:val="Compact"/>
        <w:numPr>
          <w:ilvl w:val="0"/>
          <w:numId w:val="1104"/>
        </w:numPr>
      </w:pPr>
      <w:r>
        <w:t xml:space="preserve">Alternative baseline conversion.</w:t>
      </w:r>
    </w:p>
    <w:p>
      <w:pPr>
        <w:pStyle w:val="Compact"/>
        <w:numPr>
          <w:ilvl w:val="0"/>
          <w:numId w:val="1104"/>
        </w:numPr>
      </w:pPr>
      <w:r>
        <w:t xml:space="preserve">Correlated failure of multiple climate models.</w:t>
      </w:r>
    </w:p>
    <w:p>
      <w:pPr>
        <w:pStyle w:val="FirstParagraph"/>
      </w:pPr>
      <w:r>
        <w:t xml:space="preserve">For each scenario, report:</w:t>
      </w:r>
    </w:p>
    <w:p>
      <w:pPr>
        <w:pStyle w:val="Compact"/>
        <w:numPr>
          <w:ilvl w:val="0"/>
          <w:numId w:val="1105"/>
        </w:numPr>
      </w:pPr>
      <w:r>
        <w:t xml:space="preserve">Probability impact.</w:t>
      </w:r>
    </w:p>
    <w:p>
      <w:pPr>
        <w:pStyle w:val="Compact"/>
        <w:numPr>
          <w:ilvl w:val="0"/>
          <w:numId w:val="1105"/>
        </w:numPr>
      </w:pPr>
      <w:r>
        <w:t xml:space="preserve">Position impact.</w:t>
      </w:r>
    </w:p>
    <w:p>
      <w:pPr>
        <w:pStyle w:val="Compact"/>
        <w:numPr>
          <w:ilvl w:val="0"/>
          <w:numId w:val="1105"/>
        </w:numPr>
      </w:pPr>
      <w:r>
        <w:t xml:space="preserve">P&amp;L impact.</w:t>
      </w:r>
    </w:p>
    <w:p>
      <w:pPr>
        <w:pStyle w:val="Compact"/>
        <w:numPr>
          <w:ilvl w:val="0"/>
          <w:numId w:val="1105"/>
        </w:numPr>
      </w:pPr>
      <w:r>
        <w:t xml:space="preserve">Maximum loss.</w:t>
      </w:r>
    </w:p>
    <w:p>
      <w:pPr>
        <w:pStyle w:val="Compact"/>
        <w:numPr>
          <w:ilvl w:val="0"/>
          <w:numId w:val="1105"/>
        </w:numPr>
      </w:pPr>
      <w:r>
        <w:t xml:space="preserve">Required mitigation.</w:t>
      </w:r>
    </w:p>
    <w:p>
      <w:pPr>
        <w:pStyle w:val="Compact"/>
        <w:numPr>
          <w:ilvl w:val="0"/>
          <w:numId w:val="1105"/>
        </w:numPr>
      </w:pPr>
      <w:r>
        <w:t xml:space="preserve">Whether the strategy would halt automatically.</w:t>
      </w:r>
    </w:p>
    <w:p>
      <w:pPr>
        <w:pStyle w:val="FirstParagraph"/>
      </w:pPr>
      <w:r>
        <w:t xml:space="preserve">Maintain a model-risk register covering:</w:t>
      </w:r>
    </w:p>
    <w:p>
      <w:pPr>
        <w:pStyle w:val="Compact"/>
        <w:numPr>
          <w:ilvl w:val="0"/>
          <w:numId w:val="1106"/>
        </w:numPr>
      </w:pPr>
      <w:r>
        <w:t xml:space="preserve">Data risk.</w:t>
      </w:r>
    </w:p>
    <w:p>
      <w:pPr>
        <w:pStyle w:val="Compact"/>
        <w:numPr>
          <w:ilvl w:val="0"/>
          <w:numId w:val="1106"/>
        </w:numPr>
      </w:pPr>
      <w:r>
        <w:t xml:space="preserve">Oracle risk.</w:t>
      </w:r>
    </w:p>
    <w:p>
      <w:pPr>
        <w:pStyle w:val="Compact"/>
        <w:numPr>
          <w:ilvl w:val="0"/>
          <w:numId w:val="1106"/>
        </w:numPr>
      </w:pPr>
      <w:r>
        <w:t xml:space="preserve">Translation risk.</w:t>
      </w:r>
    </w:p>
    <w:p>
      <w:pPr>
        <w:pStyle w:val="Compact"/>
        <w:numPr>
          <w:ilvl w:val="0"/>
          <w:numId w:val="1106"/>
        </w:numPr>
      </w:pPr>
      <w:r>
        <w:t xml:space="preserve">Forecast risk.</w:t>
      </w:r>
    </w:p>
    <w:p>
      <w:pPr>
        <w:pStyle w:val="Compact"/>
        <w:numPr>
          <w:ilvl w:val="0"/>
          <w:numId w:val="1106"/>
        </w:numPr>
      </w:pPr>
      <w:r>
        <w:t xml:space="preserve">Parameter risk.</w:t>
      </w:r>
    </w:p>
    <w:p>
      <w:pPr>
        <w:pStyle w:val="Compact"/>
        <w:numPr>
          <w:ilvl w:val="0"/>
          <w:numId w:val="1106"/>
        </w:numPr>
      </w:pPr>
      <w:r>
        <w:t xml:space="preserve">Overfitting.</w:t>
      </w:r>
    </w:p>
    <w:p>
      <w:pPr>
        <w:pStyle w:val="Compact"/>
        <w:numPr>
          <w:ilvl w:val="0"/>
          <w:numId w:val="1106"/>
        </w:numPr>
      </w:pPr>
      <w:r>
        <w:t xml:space="preserve">Regime risk.</w:t>
      </w:r>
    </w:p>
    <w:p>
      <w:pPr>
        <w:pStyle w:val="Compact"/>
        <w:numPr>
          <w:ilvl w:val="0"/>
          <w:numId w:val="1106"/>
        </w:numPr>
      </w:pPr>
      <w:r>
        <w:t xml:space="preserve">Execution risk.</w:t>
      </w:r>
    </w:p>
    <w:p>
      <w:pPr>
        <w:pStyle w:val="Compact"/>
        <w:numPr>
          <w:ilvl w:val="0"/>
          <w:numId w:val="1106"/>
        </w:numPr>
      </w:pPr>
      <w:r>
        <w:t xml:space="preserve">Liquidity risk.</w:t>
      </w:r>
    </w:p>
    <w:p>
      <w:pPr>
        <w:pStyle w:val="Compact"/>
        <w:numPr>
          <w:ilvl w:val="0"/>
          <w:numId w:val="1106"/>
        </w:numPr>
      </w:pPr>
      <w:r>
        <w:t xml:space="preserve">Legal and operational risk.</w:t>
      </w:r>
    </w:p>
    <w:p>
      <w:pPr>
        <w:pStyle w:val="Compact"/>
        <w:numPr>
          <w:ilvl w:val="0"/>
          <w:numId w:val="1106"/>
        </w:numPr>
      </w:pPr>
      <w:r>
        <w:t xml:space="preserve">Settlement ambiguity.</w:t>
      </w:r>
    </w:p>
    <w:p>
      <w:r>
        <w:pict>
          <v:rect style="width:0;height:1.5pt" o:hralign="center" o:hrstd="t" o:hr="t"/>
        </w:pict>
      </w:r>
    </w:p>
    <w:bookmarkEnd w:id="100"/>
    <w:bookmarkStart w:id="105" w:name="monitoring-and-production-controls"/>
    <w:p>
      <w:pPr>
        <w:pStyle w:val="Heading1"/>
      </w:pPr>
      <w:r>
        <w:t xml:space="preserve">25. Monitoring and Production Controls</w:t>
      </w:r>
    </w:p>
    <w:p>
      <w:pPr>
        <w:pStyle w:val="FirstParagraph"/>
      </w:pPr>
      <w:r>
        <w:t xml:space="preserve">Specify real-time dashboards for:</w:t>
      </w:r>
    </w:p>
    <w:bookmarkStart w:id="101" w:name="data-health"/>
    <w:p>
      <w:pPr>
        <w:pStyle w:val="Heading2"/>
      </w:pPr>
      <w:r>
        <w:t xml:space="preserve">Data Health</w:t>
      </w:r>
    </w:p>
    <w:p>
      <w:pPr>
        <w:pStyle w:val="Compact"/>
        <w:numPr>
          <w:ilvl w:val="0"/>
          <w:numId w:val="1107"/>
        </w:numPr>
      </w:pPr>
      <w:r>
        <w:t xml:space="preserve">Last successful ingestion.</w:t>
      </w:r>
    </w:p>
    <w:p>
      <w:pPr>
        <w:pStyle w:val="Compact"/>
        <w:numPr>
          <w:ilvl w:val="0"/>
          <w:numId w:val="1107"/>
        </w:numPr>
      </w:pPr>
      <w:r>
        <w:t xml:space="preserve">Dataset vintage.</w:t>
      </w:r>
    </w:p>
    <w:p>
      <w:pPr>
        <w:pStyle w:val="Compact"/>
        <w:numPr>
          <w:ilvl w:val="0"/>
          <w:numId w:val="1107"/>
        </w:numPr>
      </w:pPr>
      <w:r>
        <w:t xml:space="preserve">Checksum.</w:t>
      </w:r>
    </w:p>
    <w:p>
      <w:pPr>
        <w:pStyle w:val="Compact"/>
        <w:numPr>
          <w:ilvl w:val="0"/>
          <w:numId w:val="1107"/>
        </w:numPr>
      </w:pPr>
      <w:r>
        <w:t xml:space="preserve">Missing fields.</w:t>
      </w:r>
    </w:p>
    <w:p>
      <w:pPr>
        <w:pStyle w:val="Compact"/>
        <w:numPr>
          <w:ilvl w:val="0"/>
          <w:numId w:val="1107"/>
        </w:numPr>
      </w:pPr>
      <w:r>
        <w:t xml:space="preserve">Delayed forecast cycles.</w:t>
      </w:r>
    </w:p>
    <w:p>
      <w:pPr>
        <w:pStyle w:val="Compact"/>
        <w:numPr>
          <w:ilvl w:val="0"/>
          <w:numId w:val="1107"/>
        </w:numPr>
      </w:pPr>
      <w:r>
        <w:t xml:space="preserve">Baseline consistency.</w:t>
      </w:r>
    </w:p>
    <w:p>
      <w:pPr>
        <w:pStyle w:val="Compact"/>
        <w:numPr>
          <w:ilvl w:val="0"/>
          <w:numId w:val="1107"/>
        </w:numPr>
      </w:pPr>
      <w:r>
        <w:t xml:space="preserve">Revision alerts.</w:t>
      </w:r>
    </w:p>
    <w:bookmarkEnd w:id="101"/>
    <w:bookmarkStart w:id="102" w:name="model-health"/>
    <w:p>
      <w:pPr>
        <w:pStyle w:val="Heading2"/>
      </w:pPr>
      <w:r>
        <w:t xml:space="preserve">Model Health</w:t>
      </w:r>
    </w:p>
    <w:p>
      <w:pPr>
        <w:pStyle w:val="Compact"/>
        <w:numPr>
          <w:ilvl w:val="0"/>
          <w:numId w:val="1108"/>
        </w:numPr>
      </w:pPr>
      <w:r>
        <w:t xml:space="preserve">Posterior probability.</w:t>
      </w:r>
    </w:p>
    <w:p>
      <w:pPr>
        <w:pStyle w:val="Compact"/>
        <w:numPr>
          <w:ilvl w:val="0"/>
          <w:numId w:val="1108"/>
        </w:numPr>
      </w:pPr>
      <w:r>
        <w:t xml:space="preserve">Credible interval.</w:t>
      </w:r>
    </w:p>
    <w:p>
      <w:pPr>
        <w:pStyle w:val="Compact"/>
        <w:numPr>
          <w:ilvl w:val="0"/>
          <w:numId w:val="1108"/>
        </w:numPr>
      </w:pPr>
      <w:r>
        <w:t xml:space="preserve">Model disagreement.</w:t>
      </w:r>
    </w:p>
    <w:p>
      <w:pPr>
        <w:pStyle w:val="Compact"/>
        <w:numPr>
          <w:ilvl w:val="0"/>
          <w:numId w:val="1108"/>
        </w:numPr>
      </w:pPr>
      <w:r>
        <w:t xml:space="preserve">Parameter drift.</w:t>
      </w:r>
    </w:p>
    <w:p>
      <w:pPr>
        <w:pStyle w:val="Compact"/>
        <w:numPr>
          <w:ilvl w:val="0"/>
          <w:numId w:val="1108"/>
        </w:numPr>
      </w:pPr>
      <w:r>
        <w:t xml:space="preserve">Translation residual.</w:t>
      </w:r>
    </w:p>
    <w:p>
      <w:pPr>
        <w:pStyle w:val="Compact"/>
        <w:numPr>
          <w:ilvl w:val="0"/>
          <w:numId w:val="1108"/>
        </w:numPr>
      </w:pPr>
      <w:r>
        <w:t xml:space="preserve">Ensemble calibration.</w:t>
      </w:r>
    </w:p>
    <w:p>
      <w:pPr>
        <w:pStyle w:val="Compact"/>
        <w:numPr>
          <w:ilvl w:val="0"/>
          <w:numId w:val="1108"/>
        </w:numPr>
      </w:pPr>
      <w:r>
        <w:t xml:space="preserve">Forecast-cycle changes.</w:t>
      </w:r>
    </w:p>
    <w:p>
      <w:pPr>
        <w:pStyle w:val="Compact"/>
        <w:numPr>
          <w:ilvl w:val="0"/>
          <w:numId w:val="1108"/>
        </w:numPr>
      </w:pPr>
      <w:r>
        <w:t xml:space="preserve">Regime probability.</w:t>
      </w:r>
    </w:p>
    <w:p>
      <w:pPr>
        <w:pStyle w:val="Compact"/>
        <w:numPr>
          <w:ilvl w:val="0"/>
          <w:numId w:val="1108"/>
        </w:numPr>
      </w:pPr>
      <w:r>
        <w:t xml:space="preserve">Tail probability.</w:t>
      </w:r>
    </w:p>
    <w:p>
      <w:pPr>
        <w:pStyle w:val="Compact"/>
        <w:numPr>
          <w:ilvl w:val="0"/>
          <w:numId w:val="1108"/>
        </w:numPr>
      </w:pPr>
      <w:r>
        <w:t xml:space="preserve">Uncertainty decomposition.</w:t>
      </w:r>
    </w:p>
    <w:bookmarkEnd w:id="102"/>
    <w:bookmarkStart w:id="103" w:name="market-health"/>
    <w:p>
      <w:pPr>
        <w:pStyle w:val="Heading2"/>
      </w:pPr>
      <w:r>
        <w:t xml:space="preserve">Market Health</w:t>
      </w:r>
    </w:p>
    <w:p>
      <w:pPr>
        <w:pStyle w:val="Compact"/>
        <w:numPr>
          <w:ilvl w:val="0"/>
          <w:numId w:val="1109"/>
        </w:numPr>
      </w:pPr>
      <w:r>
        <w:t xml:space="preserve">Bid and ask.</w:t>
      </w:r>
    </w:p>
    <w:p>
      <w:pPr>
        <w:pStyle w:val="Compact"/>
        <w:numPr>
          <w:ilvl w:val="0"/>
          <w:numId w:val="1109"/>
        </w:numPr>
      </w:pPr>
      <w:r>
        <w:t xml:space="preserve">Spread.</w:t>
      </w:r>
    </w:p>
    <w:p>
      <w:pPr>
        <w:pStyle w:val="Compact"/>
        <w:numPr>
          <w:ilvl w:val="0"/>
          <w:numId w:val="1109"/>
        </w:numPr>
      </w:pPr>
      <w:r>
        <w:t xml:space="preserve">Depth.</w:t>
      </w:r>
    </w:p>
    <w:p>
      <w:pPr>
        <w:pStyle w:val="Compact"/>
        <w:numPr>
          <w:ilvl w:val="0"/>
          <w:numId w:val="1109"/>
        </w:numPr>
      </w:pPr>
      <w:r>
        <w:t xml:space="preserve">Imbalance.</w:t>
      </w:r>
    </w:p>
    <w:p>
      <w:pPr>
        <w:pStyle w:val="Compact"/>
        <w:numPr>
          <w:ilvl w:val="0"/>
          <w:numId w:val="1109"/>
        </w:numPr>
      </w:pPr>
      <w:r>
        <w:t xml:space="preserve">Recent trades.</w:t>
      </w:r>
    </w:p>
    <w:p>
      <w:pPr>
        <w:pStyle w:val="Compact"/>
        <w:numPr>
          <w:ilvl w:val="0"/>
          <w:numId w:val="1109"/>
        </w:numPr>
      </w:pPr>
      <w:r>
        <w:t xml:space="preserve">Cancellation intensity.</w:t>
      </w:r>
    </w:p>
    <w:p>
      <w:pPr>
        <w:pStyle w:val="Compact"/>
        <w:numPr>
          <w:ilvl w:val="0"/>
          <w:numId w:val="1109"/>
        </w:numPr>
      </w:pPr>
      <w:r>
        <w:t xml:space="preserve">Fill probability.</w:t>
      </w:r>
    </w:p>
    <w:p>
      <w:pPr>
        <w:pStyle w:val="Compact"/>
        <w:numPr>
          <w:ilvl w:val="0"/>
          <w:numId w:val="1109"/>
        </w:numPr>
      </w:pPr>
      <w:r>
        <w:t xml:space="preserve">Adverse-selection estimate.</w:t>
      </w:r>
    </w:p>
    <w:p>
      <w:pPr>
        <w:pStyle w:val="Compact"/>
        <w:numPr>
          <w:ilvl w:val="0"/>
          <w:numId w:val="1109"/>
        </w:numPr>
      </w:pPr>
      <w:r>
        <w:t xml:space="preserve">API latency.</w:t>
      </w:r>
    </w:p>
    <w:bookmarkEnd w:id="103"/>
    <w:bookmarkStart w:id="104" w:name="risk-health"/>
    <w:p>
      <w:pPr>
        <w:pStyle w:val="Heading2"/>
      </w:pPr>
      <w:r>
        <w:t xml:space="preserve">Risk Health</w:t>
      </w:r>
    </w:p>
    <w:p>
      <w:pPr>
        <w:pStyle w:val="Compact"/>
        <w:numPr>
          <w:ilvl w:val="0"/>
          <w:numId w:val="1110"/>
        </w:numPr>
      </w:pPr>
      <w:r>
        <w:t xml:space="preserve">Current exposure.</w:t>
      </w:r>
    </w:p>
    <w:p>
      <w:pPr>
        <w:pStyle w:val="Compact"/>
        <w:numPr>
          <w:ilvl w:val="0"/>
          <w:numId w:val="1110"/>
        </w:numPr>
      </w:pPr>
      <w:r>
        <w:t xml:space="preserve">Maximum loss.</w:t>
      </w:r>
    </w:p>
    <w:p>
      <w:pPr>
        <w:pStyle w:val="Compact"/>
        <w:numPr>
          <w:ilvl w:val="0"/>
          <w:numId w:val="1110"/>
        </w:numPr>
      </w:pPr>
      <w:r>
        <w:t xml:space="preserve">Kelly recommendation.</w:t>
      </w:r>
    </w:p>
    <w:p>
      <w:pPr>
        <w:pStyle w:val="Compact"/>
        <w:numPr>
          <w:ilvl w:val="0"/>
          <w:numId w:val="1110"/>
        </w:numPr>
      </w:pPr>
      <w:r>
        <w:t xml:space="preserve">Actual position fraction.</w:t>
      </w:r>
    </w:p>
    <w:p>
      <w:pPr>
        <w:pStyle w:val="Compact"/>
        <w:numPr>
          <w:ilvl w:val="0"/>
          <w:numId w:val="1110"/>
        </w:numPr>
      </w:pPr>
      <w:r>
        <w:t xml:space="preserve">Drawdown.</w:t>
      </w:r>
    </w:p>
    <w:p>
      <w:pPr>
        <w:pStyle w:val="Compact"/>
        <w:numPr>
          <w:ilvl w:val="0"/>
          <w:numId w:val="1110"/>
        </w:numPr>
      </w:pPr>
      <w:r>
        <w:t xml:space="preserve">CVaR.</w:t>
      </w:r>
    </w:p>
    <w:p>
      <w:pPr>
        <w:pStyle w:val="Compact"/>
        <w:numPr>
          <w:ilvl w:val="0"/>
          <w:numId w:val="1110"/>
        </w:numPr>
      </w:pPr>
      <w:r>
        <w:t xml:space="preserve">Oracle concentration.</w:t>
      </w:r>
    </w:p>
    <w:p>
      <w:pPr>
        <w:pStyle w:val="Compact"/>
        <w:numPr>
          <w:ilvl w:val="0"/>
          <w:numId w:val="1110"/>
        </w:numPr>
      </w:pPr>
      <w:r>
        <w:t xml:space="preserve">Contract correlation.</w:t>
      </w:r>
    </w:p>
    <w:p>
      <w:pPr>
        <w:pStyle w:val="Compact"/>
        <w:numPr>
          <w:ilvl w:val="0"/>
          <w:numId w:val="1110"/>
        </w:numPr>
      </w:pPr>
      <w:r>
        <w:t xml:space="preserve">Data-staleness state.</w:t>
      </w:r>
    </w:p>
    <w:p>
      <w:pPr>
        <w:pStyle w:val="FirstParagraph"/>
      </w:pPr>
      <w:r>
        <w:t xml:space="preserve">Define automatic kill switches and escalation thresholds.</w:t>
      </w:r>
    </w:p>
    <w:p>
      <w:r>
        <w:pict>
          <v:rect style="width:0;height:1.5pt" o:hralign="center" o:hrstd="t" o:hr="t"/>
        </w:pict>
      </w:r>
    </w:p>
    <w:bookmarkEnd w:id="104"/>
    <w:bookmarkEnd w:id="105"/>
    <w:bookmarkStart w:id="108" w:name="X12685d39da19c8f2c6a7d48e1d64ead967d128d"/>
    <w:p>
      <w:pPr>
        <w:pStyle w:val="Heading1"/>
      </w:pPr>
      <w:r>
        <w:t xml:space="preserve">26. Reproducibility and Implementation Deliverables</w:t>
      </w:r>
    </w:p>
    <w:p>
      <w:pPr>
        <w:pStyle w:val="FirstParagraph"/>
      </w:pPr>
      <w:r>
        <w:t xml:space="preserve">Provide:</w:t>
      </w:r>
    </w:p>
    <w:p>
      <w:pPr>
        <w:pStyle w:val="Compact"/>
        <w:numPr>
          <w:ilvl w:val="0"/>
          <w:numId w:val="1111"/>
        </w:numPr>
      </w:pPr>
      <w:r>
        <w:t xml:space="preserve">A system architecture diagram.</w:t>
      </w:r>
    </w:p>
    <w:p>
      <w:pPr>
        <w:pStyle w:val="Compact"/>
        <w:numPr>
          <w:ilvl w:val="0"/>
          <w:numId w:val="1111"/>
        </w:numPr>
      </w:pPr>
      <w:r>
        <w:t xml:space="preserve">A data-lineage diagram.</w:t>
      </w:r>
    </w:p>
    <w:p>
      <w:pPr>
        <w:pStyle w:val="Compact"/>
        <w:numPr>
          <w:ilvl w:val="0"/>
          <w:numId w:val="1111"/>
        </w:numPr>
      </w:pPr>
      <w:r>
        <w:t xml:space="preserve">A timestamped information-flow diagram.</w:t>
      </w:r>
    </w:p>
    <w:p>
      <w:pPr>
        <w:pStyle w:val="Compact"/>
        <w:numPr>
          <w:ilvl w:val="0"/>
          <w:numId w:val="1111"/>
        </w:numPr>
      </w:pPr>
      <w:r>
        <w:t xml:space="preserve">A contract-specification table.</w:t>
      </w:r>
    </w:p>
    <w:p>
      <w:pPr>
        <w:pStyle w:val="Compact"/>
        <w:numPr>
          <w:ilvl w:val="0"/>
          <w:numId w:val="1111"/>
        </w:numPr>
      </w:pPr>
      <w:r>
        <w:t xml:space="preserve">A dataset-specification table.</w:t>
      </w:r>
    </w:p>
    <w:p>
      <w:pPr>
        <w:pStyle w:val="Compact"/>
        <w:numPr>
          <w:ilvl w:val="0"/>
          <w:numId w:val="1111"/>
        </w:numPr>
      </w:pPr>
      <w:r>
        <w:t xml:space="preserve">A mathematical model specification.</w:t>
      </w:r>
    </w:p>
    <w:p>
      <w:pPr>
        <w:pStyle w:val="Compact"/>
        <w:numPr>
          <w:ilvl w:val="0"/>
          <w:numId w:val="1111"/>
        </w:numPr>
      </w:pPr>
      <w:r>
        <w:t xml:space="preserve">Priors and parameter-estimation procedures.</w:t>
      </w:r>
    </w:p>
    <w:p>
      <w:pPr>
        <w:pStyle w:val="Compact"/>
        <w:numPr>
          <w:ilvl w:val="0"/>
          <w:numId w:val="1111"/>
        </w:numPr>
      </w:pPr>
      <w:r>
        <w:t xml:space="preserve">Forecast-calibration diagnostics.</w:t>
      </w:r>
    </w:p>
    <w:p>
      <w:pPr>
        <w:pStyle w:val="Compact"/>
        <w:numPr>
          <w:ilvl w:val="0"/>
          <w:numId w:val="1111"/>
        </w:numPr>
      </w:pPr>
      <w:r>
        <w:t xml:space="preserve">Translation-model diagnostics.</w:t>
      </w:r>
    </w:p>
    <w:p>
      <w:pPr>
        <w:pStyle w:val="Compact"/>
        <w:numPr>
          <w:ilvl w:val="0"/>
          <w:numId w:val="1111"/>
        </w:numPr>
      </w:pPr>
      <w:r>
        <w:t xml:space="preserve">Backtest methodology.</w:t>
      </w:r>
    </w:p>
    <w:p>
      <w:pPr>
        <w:pStyle w:val="Compact"/>
        <w:numPr>
          <w:ilvl w:val="0"/>
          <w:numId w:val="1111"/>
        </w:numPr>
      </w:pPr>
      <w:r>
        <w:t xml:space="preserve">Execution pseudocode.</w:t>
      </w:r>
    </w:p>
    <w:p>
      <w:pPr>
        <w:pStyle w:val="Compact"/>
        <w:numPr>
          <w:ilvl w:val="0"/>
          <w:numId w:val="1111"/>
        </w:numPr>
      </w:pPr>
      <w:r>
        <w:t xml:space="preserve">Risk-limit table.</w:t>
      </w:r>
    </w:p>
    <w:p>
      <w:pPr>
        <w:pStyle w:val="Compact"/>
        <w:numPr>
          <w:ilvl w:val="0"/>
          <w:numId w:val="1111"/>
        </w:numPr>
      </w:pPr>
      <w:r>
        <w:t xml:space="preserve">Stress-test matrix.</w:t>
      </w:r>
    </w:p>
    <w:p>
      <w:pPr>
        <w:pStyle w:val="Compact"/>
        <w:numPr>
          <w:ilvl w:val="0"/>
          <w:numId w:val="1111"/>
        </w:numPr>
      </w:pPr>
      <w:r>
        <w:t xml:space="preserve">Model-risk register.</w:t>
      </w:r>
    </w:p>
    <w:p>
      <w:pPr>
        <w:pStyle w:val="Compact"/>
        <w:numPr>
          <w:ilvl w:val="0"/>
          <w:numId w:val="1111"/>
        </w:numPr>
      </w:pPr>
      <w:r>
        <w:t xml:space="preserve">Production-monitoring checklist.</w:t>
      </w:r>
    </w:p>
    <w:p>
      <w:pPr>
        <w:pStyle w:val="Compact"/>
        <w:numPr>
          <w:ilvl w:val="0"/>
          <w:numId w:val="1111"/>
        </w:numPr>
      </w:pPr>
      <w:r>
        <w:t xml:space="preserve">Recommended C++ and Python module structure.</w:t>
      </w:r>
    </w:p>
    <w:p>
      <w:pPr>
        <w:pStyle w:val="Compact"/>
        <w:numPr>
          <w:ilvl w:val="0"/>
          <w:numId w:val="1111"/>
        </w:numPr>
      </w:pPr>
      <w:r>
        <w:t xml:space="preserve">Database schemas for data vintages, forecasts, prices, orders, fills, and decisions.</w:t>
      </w:r>
    </w:p>
    <w:p>
      <w:pPr>
        <w:pStyle w:val="Compact"/>
        <w:numPr>
          <w:ilvl w:val="0"/>
          <w:numId w:val="1111"/>
        </w:numPr>
      </w:pPr>
      <w:r>
        <w:t xml:space="preserve">Unit-test and integration-test plan.</w:t>
      </w:r>
    </w:p>
    <w:p>
      <w:pPr>
        <w:pStyle w:val="Compact"/>
        <w:numPr>
          <w:ilvl w:val="0"/>
          <w:numId w:val="1111"/>
        </w:numPr>
      </w:pPr>
      <w:r>
        <w:t xml:space="preserve">Ablation-study plan.</w:t>
      </w:r>
    </w:p>
    <w:p>
      <w:pPr>
        <w:pStyle w:val="Compact"/>
        <w:numPr>
          <w:ilvl w:val="0"/>
          <w:numId w:val="1111"/>
        </w:numPr>
      </w:pPr>
      <w:r>
        <w:t xml:space="preserve">Deployment sequence.</w:t>
      </w:r>
    </w:p>
    <w:p>
      <w:pPr>
        <w:pStyle w:val="FirstParagraph"/>
      </w:pPr>
      <w:r>
        <w:t xml:space="preserve">Suggested implementation split:</w:t>
      </w:r>
    </w:p>
    <w:bookmarkStart w:id="106" w:name="c"/>
    <w:p>
      <w:pPr>
        <w:pStyle w:val="Heading3"/>
      </w:pPr>
      <w:r>
        <w:t xml:space="preserve">C++</w:t>
      </w:r>
    </w:p>
    <w:p>
      <w:pPr>
        <w:pStyle w:val="Compact"/>
        <w:numPr>
          <w:ilvl w:val="0"/>
          <w:numId w:val="1112"/>
        </w:numPr>
      </w:pPr>
      <w:r>
        <w:t xml:space="preserve">Market-data ingestion.</w:t>
      </w:r>
    </w:p>
    <w:p>
      <w:pPr>
        <w:pStyle w:val="Compact"/>
        <w:numPr>
          <w:ilvl w:val="0"/>
          <w:numId w:val="1112"/>
        </w:numPr>
      </w:pPr>
      <w:r>
        <w:t xml:space="preserve">Order-book reconstruction.</w:t>
      </w:r>
    </w:p>
    <w:p>
      <w:pPr>
        <w:pStyle w:val="Compact"/>
        <w:numPr>
          <w:ilvl w:val="0"/>
          <w:numId w:val="1112"/>
        </w:numPr>
      </w:pPr>
      <w:r>
        <w:t xml:space="preserve">Real-time state management.</w:t>
      </w:r>
    </w:p>
    <w:p>
      <w:pPr>
        <w:pStyle w:val="Compact"/>
        <w:numPr>
          <w:ilvl w:val="0"/>
          <w:numId w:val="1112"/>
        </w:numPr>
      </w:pPr>
      <w:r>
        <w:t xml:space="preserve">Execution.</w:t>
      </w:r>
    </w:p>
    <w:p>
      <w:pPr>
        <w:pStyle w:val="Compact"/>
        <w:numPr>
          <w:ilvl w:val="0"/>
          <w:numId w:val="1112"/>
        </w:numPr>
      </w:pPr>
      <w:r>
        <w:t xml:space="preserve">Risk checks.</w:t>
      </w:r>
    </w:p>
    <w:p>
      <w:pPr>
        <w:pStyle w:val="Compact"/>
        <w:numPr>
          <w:ilvl w:val="0"/>
          <w:numId w:val="1112"/>
        </w:numPr>
      </w:pPr>
      <w:r>
        <w:t xml:space="preserve">Low-latency signal consumption.</w:t>
      </w:r>
    </w:p>
    <w:p>
      <w:pPr>
        <w:pStyle w:val="Compact"/>
        <w:numPr>
          <w:ilvl w:val="0"/>
          <w:numId w:val="1112"/>
        </w:numPr>
      </w:pPr>
      <w:r>
        <w:t xml:space="preserve">NetCDF/GRIB aggregation where latency matters.</w:t>
      </w:r>
    </w:p>
    <w:bookmarkEnd w:id="106"/>
    <w:bookmarkStart w:id="107" w:name="python"/>
    <w:p>
      <w:pPr>
        <w:pStyle w:val="Heading3"/>
      </w:pPr>
      <w:r>
        <w:t xml:space="preserve">Python</w:t>
      </w:r>
    </w:p>
    <w:p>
      <w:pPr>
        <w:pStyle w:val="Compact"/>
        <w:numPr>
          <w:ilvl w:val="0"/>
          <w:numId w:val="1113"/>
        </w:numPr>
      </w:pPr>
      <w:r>
        <w:t xml:space="preserve">Statistical research.</w:t>
      </w:r>
    </w:p>
    <w:p>
      <w:pPr>
        <w:pStyle w:val="Compact"/>
        <w:numPr>
          <w:ilvl w:val="0"/>
          <w:numId w:val="1113"/>
        </w:numPr>
      </w:pPr>
      <w:r>
        <w:t xml:space="preserve">Bayesian estimation.</w:t>
      </w:r>
    </w:p>
    <w:p>
      <w:pPr>
        <w:pStyle w:val="Compact"/>
        <w:numPr>
          <w:ilvl w:val="0"/>
          <w:numId w:val="1113"/>
        </w:numPr>
      </w:pPr>
      <w:r>
        <w:t xml:space="preserve">Forecast calibration.</w:t>
      </w:r>
    </w:p>
    <w:p>
      <w:pPr>
        <w:pStyle w:val="Compact"/>
        <w:numPr>
          <w:ilvl w:val="0"/>
          <w:numId w:val="1113"/>
        </w:numPr>
      </w:pPr>
      <w:r>
        <w:t xml:space="preserve">HMM fitting.</w:t>
      </w:r>
    </w:p>
    <w:p>
      <w:pPr>
        <w:pStyle w:val="Compact"/>
        <w:numPr>
          <w:ilvl w:val="0"/>
          <w:numId w:val="1113"/>
        </w:numPr>
      </w:pPr>
      <w:r>
        <w:t xml:space="preserve">EVT.</w:t>
      </w:r>
    </w:p>
    <w:p>
      <w:pPr>
        <w:pStyle w:val="Compact"/>
        <w:numPr>
          <w:ilvl w:val="0"/>
          <w:numId w:val="1113"/>
        </w:numPr>
      </w:pPr>
      <w:r>
        <w:t xml:space="preserve">Backtesting.</w:t>
      </w:r>
    </w:p>
    <w:p>
      <w:pPr>
        <w:pStyle w:val="Compact"/>
        <w:numPr>
          <w:ilvl w:val="0"/>
          <w:numId w:val="1113"/>
        </w:numPr>
      </w:pPr>
      <w:r>
        <w:t xml:space="preserve">Visualization.</w:t>
      </w:r>
    </w:p>
    <w:p>
      <w:pPr>
        <w:pStyle w:val="Compact"/>
        <w:numPr>
          <w:ilvl w:val="0"/>
          <w:numId w:val="1113"/>
        </w:numPr>
      </w:pPr>
      <w:r>
        <w:t xml:space="preserve">Model diagnostics.</w:t>
      </w:r>
    </w:p>
    <w:p>
      <w:pPr>
        <w:pStyle w:val="FirstParagraph"/>
      </w:pPr>
      <w:r>
        <w:t xml:space="preserve">Specify interfaces between C++ and Python, such as:</w:t>
      </w:r>
    </w:p>
    <w:p>
      <w:pPr>
        <w:pStyle w:val="Compact"/>
        <w:numPr>
          <w:ilvl w:val="0"/>
          <w:numId w:val="1114"/>
        </w:numPr>
      </w:pPr>
      <w:r>
        <w:t xml:space="preserve">Protobuf.</w:t>
      </w:r>
    </w:p>
    <w:p>
      <w:pPr>
        <w:pStyle w:val="Compact"/>
        <w:numPr>
          <w:ilvl w:val="0"/>
          <w:numId w:val="1114"/>
        </w:numPr>
      </w:pPr>
      <w:r>
        <w:t xml:space="preserve">FlatBuffers.</w:t>
      </w:r>
    </w:p>
    <w:p>
      <w:pPr>
        <w:pStyle w:val="Compact"/>
        <w:numPr>
          <w:ilvl w:val="0"/>
          <w:numId w:val="1114"/>
        </w:numPr>
      </w:pPr>
      <w:r>
        <w:t xml:space="preserve">Apache Arrow.</w:t>
      </w:r>
    </w:p>
    <w:p>
      <w:pPr>
        <w:pStyle w:val="Compact"/>
        <w:numPr>
          <w:ilvl w:val="0"/>
          <w:numId w:val="1114"/>
        </w:numPr>
      </w:pPr>
      <w:r>
        <w:t xml:space="preserve">Shared memory.</w:t>
      </w:r>
    </w:p>
    <w:p>
      <w:pPr>
        <w:pStyle w:val="Compact"/>
        <w:numPr>
          <w:ilvl w:val="0"/>
          <w:numId w:val="1114"/>
        </w:numPr>
      </w:pPr>
      <w:r>
        <w:t xml:space="preserve">ZeroMQ.</w:t>
      </w:r>
    </w:p>
    <w:p>
      <w:pPr>
        <w:pStyle w:val="Compact"/>
        <w:numPr>
          <w:ilvl w:val="0"/>
          <w:numId w:val="1114"/>
        </w:numPr>
      </w:pPr>
      <w:r>
        <w:t xml:space="preserve">gRPC.</w:t>
      </w:r>
    </w:p>
    <w:p>
      <w:pPr>
        <w:pStyle w:val="Compact"/>
        <w:numPr>
          <w:ilvl w:val="0"/>
          <w:numId w:val="1114"/>
        </w:numPr>
      </w:pPr>
      <w:r>
        <w:t xml:space="preserve">Pybind11.</w:t>
      </w:r>
    </w:p>
    <w:p>
      <w:pPr>
        <w:pStyle w:val="FirstParagraph"/>
      </w:pPr>
      <w:r>
        <w:t xml:space="preserve">Choose based on measured latency, serialization cost, fault isolation, and operational complexity.</w:t>
      </w:r>
    </w:p>
    <w:p>
      <w:r>
        <w:pict>
          <v:rect style="width:0;height:1.5pt" o:hralign="center" o:hrstd="t" o:hr="t"/>
        </w:pict>
      </w:r>
    </w:p>
    <w:bookmarkEnd w:id="107"/>
    <w:bookmarkEnd w:id="108"/>
    <w:bookmarkStart w:id="117" w:name="required-final-response-structure"/>
    <w:p>
      <w:pPr>
        <w:pStyle w:val="Heading1"/>
      </w:pPr>
      <w:r>
        <w:t xml:space="preserve">27. Required Final Response Structure</w:t>
      </w:r>
    </w:p>
    <w:p>
      <w:pPr>
        <w:pStyle w:val="FirstParagraph"/>
      </w:pPr>
      <w:r>
        <w:t xml:space="preserve">Organize the final analysis in this order:</w:t>
      </w:r>
    </w:p>
    <w:bookmarkStart w:id="109" w:name="part-i-verified-facts"/>
    <w:p>
      <w:pPr>
        <w:pStyle w:val="Heading2"/>
      </w:pPr>
      <w:r>
        <w:t xml:space="preserve">Part I — Verified Facts</w:t>
      </w:r>
    </w:p>
    <w:p>
      <w:pPr>
        <w:pStyle w:val="Compact"/>
        <w:numPr>
          <w:ilvl w:val="0"/>
          <w:numId w:val="1115"/>
        </w:numPr>
      </w:pPr>
      <w:r>
        <w:t xml:space="preserve">Contract rules.</w:t>
      </w:r>
    </w:p>
    <w:p>
      <w:pPr>
        <w:pStyle w:val="Compact"/>
        <w:numPr>
          <w:ilvl w:val="0"/>
          <w:numId w:val="1115"/>
        </w:numPr>
      </w:pPr>
      <w:r>
        <w:t xml:space="preserve">Dataset versions.</w:t>
      </w:r>
    </w:p>
    <w:p>
      <w:pPr>
        <w:pStyle w:val="Compact"/>
        <w:numPr>
          <w:ilvl w:val="0"/>
          <w:numId w:val="1115"/>
        </w:numPr>
      </w:pPr>
      <w:r>
        <w:t xml:space="preserve">Baselines.</w:t>
      </w:r>
    </w:p>
    <w:p>
      <w:pPr>
        <w:pStyle w:val="Compact"/>
        <w:numPr>
          <w:ilvl w:val="0"/>
          <w:numId w:val="1115"/>
        </w:numPr>
      </w:pPr>
      <w:r>
        <w:t xml:space="preserve">Release schedules.</w:t>
      </w:r>
    </w:p>
    <w:p>
      <w:pPr>
        <w:pStyle w:val="Compact"/>
        <w:numPr>
          <w:ilvl w:val="0"/>
          <w:numId w:val="1115"/>
        </w:numPr>
      </w:pPr>
      <w:r>
        <w:t xml:space="preserve">API capabilities.</w:t>
      </w:r>
    </w:p>
    <w:p>
      <w:pPr>
        <w:pStyle w:val="Compact"/>
        <w:numPr>
          <w:ilvl w:val="0"/>
          <w:numId w:val="1115"/>
        </w:numPr>
      </w:pPr>
      <w:r>
        <w:t xml:space="preserve">Sources and access dates.</w:t>
      </w:r>
    </w:p>
    <w:p>
      <w:pPr>
        <w:pStyle w:val="Compact"/>
        <w:numPr>
          <w:ilvl w:val="0"/>
          <w:numId w:val="1115"/>
        </w:numPr>
      </w:pPr>
      <w:r>
        <w:t xml:space="preserve">Unverified or ambiguous items.</w:t>
      </w:r>
    </w:p>
    <w:bookmarkEnd w:id="109"/>
    <w:bookmarkStart w:id="110" w:name="part-ii-executive-quantitative-thesis"/>
    <w:p>
      <w:pPr>
        <w:pStyle w:val="Heading2"/>
      </w:pPr>
      <w:r>
        <w:t xml:space="preserve">Part II — Executive Quantitative Thesis</w:t>
      </w:r>
    </w:p>
    <w:p>
      <w:pPr>
        <w:pStyle w:val="FirstParagraph"/>
      </w:pPr>
      <w:r>
        <w:t xml:space="preserve">Explain:</w:t>
      </w:r>
    </w:p>
    <w:p>
      <w:pPr>
        <w:pStyle w:val="Compact"/>
        <w:numPr>
          <w:ilvl w:val="0"/>
          <w:numId w:val="1116"/>
        </w:numPr>
      </w:pPr>
      <w:r>
        <w:t xml:space="preserve">The market’s central forecasting problem.</w:t>
      </w:r>
    </w:p>
    <w:p>
      <w:pPr>
        <w:pStyle w:val="Compact"/>
        <w:numPr>
          <w:ilvl w:val="0"/>
          <w:numId w:val="1116"/>
        </w:numPr>
      </w:pPr>
      <w:r>
        <w:t xml:space="preserve">The likely sources of informational advantage.</w:t>
      </w:r>
    </w:p>
    <w:p>
      <w:pPr>
        <w:pStyle w:val="Compact"/>
        <w:numPr>
          <w:ilvl w:val="0"/>
          <w:numId w:val="1116"/>
        </w:numPr>
      </w:pPr>
      <w:r>
        <w:t xml:space="preserve">Which apparent edges are probably illusory.</w:t>
      </w:r>
    </w:p>
    <w:p>
      <w:pPr>
        <w:pStyle w:val="Compact"/>
        <w:numPr>
          <w:ilvl w:val="0"/>
          <w:numId w:val="1116"/>
        </w:numPr>
      </w:pPr>
      <w:r>
        <w:t xml:space="preserve">The expected decay of alpha as settlement approaches.</w:t>
      </w:r>
    </w:p>
    <w:p>
      <w:pPr>
        <w:pStyle w:val="Compact"/>
        <w:numPr>
          <w:ilvl w:val="0"/>
          <w:numId w:val="1116"/>
        </w:numPr>
      </w:pPr>
      <w:r>
        <w:t xml:space="preserve">The largest model and execution risks.</w:t>
      </w:r>
    </w:p>
    <w:bookmarkEnd w:id="110"/>
    <w:bookmarkStart w:id="111" w:name="part-iii-mathematical-forecast-model"/>
    <w:p>
      <w:pPr>
        <w:pStyle w:val="Heading2"/>
      </w:pPr>
      <w:r>
        <w:t xml:space="preserve">Part III — Mathematical Forecast Model</w:t>
      </w:r>
    </w:p>
    <w:p>
      <w:pPr>
        <w:pStyle w:val="FirstParagraph"/>
      </w:pPr>
      <w:r>
        <w:t xml:space="preserve">Provide:</w:t>
      </w:r>
    </w:p>
    <w:p>
      <w:pPr>
        <w:pStyle w:val="Compact"/>
        <w:numPr>
          <w:ilvl w:val="0"/>
          <w:numId w:val="1117"/>
        </w:numPr>
      </w:pPr>
      <w:r>
        <w:t xml:space="preserve">Target-variable construction.</w:t>
      </w:r>
    </w:p>
    <w:p>
      <w:pPr>
        <w:pStyle w:val="Compact"/>
        <w:numPr>
          <w:ilvl w:val="0"/>
          <w:numId w:val="1117"/>
        </w:numPr>
      </w:pPr>
      <w:r>
        <w:t xml:space="preserve">Ensemble calibration.</w:t>
      </w:r>
    </w:p>
    <w:p>
      <w:pPr>
        <w:pStyle w:val="Compact"/>
        <w:numPr>
          <w:ilvl w:val="0"/>
          <w:numId w:val="1117"/>
        </w:numPr>
      </w:pPr>
      <w:r>
        <w:t xml:space="preserve">Sequential Bayesian posterior.</w:t>
      </w:r>
    </w:p>
    <w:p>
      <w:pPr>
        <w:pStyle w:val="Compact"/>
        <w:numPr>
          <w:ilvl w:val="0"/>
          <w:numId w:val="1117"/>
        </w:numPr>
      </w:pPr>
      <w:r>
        <w:t xml:space="preserve">Dynamic ERA5-to-oracle translation.</w:t>
      </w:r>
    </w:p>
    <w:p>
      <w:pPr>
        <w:pStyle w:val="Compact"/>
        <w:numPr>
          <w:ilvl w:val="0"/>
          <w:numId w:val="1117"/>
        </w:numPr>
      </w:pPr>
      <w:r>
        <w:t xml:space="preserve">Regime model.</w:t>
      </w:r>
    </w:p>
    <w:p>
      <w:pPr>
        <w:pStyle w:val="Compact"/>
        <w:numPr>
          <w:ilvl w:val="0"/>
          <w:numId w:val="1117"/>
        </w:numPr>
      </w:pPr>
      <w:r>
        <w:t xml:space="preserve">Tail model.</w:t>
      </w:r>
    </w:p>
    <w:p>
      <w:pPr>
        <w:pStyle w:val="Compact"/>
        <w:numPr>
          <w:ilvl w:val="0"/>
          <w:numId w:val="1117"/>
        </w:numPr>
      </w:pPr>
      <w:r>
        <w:t xml:space="preserve">Rounding-aware settlement probability.</w:t>
      </w:r>
    </w:p>
    <w:p>
      <w:pPr>
        <w:pStyle w:val="Compact"/>
        <w:numPr>
          <w:ilvl w:val="0"/>
          <w:numId w:val="1117"/>
        </w:numPr>
      </w:pPr>
      <w:r>
        <w:t xml:space="preserve">Uncertainty decomposition.</w:t>
      </w:r>
    </w:p>
    <w:bookmarkEnd w:id="111"/>
    <w:bookmarkStart w:id="112" w:name="part-iv-market-and-execution-model"/>
    <w:p>
      <w:pPr>
        <w:pStyle w:val="Heading2"/>
      </w:pPr>
      <w:r>
        <w:t xml:space="preserve">Part IV — Market and Execution Model</w:t>
      </w:r>
    </w:p>
    <w:p>
      <w:pPr>
        <w:pStyle w:val="FirstParagraph"/>
      </w:pPr>
      <w:r>
        <w:t xml:space="preserve">Provide:</w:t>
      </w:r>
    </w:p>
    <w:p>
      <w:pPr>
        <w:pStyle w:val="Compact"/>
        <w:numPr>
          <w:ilvl w:val="0"/>
          <w:numId w:val="1118"/>
        </w:numPr>
      </w:pPr>
      <w:r>
        <w:t xml:space="preserve">Order-book features.</w:t>
      </w:r>
    </w:p>
    <w:p>
      <w:pPr>
        <w:pStyle w:val="Compact"/>
        <w:numPr>
          <w:ilvl w:val="0"/>
          <w:numId w:val="1118"/>
        </w:numPr>
      </w:pPr>
      <w:r>
        <w:t xml:space="preserve">Flow model.</w:t>
      </w:r>
    </w:p>
    <w:p>
      <w:pPr>
        <w:pStyle w:val="Compact"/>
        <w:numPr>
          <w:ilvl w:val="0"/>
          <w:numId w:val="1118"/>
        </w:numPr>
      </w:pPr>
      <w:r>
        <w:t xml:space="preserve">Fair-value calculation.</w:t>
      </w:r>
    </w:p>
    <w:p>
      <w:pPr>
        <w:pStyle w:val="Compact"/>
        <w:numPr>
          <w:ilvl w:val="0"/>
          <w:numId w:val="1118"/>
        </w:numPr>
      </w:pPr>
      <w:r>
        <w:t xml:space="preserve">Fill model.</w:t>
      </w:r>
    </w:p>
    <w:p>
      <w:pPr>
        <w:pStyle w:val="Compact"/>
        <w:numPr>
          <w:ilvl w:val="0"/>
          <w:numId w:val="1118"/>
        </w:numPr>
      </w:pPr>
      <w:r>
        <w:t xml:space="preserve">Adverse-selection model.</w:t>
      </w:r>
    </w:p>
    <w:p>
      <w:pPr>
        <w:pStyle w:val="Compact"/>
        <w:numPr>
          <w:ilvl w:val="0"/>
          <w:numId w:val="1118"/>
        </w:numPr>
      </w:pPr>
      <w:r>
        <w:t xml:space="preserve">Switching logic.</w:t>
      </w:r>
    </w:p>
    <w:p>
      <w:pPr>
        <w:pStyle w:val="Compact"/>
        <w:numPr>
          <w:ilvl w:val="0"/>
          <w:numId w:val="1118"/>
        </w:numPr>
      </w:pPr>
      <w:r>
        <w:t xml:space="preserve">Position-sizing logic.</w:t>
      </w:r>
    </w:p>
    <w:p>
      <w:pPr>
        <w:pStyle w:val="Compact"/>
        <w:numPr>
          <w:ilvl w:val="0"/>
          <w:numId w:val="1118"/>
        </w:numPr>
      </w:pPr>
      <w:r>
        <w:t xml:space="preserve">Execution state machine.</w:t>
      </w:r>
    </w:p>
    <w:bookmarkEnd w:id="112"/>
    <w:bookmarkStart w:id="113" w:name="part-v-backtest-and-validation"/>
    <w:p>
      <w:pPr>
        <w:pStyle w:val="Heading2"/>
      </w:pPr>
      <w:r>
        <w:t xml:space="preserve">Part V — Backtest and Validation</w:t>
      </w:r>
    </w:p>
    <w:p>
      <w:pPr>
        <w:pStyle w:val="FirstParagraph"/>
      </w:pPr>
      <w:r>
        <w:t xml:space="preserve">Provide:</w:t>
      </w:r>
    </w:p>
    <w:p>
      <w:pPr>
        <w:pStyle w:val="Compact"/>
        <w:numPr>
          <w:ilvl w:val="0"/>
          <w:numId w:val="1119"/>
        </w:numPr>
      </w:pPr>
      <w:r>
        <w:t xml:space="preserve">Historical-vintage requirements.</w:t>
      </w:r>
    </w:p>
    <w:p>
      <w:pPr>
        <w:pStyle w:val="Compact"/>
        <w:numPr>
          <w:ilvl w:val="0"/>
          <w:numId w:val="1119"/>
        </w:numPr>
      </w:pPr>
      <w:r>
        <w:t xml:space="preserve">Walk-forward methodology.</w:t>
      </w:r>
    </w:p>
    <w:p>
      <w:pPr>
        <w:pStyle w:val="Compact"/>
        <w:numPr>
          <w:ilvl w:val="0"/>
          <w:numId w:val="1119"/>
        </w:numPr>
      </w:pPr>
      <w:r>
        <w:t xml:space="preserve">Benchmarks.</w:t>
      </w:r>
    </w:p>
    <w:p>
      <w:pPr>
        <w:pStyle w:val="Compact"/>
        <w:numPr>
          <w:ilvl w:val="0"/>
          <w:numId w:val="1119"/>
        </w:numPr>
      </w:pPr>
      <w:r>
        <w:t xml:space="preserve">Metrics.</w:t>
      </w:r>
    </w:p>
    <w:p>
      <w:pPr>
        <w:pStyle w:val="Compact"/>
        <w:numPr>
          <w:ilvl w:val="0"/>
          <w:numId w:val="1119"/>
        </w:numPr>
      </w:pPr>
      <w:r>
        <w:t xml:space="preserve">Leakage controls.</w:t>
      </w:r>
    </w:p>
    <w:p>
      <w:pPr>
        <w:pStyle w:val="Compact"/>
        <w:numPr>
          <w:ilvl w:val="0"/>
          <w:numId w:val="1119"/>
        </w:numPr>
      </w:pPr>
      <w:r>
        <w:t xml:space="preserve">Statistical-significance tests.</w:t>
      </w:r>
    </w:p>
    <w:p>
      <w:pPr>
        <w:pStyle w:val="Compact"/>
        <w:numPr>
          <w:ilvl w:val="0"/>
          <w:numId w:val="1119"/>
        </w:numPr>
      </w:pPr>
      <w:r>
        <w:t xml:space="preserve">Sensitivity analysis.</w:t>
      </w:r>
    </w:p>
    <w:p>
      <w:pPr>
        <w:pStyle w:val="Compact"/>
        <w:numPr>
          <w:ilvl w:val="0"/>
          <w:numId w:val="1119"/>
        </w:numPr>
      </w:pPr>
      <w:r>
        <w:t xml:space="preserve">Ablation studies.</w:t>
      </w:r>
    </w:p>
    <w:bookmarkEnd w:id="113"/>
    <w:bookmarkStart w:id="114" w:name="part-vi-risk-framework"/>
    <w:p>
      <w:pPr>
        <w:pStyle w:val="Heading2"/>
      </w:pPr>
      <w:r>
        <w:t xml:space="preserve">Part VI — Risk Framework</w:t>
      </w:r>
    </w:p>
    <w:p>
      <w:pPr>
        <w:pStyle w:val="FirstParagraph"/>
      </w:pPr>
      <w:r>
        <w:t xml:space="preserve">Provide:</w:t>
      </w:r>
    </w:p>
    <w:p>
      <w:pPr>
        <w:pStyle w:val="Compact"/>
        <w:numPr>
          <w:ilvl w:val="0"/>
          <w:numId w:val="1120"/>
        </w:numPr>
      </w:pPr>
      <w:r>
        <w:t xml:space="preserve">Position limits.</w:t>
      </w:r>
    </w:p>
    <w:p>
      <w:pPr>
        <w:pStyle w:val="Compact"/>
        <w:numPr>
          <w:ilvl w:val="0"/>
          <w:numId w:val="1120"/>
        </w:numPr>
      </w:pPr>
      <w:r>
        <w:t xml:space="preserve">Drawdown limits.</w:t>
      </w:r>
    </w:p>
    <w:p>
      <w:pPr>
        <w:pStyle w:val="Compact"/>
        <w:numPr>
          <w:ilvl w:val="0"/>
          <w:numId w:val="1120"/>
        </w:numPr>
      </w:pPr>
      <w:r>
        <w:t xml:space="preserve">CVaR limits.</w:t>
      </w:r>
    </w:p>
    <w:p>
      <w:pPr>
        <w:pStyle w:val="Compact"/>
        <w:numPr>
          <w:ilvl w:val="0"/>
          <w:numId w:val="1120"/>
        </w:numPr>
      </w:pPr>
      <w:r>
        <w:t xml:space="preserve">Liquidity limits.</w:t>
      </w:r>
    </w:p>
    <w:p>
      <w:pPr>
        <w:pStyle w:val="Compact"/>
        <w:numPr>
          <w:ilvl w:val="0"/>
          <w:numId w:val="1120"/>
        </w:numPr>
      </w:pPr>
      <w:r>
        <w:t xml:space="preserve">Oracle-risk limits.</w:t>
      </w:r>
    </w:p>
    <w:p>
      <w:pPr>
        <w:pStyle w:val="Compact"/>
        <w:numPr>
          <w:ilvl w:val="0"/>
          <w:numId w:val="1120"/>
        </w:numPr>
      </w:pPr>
      <w:r>
        <w:t xml:space="preserve">Model-risk limits.</w:t>
      </w:r>
    </w:p>
    <w:p>
      <w:pPr>
        <w:pStyle w:val="Compact"/>
        <w:numPr>
          <w:ilvl w:val="0"/>
          <w:numId w:val="1120"/>
        </w:numPr>
      </w:pPr>
      <w:r>
        <w:t xml:space="preserve">Kill-switch conditions.</w:t>
      </w:r>
    </w:p>
    <w:bookmarkEnd w:id="114"/>
    <w:bookmarkStart w:id="115" w:name="part-vii-implementation-plan"/>
    <w:p>
      <w:pPr>
        <w:pStyle w:val="Heading2"/>
      </w:pPr>
      <w:r>
        <w:t xml:space="preserve">Part VII — Implementation Plan</w:t>
      </w:r>
    </w:p>
    <w:p>
      <w:pPr>
        <w:pStyle w:val="FirstParagraph"/>
      </w:pPr>
      <w:r>
        <w:t xml:space="preserve">Provide:</w:t>
      </w:r>
    </w:p>
    <w:p>
      <w:pPr>
        <w:pStyle w:val="Compact"/>
        <w:numPr>
          <w:ilvl w:val="0"/>
          <w:numId w:val="1121"/>
        </w:numPr>
      </w:pPr>
      <w:r>
        <w:t xml:space="preserve">C++ architecture.</w:t>
      </w:r>
    </w:p>
    <w:p>
      <w:pPr>
        <w:pStyle w:val="Compact"/>
        <w:numPr>
          <w:ilvl w:val="0"/>
          <w:numId w:val="1121"/>
        </w:numPr>
      </w:pPr>
      <w:r>
        <w:t xml:space="preserve">Python research stack.</w:t>
      </w:r>
    </w:p>
    <w:p>
      <w:pPr>
        <w:pStyle w:val="Compact"/>
        <w:numPr>
          <w:ilvl w:val="0"/>
          <w:numId w:val="1121"/>
        </w:numPr>
      </w:pPr>
      <w:r>
        <w:t xml:space="preserve">Storage schema.</w:t>
      </w:r>
    </w:p>
    <w:p>
      <w:pPr>
        <w:pStyle w:val="Compact"/>
        <w:numPr>
          <w:ilvl w:val="0"/>
          <w:numId w:val="1121"/>
        </w:numPr>
      </w:pPr>
      <w:r>
        <w:t xml:space="preserve">API integration.</w:t>
      </w:r>
    </w:p>
    <w:p>
      <w:pPr>
        <w:pStyle w:val="Compact"/>
        <w:numPr>
          <w:ilvl w:val="0"/>
          <w:numId w:val="1121"/>
        </w:numPr>
      </w:pPr>
      <w:r>
        <w:t xml:space="preserve">Deployment phases.</w:t>
      </w:r>
    </w:p>
    <w:p>
      <w:pPr>
        <w:pStyle w:val="Compact"/>
        <w:numPr>
          <w:ilvl w:val="0"/>
          <w:numId w:val="1121"/>
        </w:numPr>
      </w:pPr>
      <w:r>
        <w:t xml:space="preserve">Monitoring.</w:t>
      </w:r>
    </w:p>
    <w:p>
      <w:pPr>
        <w:pStyle w:val="Compact"/>
        <w:numPr>
          <w:ilvl w:val="0"/>
          <w:numId w:val="1121"/>
        </w:numPr>
      </w:pPr>
      <w:r>
        <w:t xml:space="preserve">Testing.</w:t>
      </w:r>
    </w:p>
    <w:p>
      <w:pPr>
        <w:pStyle w:val="Compact"/>
        <w:numPr>
          <w:ilvl w:val="0"/>
          <w:numId w:val="1121"/>
        </w:numPr>
      </w:pPr>
      <w:r>
        <w:t xml:space="preserve">Estimated computational requirements.</w:t>
      </w:r>
    </w:p>
    <w:bookmarkEnd w:id="115"/>
    <w:bookmarkStart w:id="116" w:name="part-viii-final-decision-framework"/>
    <w:p>
      <w:pPr>
        <w:pStyle w:val="Heading2"/>
      </w:pPr>
      <w:r>
        <w:t xml:space="preserve">Part VIII — Final Decision Framework</w:t>
      </w:r>
    </w:p>
    <w:p>
      <w:pPr>
        <w:pStyle w:val="FirstParagraph"/>
      </w:pPr>
      <w:r>
        <w:t xml:space="preserve">Conclude with a decision table mapping conditions to actions: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condition</w:t>
            </w:r>
          </w:p>
        </w:tc>
        <w:tc>
          <w:tcPr/>
          <w:p>
            <w:pPr>
              <w:pStyle w:val="Compact"/>
            </w:pPr>
            <w:r>
              <w:t xml:space="preserve">Market condition</w:t>
            </w:r>
          </w:p>
        </w:tc>
        <w:tc>
          <w:tcPr/>
          <w:p>
            <w:pPr>
              <w:pStyle w:val="Compact"/>
            </w:pPr>
            <w:r>
              <w:t xml:space="preserve">Risk condition</w:t>
            </w:r>
          </w:p>
        </w:tc>
        <w:tc>
          <w:tcPr/>
          <w:p>
            <w:pPr>
              <w:pStyle w:val="Compact"/>
            </w:pPr>
            <w:r>
              <w:t xml:space="preserve">Permitted action</w:t>
            </w:r>
          </w:p>
        </w:tc>
      </w:tr>
      <w:tr>
        <w:tc>
          <w:tcPr/>
          <w:p>
            <w:pPr>
              <w:pStyle w:val="Compact"/>
            </w:pPr>
            <w:r>
              <w:t xml:space="preserve">Strong YES edge</w:t>
            </w:r>
          </w:p>
        </w:tc>
        <w:tc>
          <w:tcPr/>
          <w:p>
            <w:pPr>
              <w:pStyle w:val="Compact"/>
            </w:pPr>
            <w:r>
              <w:t xml:space="preserve">Sufficient ask liquidity</w:t>
            </w:r>
          </w:p>
        </w:tc>
        <w:tc>
          <w:tcPr/>
          <w:p>
            <w:pPr>
              <w:pStyle w:val="Compact"/>
            </w:pPr>
            <w:r>
              <w:t xml:space="preserve">Risk within limits</w:t>
            </w:r>
          </w:p>
        </w:tc>
        <w:tc>
          <w:tcPr/>
          <w:p>
            <w:pPr>
              <w:pStyle w:val="Compact"/>
            </w:pPr>
            <w:r>
              <w:t xml:space="preserve">Accumulate YES</w:t>
            </w:r>
          </w:p>
        </w:tc>
      </w:tr>
      <w:tr>
        <w:tc>
          <w:tcPr/>
          <w:p>
            <w:pPr>
              <w:pStyle w:val="Compact"/>
            </w:pPr>
            <w:r>
              <w:t xml:space="preserve">Strong NO edge</w:t>
            </w:r>
          </w:p>
        </w:tc>
        <w:tc>
          <w:tcPr/>
          <w:p>
            <w:pPr>
              <w:pStyle w:val="Compact"/>
            </w:pPr>
            <w:r>
              <w:t xml:space="preserve">Sufficient NO liquidity</w:t>
            </w:r>
          </w:p>
        </w:tc>
        <w:tc>
          <w:tcPr/>
          <w:p>
            <w:pPr>
              <w:pStyle w:val="Compact"/>
            </w:pPr>
            <w:r>
              <w:t xml:space="preserve">Risk within limits</w:t>
            </w:r>
          </w:p>
        </w:tc>
        <w:tc>
          <w:tcPr/>
          <w:p>
            <w:pPr>
              <w:pStyle w:val="Compact"/>
            </w:pPr>
            <w:r>
              <w:t xml:space="preserve">Accumulate NO</w:t>
            </w:r>
          </w:p>
        </w:tc>
      </w:tr>
      <w:tr>
        <w:tc>
          <w:tcPr/>
          <w:p>
            <w:pPr>
              <w:pStyle w:val="Compact"/>
            </w:pPr>
            <w:r>
              <w:t xml:space="preserve">Small edge</w:t>
            </w:r>
          </w:p>
        </w:tc>
        <w:tc>
          <w:tcPr/>
          <w:p>
            <w:pPr>
              <w:pStyle w:val="Compact"/>
            </w:pPr>
            <w:r>
              <w:t xml:space="preserve">Wide spread</w:t>
            </w:r>
          </w:p>
        </w:tc>
        <w:tc>
          <w:tcPr/>
          <w:p>
            <w:pPr>
              <w:pStyle w:val="Compact"/>
            </w:pPr>
            <w:r>
              <w:t xml:space="preserve">Normal risk</w:t>
            </w:r>
          </w:p>
        </w:tc>
        <w:tc>
          <w:tcPr/>
          <w:p>
            <w:pPr>
              <w:pStyle w:val="Compact"/>
            </w:pPr>
            <w:r>
              <w:t xml:space="preserve">Passive order or no trade</w:t>
            </w:r>
          </w:p>
        </w:tc>
      </w:tr>
      <w:tr>
        <w:tc>
          <w:tcPr/>
          <w:p>
            <w:pPr>
              <w:pStyle w:val="Compact"/>
            </w:pPr>
            <w:r>
              <w:t xml:space="preserve">Model disagreement</w:t>
            </w:r>
          </w:p>
        </w:tc>
        <w:tc>
          <w:tcPr/>
          <w:p>
            <w:pPr>
              <w:pStyle w:val="Compact"/>
            </w:pPr>
            <w:r>
              <w:t xml:space="preserve">Any</w:t>
            </w:r>
          </w:p>
        </w:tc>
        <w:tc>
          <w:tcPr/>
          <w:p>
            <w:pPr>
              <w:pStyle w:val="Compact"/>
            </w:pPr>
            <w:r>
              <w:t xml:space="preserve">Normal risk</w:t>
            </w:r>
          </w:p>
        </w:tc>
        <w:tc>
          <w:tcPr/>
          <w:p>
            <w:pPr>
              <w:pStyle w:val="Compact"/>
            </w:pPr>
            <w:r>
              <w:t xml:space="preserve">Reduce sizing</w:t>
            </w:r>
          </w:p>
        </w:tc>
      </w:tr>
      <w:tr>
        <w:tc>
          <w:tcPr/>
          <w:p>
            <w:pPr>
              <w:pStyle w:val="Compact"/>
            </w:pPr>
            <w:r>
              <w:t xml:space="preserve">Data stale</w:t>
            </w:r>
          </w:p>
        </w:tc>
        <w:tc>
          <w:tcPr/>
          <w:p>
            <w:pPr>
              <w:pStyle w:val="Compact"/>
            </w:pPr>
            <w:r>
              <w:t xml:space="preserve">Any</w:t>
            </w:r>
          </w:p>
        </w:tc>
        <w:tc>
          <w:tcPr/>
          <w:p>
            <w:pPr>
              <w:pStyle w:val="Compact"/>
            </w:pPr>
            <w:r>
              <w:t xml:space="preserve">Any</w:t>
            </w:r>
          </w:p>
        </w:tc>
        <w:tc>
          <w:tcPr/>
          <w:p>
            <w:pPr>
              <w:pStyle w:val="Compact"/>
            </w:pPr>
            <w:r>
              <w:t xml:space="preserve">Cancel orders and halt</w:t>
            </w:r>
          </w:p>
        </w:tc>
      </w:tr>
      <w:tr>
        <w:tc>
          <w:tcPr/>
          <w:p>
            <w:pPr>
              <w:pStyle w:val="Compact"/>
            </w:pPr>
            <w:r>
              <w:t xml:space="preserve">Structural break detected</w:t>
            </w:r>
          </w:p>
        </w:tc>
        <w:tc>
          <w:tcPr/>
          <w:p>
            <w:pPr>
              <w:pStyle w:val="Compact"/>
            </w:pPr>
            <w:r>
              <w:t xml:space="preserve">Any</w:t>
            </w:r>
          </w:p>
        </w:tc>
        <w:tc>
          <w:tcPr/>
          <w:p>
            <w:pPr>
              <w:pStyle w:val="Compact"/>
            </w:pPr>
            <w:r>
              <w:t xml:space="preserve">Any</w:t>
            </w:r>
          </w:p>
        </w:tc>
        <w:tc>
          <w:tcPr/>
          <w:p>
            <w:pPr>
              <w:pStyle w:val="Compact"/>
            </w:pPr>
            <w:r>
              <w:t xml:space="preserve">Recalibrate and reduce risk</w:t>
            </w:r>
          </w:p>
        </w:tc>
      </w:tr>
      <w:tr>
        <w:tc>
          <w:tcPr/>
          <w:p>
            <w:pPr>
              <w:pStyle w:val="Compact"/>
            </w:pPr>
            <w:r>
              <w:t xml:space="preserve">Settlement ambiguity</w:t>
            </w:r>
          </w:p>
        </w:tc>
        <w:tc>
          <w:tcPr/>
          <w:p>
            <w:pPr>
              <w:pStyle w:val="Compact"/>
            </w:pPr>
            <w:r>
              <w:t xml:space="preserve">Any</w:t>
            </w:r>
          </w:p>
        </w:tc>
        <w:tc>
          <w:tcPr/>
          <w:p>
            <w:pPr>
              <w:pStyle w:val="Compact"/>
            </w:pPr>
            <w:r>
              <w:t xml:space="preserve">Any</w:t>
            </w:r>
          </w:p>
        </w:tc>
        <w:tc>
          <w:tcPr/>
          <w:p>
            <w:pPr>
              <w:pStyle w:val="Compact"/>
            </w:pPr>
            <w:r>
              <w:t xml:space="preserve">Do not trade</w:t>
            </w:r>
          </w:p>
        </w:tc>
      </w:tr>
    </w:tbl>
    <w:p>
      <w:r>
        <w:pict>
          <v:rect style="width:0;height:1.5pt" o:hralign="center" o:hrstd="t" o:hr="t"/>
        </w:pict>
      </w:r>
    </w:p>
    <w:bookmarkEnd w:id="116"/>
    <w:bookmarkEnd w:id="117"/>
    <w:bookmarkStart w:id="118" w:name="analytical-standards"/>
    <w:p>
      <w:pPr>
        <w:pStyle w:val="Heading1"/>
      </w:pPr>
      <w:r>
        <w:t xml:space="preserve">Analytical Standards</w:t>
      </w:r>
    </w:p>
    <w:p>
      <w:pPr>
        <w:pStyle w:val="FirstParagraph"/>
      </w:pPr>
      <w:r>
        <w:t xml:space="preserve">Throughout the response:</w:t>
      </w:r>
    </w:p>
    <w:p>
      <w:pPr>
        <w:pStyle w:val="Compact"/>
        <w:numPr>
          <w:ilvl w:val="0"/>
          <w:numId w:val="1122"/>
        </w:numPr>
      </w:pPr>
      <w:r>
        <w:t xml:space="preserve">Use standard LaTeX with</w:t>
      </w:r>
      <w:r>
        <w:t xml:space="preserve"> </w:t>
      </w:r>
      <w:r>
        <w:rPr>
          <w:rStyle w:val="VerbatimChar"/>
        </w:rPr>
        <w:t xml:space="preserve">$$</w:t>
      </w:r>
      <w:r>
        <w:t xml:space="preserve"> </w:t>
      </w:r>
      <w:r>
        <w:t xml:space="preserve">for every display equation.</w:t>
      </w:r>
    </w:p>
    <w:p>
      <w:pPr>
        <w:pStyle w:val="Compact"/>
        <w:numPr>
          <w:ilvl w:val="0"/>
          <w:numId w:val="1122"/>
        </w:numPr>
      </w:pPr>
      <w:r>
        <w:t xml:space="preserve">Define every variable before using it.</w:t>
      </w:r>
    </w:p>
    <w:p>
      <w:pPr>
        <w:pStyle w:val="Compact"/>
        <w:numPr>
          <w:ilvl w:val="0"/>
          <w:numId w:val="1122"/>
        </w:numPr>
      </w:pPr>
      <w:r>
        <w:t xml:space="preserve">Show transparent derivations and auditable intermediate calculations.</w:t>
      </w:r>
    </w:p>
    <w:p>
      <w:pPr>
        <w:pStyle w:val="Compact"/>
        <w:numPr>
          <w:ilvl w:val="0"/>
          <w:numId w:val="1122"/>
        </w:numPr>
      </w:pPr>
      <w:r>
        <w:t xml:space="preserve">State assumptions explicitly.</w:t>
      </w:r>
    </w:p>
    <w:p>
      <w:pPr>
        <w:pStyle w:val="Compact"/>
        <w:numPr>
          <w:ilvl w:val="0"/>
          <w:numId w:val="1122"/>
        </w:numPr>
      </w:pPr>
      <w:r>
        <w:t xml:space="preserve">Distinguish prediction accuracy from trading profitability.</w:t>
      </w:r>
    </w:p>
    <w:p>
      <w:pPr>
        <w:pStyle w:val="Compact"/>
        <w:numPr>
          <w:ilvl w:val="0"/>
          <w:numId w:val="1122"/>
        </w:numPr>
      </w:pPr>
      <w:r>
        <w:t xml:space="preserve">Use executable prices, not only midpoint prices.</w:t>
      </w:r>
    </w:p>
    <w:p>
      <w:pPr>
        <w:pStyle w:val="Compact"/>
        <w:numPr>
          <w:ilvl w:val="0"/>
          <w:numId w:val="1122"/>
        </w:numPr>
      </w:pPr>
      <w:r>
        <w:t xml:space="preserve">Include fees, spreads, slippage, latency, and fill uncertainty.</w:t>
      </w:r>
    </w:p>
    <w:p>
      <w:pPr>
        <w:pStyle w:val="Compact"/>
        <w:numPr>
          <w:ilvl w:val="0"/>
          <w:numId w:val="1122"/>
        </w:numPr>
      </w:pPr>
      <w:r>
        <w:t xml:space="preserve">Quantify parameter uncertainty.</w:t>
      </w:r>
    </w:p>
    <w:p>
      <w:pPr>
        <w:pStyle w:val="Compact"/>
        <w:numPr>
          <w:ilvl w:val="0"/>
          <w:numId w:val="1122"/>
        </w:numPr>
      </w:pPr>
      <w:r>
        <w:t xml:space="preserve">Preserve historical data vintages.</w:t>
      </w:r>
    </w:p>
    <w:p>
      <w:pPr>
        <w:pStyle w:val="Compact"/>
        <w:numPr>
          <w:ilvl w:val="0"/>
          <w:numId w:val="1122"/>
        </w:numPr>
      </w:pPr>
      <w:r>
        <w:t xml:space="preserve">Avoid unsupported precision.</w:t>
      </w:r>
    </w:p>
    <w:p>
      <w:pPr>
        <w:pStyle w:val="Compact"/>
        <w:numPr>
          <w:ilvl w:val="0"/>
          <w:numId w:val="1122"/>
        </w:numPr>
      </w:pPr>
      <w:r>
        <w:t xml:space="preserve">Report confidence or credible intervals.</w:t>
      </w:r>
    </w:p>
    <w:p>
      <w:pPr>
        <w:pStyle w:val="Compact"/>
        <w:numPr>
          <w:ilvl w:val="0"/>
          <w:numId w:val="1122"/>
        </w:numPr>
      </w:pPr>
      <w:r>
        <w:t xml:space="preserve">Test all claims out of sample.</w:t>
      </w:r>
    </w:p>
    <w:p>
      <w:pPr>
        <w:pStyle w:val="Compact"/>
        <w:numPr>
          <w:ilvl w:val="0"/>
          <w:numId w:val="1122"/>
        </w:numPr>
      </w:pPr>
      <w:r>
        <w:t xml:space="preserve">Use ablation studies to identify the actual source of alpha.</w:t>
      </w:r>
    </w:p>
    <w:p>
      <w:pPr>
        <w:pStyle w:val="Compact"/>
        <w:numPr>
          <w:ilvl w:val="0"/>
          <w:numId w:val="1122"/>
        </w:numPr>
      </w:pPr>
      <w:r>
        <w:t xml:space="preserve">Discuss capacity and scalability.</w:t>
      </w:r>
    </w:p>
    <w:p>
      <w:pPr>
        <w:pStyle w:val="Compact"/>
        <w:numPr>
          <w:ilvl w:val="0"/>
          <w:numId w:val="1122"/>
        </w:numPr>
      </w:pPr>
      <w:r>
        <w:t xml:space="preserve">Flag insufficient data rather than inventing estimates.</w:t>
      </w:r>
    </w:p>
    <w:p>
      <w:pPr>
        <w:pStyle w:val="Compact"/>
        <w:numPr>
          <w:ilvl w:val="0"/>
          <w:numId w:val="1122"/>
        </w:numPr>
      </w:pPr>
      <w:r>
        <w:t xml:space="preserve">Do not claim guaranteed returns or risk-free arbitrage.</w:t>
      </w:r>
    </w:p>
    <w:p>
      <w:pPr>
        <w:pStyle w:val="Compact"/>
        <w:numPr>
          <w:ilvl w:val="0"/>
          <w:numId w:val="1122"/>
        </w:numPr>
      </w:pPr>
      <w:r>
        <w:t xml:space="preserve">Do not provide generic trading advice.</w:t>
      </w:r>
    </w:p>
    <w:p>
      <w:pPr>
        <w:pStyle w:val="Compact"/>
        <w:numPr>
          <w:ilvl w:val="0"/>
          <w:numId w:val="1122"/>
        </w:numPr>
      </w:pPr>
      <w:r>
        <w:t xml:space="preserve">Do not rely on narrative reasoning when a mathematical test can be constructed.</w:t>
      </w:r>
    </w:p>
    <w:p>
      <w:pPr>
        <w:pStyle w:val="Compact"/>
        <w:numPr>
          <w:ilvl w:val="0"/>
          <w:numId w:val="1122"/>
        </w:numPr>
      </w:pPr>
      <w:r>
        <w:t xml:space="preserve">Do not assume an institutional-flow interpretation without evidence.</w:t>
      </w:r>
    </w:p>
    <w:p>
      <w:pPr>
        <w:pStyle w:val="Compact"/>
        <w:numPr>
          <w:ilvl w:val="0"/>
          <w:numId w:val="1122"/>
        </w:numPr>
      </w:pPr>
      <w:r>
        <w:t xml:space="preserve">Do not assume market-price changes are irrational merely because they differ from the model.</w:t>
      </w:r>
    </w:p>
    <w:p>
      <w:pPr>
        <w:pStyle w:val="Compact"/>
        <w:numPr>
          <w:ilvl w:val="0"/>
          <w:numId w:val="1122"/>
        </w:numPr>
      </w:pPr>
      <w:r>
        <w:t xml:space="preserve">Prioritize official sources and reproducible calculations.</w:t>
      </w:r>
    </w:p>
    <w:p>
      <w:pPr>
        <w:pStyle w:val="FirstParagraph"/>
      </w:pPr>
      <w:r>
        <w:t xml:space="preserve">Where contract-specific information is missing, use clearly labeled placeholders and explain exactly what must be retrieved before a live estimate can be considered valid.</w:t>
      </w:r>
    </w:p>
    <w:p>
      <w:pPr>
        <w:pStyle w:val="BodyText"/>
      </w:pPr>
      <w:r>
        <w:t xml:space="preserve">The final product should be sufficiently detailed for a quantitative-development team to implement, backtest, audit, and operate the system without relying on unstated assumptions.</w:t>
      </w:r>
    </w:p>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2026-07-22T22:24:41Z</dcterms:created>
  <dcterms:modified xsi:type="dcterms:W3CDTF">2026-07-22T22:24:41Z</dcterms:modified>
</cp:coreProperties>
</file>

<file path=docProps/custom.xml><?xml version="1.0" encoding="utf-8"?>
<Properties xmlns="http://schemas.openxmlformats.org/officeDocument/2006/custom-properties" xmlns:vt="http://schemas.openxmlformats.org/officeDocument/2006/docPropsVTypes"/>
</file>