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start w:val="none"/>
          <w:bottom w:val="none"/>
          <w:end w:val="none"/>
          <w:insideH w:val="single" w:color="auto" w:sz="4"/>
          <w:insideV w:val="single" w:color="auto" w:sz="4"/>
        </w:tblBorders>
      </w:tblPr>
      <w:tblGrid>
        <w:gridCol w:w="12240"/>
      </w:tblGrid>
      <w:tr>
        <w:tc>
          <w:tcPr>
            <w:tcW w:type="dxa" w:w="12240"/>
            <w:shd w:fill="0E1526" w:val="clear"/>
            <w:tcMar>
              <w:top w:type="dxa" w:w="1800"/>
              <w:left w:type="dxa" w:w="1080"/>
              <w:bottom w:type="dxa" w:w="1440"/>
              <w:right w:type="dxa" w:w="1080"/>
            </w:tcMar>
          </w:tcPr>
          <w:p>
            <w:pPr>
              <w:spacing w:after="240" w:before="0"/>
            </w:pPr>
            <w:r>
              <w:drawing>
                <wp:inline distT="0" distB="0" distL="0" distR="0">
                  <wp:extent cx="2095500" cy="466725"/>
                  <wp:effectExtent t="0" r="0" b="0" l="0"/>
                  <wp:docPr id="1" name="VeratoriLogo" descr="Veratori logo" title="Verat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466725"/>
                          </a:xfrm>
                          <a:prstGeom prst="rect">
                            <a:avLst/>
                          </a:prstGeom>
                        </pic:spPr>
                      </pic:pic>
                    </a:graphicData>
                  </a:graphic>
                </wp:inline>
              </w:drawing>
            </w:r>
          </w:p>
          <w:p>
            <w:pPr>
              <w:pBdr>
                <w:bottom w:val="single" w:color="2640CE" w:sz="4" w:space="1"/>
              </w:pBdr>
              <w:spacing w:after="240" w:before="0"/>
            </w:pPr>
          </w:p>
          <w:p>
            <w:pPr>
              <w:spacing w:after="40" w:before="0"/>
            </w:pPr>
            <w:r>
              <w:rPr>
                <w:rFonts w:ascii="Garamond" w:cs="Garamond" w:eastAsia="Garamond" w:hAnsi="Garamond"/>
                <w:b/>
                <w:bCs/>
                <w:color w:val="FFFFFF"/>
                <w:sz w:val="96"/>
                <w:szCs w:val="96"/>
              </w:rPr>
              <w:t xml:space="preserve">Tori Insights</w:t>
            </w:r>
          </w:p>
          <w:p>
            <w:pPr>
              <w:spacing w:after="0" w:before="0"/>
            </w:pPr>
            <w:r>
              <w:rPr>
                <w:rFonts w:ascii="Garamond" w:cs="Garamond" w:eastAsia="Garamond" w:hAnsi="Garamond"/>
                <w:color w:val="ABCEE1"/>
                <w:sz w:val="30"/>
                <w:szCs w:val="30"/>
              </w:rPr>
              <w:t xml:space="preserve">Weekly Summary Report</w:t>
            </w:r>
          </w:p>
        </w:tc>
      </w:tr>
    </w:tbl>
    <w:tbl>
      <w:tblPr>
        <w:tblW w:type="dxa" w:w="12240"/>
        <w:tblBorders>
          <w:top w:val="none"/>
          <w:start w:val="none"/>
          <w:bottom w:val="none"/>
          <w:end w:val="none"/>
          <w:insideH w:val="single" w:color="auto" w:sz="4"/>
          <w:insideV w:val="single" w:color="auto" w:sz="4"/>
        </w:tblBorders>
      </w:tblPr>
      <w:tblGrid>
        <w:gridCol w:w="12240"/>
      </w:tblGrid>
      <w:tr>
        <w:tc>
          <w:tcPr>
            <w:tcW w:type="dxa" w:w="12240"/>
            <w:shd w:fill="2640CE" w:val="clear"/>
            <w:tcMar>
              <w:top w:type="dxa" w:w="36"/>
              <w:left w:type="dxa" w:w="0"/>
              <w:bottom w:type="dxa" w:w="36"/>
              <w:right w:type="dxa" w:w="0"/>
            </w:tcMar>
          </w:tcPr>
          <w:p/>
        </w:tc>
      </w:tr>
    </w:tbl>
    <w:p>
      <w:pPr>
        <w:spacing w:after="0" w:before="520"/>
      </w:pPr>
    </w:p>
    <w:tbl>
      <w:tblPr>
        <w:tblW w:type="dxa" w:w="10080"/>
        <w:tblInd w:type="dxa" w:w="1080"/>
        <w:tblBorders>
          <w:top w:val="none"/>
          <w:start w:val="none"/>
          <w:bottom w:val="none"/>
          <w:end w:val="none"/>
          <w:insideH w:val="single" w:color="auto" w:sz="4"/>
          <w:insideV w:val="single" w:color="auto" w:sz="4"/>
        </w:tblBorders>
      </w:tblPr>
      <w:tblGrid>
        <w:gridCol w:w="3360"/>
        <w:gridCol w:w="3360"/>
        <w:gridCol w:w="3360"/>
      </w:tblGrid>
      <w:tr>
        <w:tc>
          <w:tcPr>
            <w:tcW w:type="dxa" w:w="3360"/>
            <w:tcMar>
              <w:top w:type="dxa" w:w="0"/>
              <w:left w:type="dxa" w:w="160"/>
              <w:bottom w:type="dxa" w:w="0"/>
              <w:right w:type="dxa" w:w="160"/>
            </w:tcMar>
          </w:tcPr>
          <w:p>
            <w:pPr>
              <w:spacing w:after="36" w:before="0"/>
            </w:pPr>
            <w:r>
              <w:rPr>
                <w:rFonts w:ascii="Arial" w:cs="Arial" w:eastAsia="Arial" w:hAnsi="Arial"/>
                <w:b/>
                <w:bCs/>
                <w:color w:val="2640CE"/>
                <w:spacing w:val="80"/>
                <w:sz w:val="13"/>
                <w:szCs w:val="13"/>
              </w:rPr>
              <w:t xml:space="preserve">REPORTING PERIOD</w:t>
            </w:r>
          </w:p>
          <w:p>
            <w:pPr>
              <w:spacing w:after="0" w:before="0"/>
            </w:pPr>
            <w:r>
              <w:rPr>
                <w:rFonts w:ascii="Garamond" w:cs="Garamond" w:eastAsia="Garamond" w:hAnsi="Garamond"/>
                <w:i/>
                <w:iCs/>
                <w:color w:val="0E1526"/>
                <w:sz w:val="18"/>
                <w:szCs w:val="18"/>
              </w:rPr>
              <w:t xml:space="preserve">[Week of: DATE — DATE]</w:t>
            </w:r>
          </w:p>
        </w:tc>
        <w:tc>
          <w:tcPr>
            <w:tcW w:type="dxa" w:w="3360"/>
            <w:tcMar>
              <w:top w:type="dxa" w:w="0"/>
              <w:left w:type="dxa" w:w="160"/>
              <w:bottom w:type="dxa" w:w="0"/>
              <w:right w:type="dxa" w:w="160"/>
            </w:tcMar>
          </w:tcPr>
          <w:p>
            <w:pPr>
              <w:spacing w:after="36" w:before="0"/>
            </w:pPr>
            <w:r>
              <w:rPr>
                <w:rFonts w:ascii="Arial" w:cs="Arial" w:eastAsia="Arial" w:hAnsi="Arial"/>
                <w:b/>
                <w:bCs/>
                <w:color w:val="2640CE"/>
                <w:spacing w:val="80"/>
                <w:sz w:val="13"/>
                <w:szCs w:val="13"/>
              </w:rPr>
              <w:t xml:space="preserve">GENERATED FOR</w:t>
            </w:r>
          </w:p>
          <w:p>
            <w:pPr>
              <w:spacing w:after="0" w:before="0"/>
            </w:pPr>
            <w:r>
              <w:rPr>
                <w:rFonts w:ascii="Garamond" w:cs="Garamond" w:eastAsia="Garamond" w:hAnsi="Garamond"/>
                <w:i/>
                <w:iCs/>
                <w:color w:val="0E1526"/>
                <w:sz w:val="18"/>
                <w:szCs w:val="18"/>
              </w:rPr>
              <w:t xml:space="preserve">[Business Owner Name]</w:t>
            </w:r>
          </w:p>
        </w:tc>
        <w:tc>
          <w:tcPr>
            <w:tcW w:type="dxa" w:w="3360"/>
            <w:tcMar>
              <w:top w:type="dxa" w:w="0"/>
              <w:left w:type="dxa" w:w="160"/>
              <w:bottom w:type="dxa" w:w="0"/>
              <w:right w:type="dxa" w:w="160"/>
            </w:tcMar>
          </w:tcPr>
          <w:p>
            <w:pPr>
              <w:spacing w:after="36" w:before="0"/>
            </w:pPr>
            <w:r>
              <w:rPr>
                <w:rFonts w:ascii="Arial" w:cs="Arial" w:eastAsia="Arial" w:hAnsi="Arial"/>
                <w:b/>
                <w:bCs/>
                <w:color w:val="2640CE"/>
                <w:spacing w:val="80"/>
                <w:sz w:val="13"/>
                <w:szCs w:val="13"/>
              </w:rPr>
              <w:t xml:space="preserve">CONTACT</w:t>
            </w:r>
          </w:p>
          <w:p>
            <w:pPr>
              <w:spacing w:after="0" w:before="0"/>
            </w:pPr>
            <w:r>
              <w:rPr>
                <w:rFonts w:ascii="Garamond" w:cs="Garamond" w:eastAsia="Garamond" w:hAnsi="Garamond"/>
                <w:i/>
                <w:iCs/>
                <w:color w:val="0E1526"/>
                <w:sz w:val="18"/>
                <w:szCs w:val="18"/>
              </w:rPr>
              <w:t xml:space="preserve">[Email / Phone]</w:t>
            </w:r>
          </w:p>
        </w:tc>
      </w:tr>
    </w:tbl>
    <w:p>
      <w:pPr>
        <w:spacing w:after="0" w:before="560"/>
      </w:pPr>
    </w:p>
    <w:tbl>
      <w:tblPr>
        <w:tblW w:type="dxa" w:w="10080"/>
        <w:tblInd w:type="dxa" w:w="1080"/>
        <w:tblBorders>
          <w:top w:val="none"/>
          <w:start w:val="none"/>
          <w:bottom w:val="none"/>
          <w:end w:val="none"/>
          <w:insideH w:val="single" w:color="auto" w:sz="4"/>
          <w:insideV w:val="single" w:color="auto" w:sz="4"/>
        </w:tblBorders>
      </w:tblPr>
      <w:tblGrid>
        <w:gridCol w:w="10080"/>
      </w:tblGrid>
      <w:tr>
        <w:tc>
          <w:tcPr>
            <w:tcW w:type="dxa" w:w="10080"/>
            <w:shd w:fill="EAF4F9" w:val="clear"/>
            <w:tcMar>
              <w:top w:type="dxa" w:w="160"/>
              <w:left w:type="dxa" w:w="200"/>
              <w:bottom w:type="dxa" w:w="160"/>
              <w:right w:type="dxa" w:w="200"/>
            </w:tcMar>
          </w:tcPr>
          <w:p>
            <w:pPr>
              <w:spacing w:after="60" w:before="0"/>
            </w:pPr>
            <w:r>
              <w:rPr>
                <w:rFonts w:ascii="Arial" w:cs="Arial" w:eastAsia="Arial" w:hAnsi="Arial"/>
                <w:b/>
                <w:bCs/>
                <w:color w:val="2640CE"/>
                <w:sz w:val="16"/>
                <w:szCs w:val="16"/>
              </w:rPr>
              <w:t xml:space="preserve">✦  TORI — DOCUMENT-LEVEL INSTRUCTIONS  (delete in full before delivery)</w:t>
            </w:r>
          </w:p>
          <w:p>
            <w:pPr>
              <w:spacing w:after="0" w:before="0" w:line="260" w:lineRule="auto"/>
            </w:pPr>
            <w:r>
              <w:rPr>
                <w:rFonts w:ascii="Arial" w:cs="Arial" w:eastAsia="Arial" w:hAnsi="Arial"/>
                <w:i/>
                <w:iCs/>
                <w:color w:val="2640CE"/>
                <w:sz w:val="16"/>
                <w:szCs w:val="16"/>
              </w:rPr>
              <w:t xml:space="preserve">Read all instructions before generating content. Replace every italicised placeholder with real Veratori data. Preserve this document's structure, typefaces, and color palette exactly. Final output: 4–6 pages, concise and uncluttered — no dense paragraphs, no raw data inline. All detailed figures belong in the Appendix; body sections reference them (e.g. 'See Appendix A'). Delete every instruction block before delivering to the business owner. No instruction text — or any trace of it — may appear in the final output.</w:t>
            </w:r>
          </w:p>
        </w:tc>
      </w:tr>
    </w:tbl>
    <w:p>
      <w:pPr>
        <w:spacing w:after="0" w:before="160"/>
      </w:pPr>
    </w:p>
    <w:p>
      <w:pPr>
        <w:spacing w:after="0" w:before="0"/>
        <w:jc w:val="center"/>
      </w:pPr>
      <w:r>
        <w:drawing>
          <wp:inline distT="0" distB="0" distL="0" distR="0">
            <wp:extent cx="4000500" cy="1400175"/>
            <wp:effectExtent t="0" r="0" b="0" l="0"/>
            <wp:docPr id="1" name="watermark" descr="Veratori watermark" title="Veratori 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400175"/>
                    </a:xfrm>
                    <a:prstGeom prst="rect">
                      <a:avLst/>
                    </a:prstGeom>
                  </pic:spPr>
                </pic:pic>
              </a:graphicData>
            </a:graphic>
          </wp:inline>
        </w:drawing>
      </w:r>
    </w:p>
    <w:p>
      <w:pPr>
        <w:sectPr>
          <w:pgSz w:w="12240" w:h="15840" w:orient="portrait"/>
          <w:pgMar w:top="0" w:right="0" w:bottom="1080" w:left="0" w:header="708" w:footer="708" w:gutter="0"/>
          <w:pgNumType/>
          <w:docGrid w:linePitch="360"/>
        </w:sectPr>
      </w:pPr>
    </w:p>
    <w:tbl>
      <w:tblPr>
        <w:tblW w:type="dxa" w:w="10080"/>
        <w:tblBorders>
          <w:top w:val="none"/>
          <w:start w:val="none"/>
          <w:bottom w:val="none"/>
          <w:end w:val="none"/>
          <w:insideH w:val="single" w:color="auto" w:sz="4"/>
          <w:insideV w:val="single" w:color="auto" w:sz="4"/>
        </w:tblBorders>
      </w:tblPr>
      <w:tblGrid>
        <w:gridCol w:w="7560"/>
        <w:gridCol w:w="2520"/>
      </w:tblGrid>
      <w:tr>
        <w:tc>
          <w:tcPr>
            <w:tcW w:type="dxa" w:w="7560"/>
            <w:tcMar>
              <w:top w:type="dxa" w:w="0"/>
              <w:left w:type="dxa" w:w="0"/>
              <w:bottom w:type="dxa" w:w="0"/>
              <w:right w:type="dxa" w:w="360"/>
            </w:tcMar>
          </w:tcPr>
          <w:p>
            <w:pPr>
              <w:spacing w:after="40" w:before="320"/>
            </w:pPr>
            <w:r>
              <w:rPr>
                <w:rFonts w:ascii="Arial" w:cs="Arial" w:eastAsia="Arial" w:hAnsi="Arial"/>
                <w:b/>
                <w:bCs/>
                <w:color w:val="5F974F"/>
                <w:spacing w:val="160"/>
                <w:sz w:val="14"/>
                <w:szCs w:val="14"/>
              </w:rPr>
              <w:t xml:space="preserve">01</w:t>
            </w:r>
          </w:p>
          <w:p>
            <w:pPr>
              <w:spacing w:after="60" w:before="0"/>
            </w:pPr>
            <w:r>
              <w:rPr>
                <w:rFonts w:ascii="Garamond" w:cs="Garamond" w:eastAsia="Garamond" w:hAnsi="Garamond"/>
                <w:b/>
                <w:bCs/>
                <w:color w:val="0E1526"/>
                <w:sz w:val="40"/>
                <w:szCs w:val="40"/>
              </w:rPr>
              <w:t xml:space="preserve">Weekly Summary</w:t>
            </w:r>
          </w:p>
          <w:p>
            <w:pPr>
              <w:pBdr>
                <w:bottom w:val="single" w:color="2640CE" w:sz="3" w:space="1"/>
              </w:pBdr>
              <w:spacing w:after="140" w:before="0"/>
            </w:pPr>
          </w:p>
          <w:p>
            <w:pPr>
              <w:pBdr>
                <w:top w:val="single" w:color="ABCEE1" w:sz="2" w:space="3"/>
                <w:bottom w:val="single" w:color="ABCEE1" w:sz="2" w:space="3"/>
              </w:pBdr>
              <w:shd w:fill="EAF4F9" w:val="clear"/>
              <w:spacing w:after="100" w:before="100"/>
            </w:pPr>
            <w:r>
              <w:rPr>
                <w:rFonts w:ascii="Arial" w:cs="Arial" w:eastAsia="Arial" w:hAnsi="Arial"/>
                <w:b/>
                <w:bCs/>
                <w:color w:val="2640CE"/>
                <w:sz w:val="16"/>
                <w:szCs w:val="16"/>
              </w:rPr>
              <w:t xml:space="preserve">✦ TORI — </w:t>
            </w:r>
            <w:r>
              <w:rPr>
                <w:rFonts w:ascii="Arial" w:cs="Arial" w:eastAsia="Arial" w:hAnsi="Arial"/>
                <w:i/>
                <w:iCs/>
                <w:color w:val="2640CE"/>
                <w:sz w:val="16"/>
                <w:szCs w:val="16"/>
              </w:rPr>
              <w:t xml:space="preserve">Generate 4–6 bullets covering this week's most important signals. Each bullet: one bolded insight title + one plain explanatory sentence. Required topics: Total Revenue, Top-Selling Items, High-Waste Items. Add extra bullets for any topics the business owner specified at generation time. Keep each bullet to two lines maximum. Reference all figures to the Appendix rather than stating them inline.</w:t>
            </w:r>
          </w:p>
          <w:p>
            <w:pPr>
              <w:spacing w:after="0" w:before="80"/>
            </w:pPr>
          </w:p>
          <w:p>
            <w:pPr>
              <w:pStyle w:val="ListParagraph"/>
              <w:numPr>
                <w:ilvl w:val="0"/>
                <w:numId w:val="2"/>
              </w:numPr>
              <w:spacing w:after="55" w:before="55" w:line="260" w:lineRule="auto"/>
            </w:pPr>
            <w:r>
              <w:rPr>
                <w:rFonts w:ascii="Garamond" w:cs="Garamond" w:eastAsia="Garamond" w:hAnsi="Garamond"/>
                <w:i/>
                <w:iCs/>
                <w:color w:val="1A2030"/>
                <w:sz w:val="19"/>
                <w:szCs w:val="19"/>
              </w:rPr>
              <w:t xml:space="preserve">[Insight title] — One explanatory sentence. See Appendix A.</w:t>
            </w:r>
          </w:p>
          <w:p>
            <w:pPr>
              <w:pStyle w:val="ListParagraph"/>
              <w:numPr>
                <w:ilvl w:val="0"/>
                <w:numId w:val="2"/>
              </w:numPr>
              <w:spacing w:after="55" w:before="55" w:line="260" w:lineRule="auto"/>
            </w:pPr>
            <w:r>
              <w:rPr>
                <w:rFonts w:ascii="Garamond" w:cs="Garamond" w:eastAsia="Garamond" w:hAnsi="Garamond"/>
                <w:i/>
                <w:iCs/>
                <w:color w:val="1A2030"/>
                <w:sz w:val="19"/>
                <w:szCs w:val="19"/>
              </w:rPr>
              <w:t xml:space="preserve">[Insight title] — One explanatory sentence. See Appendix A.</w:t>
            </w:r>
          </w:p>
          <w:p>
            <w:pPr>
              <w:pStyle w:val="ListParagraph"/>
              <w:numPr>
                <w:ilvl w:val="0"/>
                <w:numId w:val="2"/>
              </w:numPr>
              <w:spacing w:after="55" w:before="55" w:line="260" w:lineRule="auto"/>
            </w:pPr>
            <w:r>
              <w:rPr>
                <w:rFonts w:ascii="Garamond" w:cs="Garamond" w:eastAsia="Garamond" w:hAnsi="Garamond"/>
                <w:i/>
                <w:iCs/>
                <w:color w:val="1A2030"/>
                <w:sz w:val="19"/>
                <w:szCs w:val="19"/>
              </w:rPr>
              <w:t xml:space="preserve">[Insight title] — One explanatory sentence. See Appendix A.</w:t>
            </w:r>
          </w:p>
          <w:p>
            <w:pPr>
              <w:pStyle w:val="ListParagraph"/>
              <w:numPr>
                <w:ilvl w:val="0"/>
                <w:numId w:val="2"/>
              </w:numPr>
              <w:spacing w:after="55" w:before="55" w:line="260" w:lineRule="auto"/>
            </w:pPr>
            <w:r>
              <w:rPr>
                <w:rFonts w:ascii="Garamond" w:cs="Garamond" w:eastAsia="Garamond" w:hAnsi="Garamond"/>
                <w:i/>
                <w:iCs/>
                <w:color w:val="1A2030"/>
                <w:sz w:val="19"/>
                <w:szCs w:val="19"/>
              </w:rPr>
              <w:t xml:space="preserve">[Insight title] — One explanatory sentence. See Appendix A.</w:t>
            </w:r>
          </w:p>
          <w:p>
            <w:pPr>
              <w:pStyle w:val="ListParagraph"/>
              <w:numPr>
                <w:ilvl w:val="0"/>
                <w:numId w:val="2"/>
              </w:numPr>
              <w:spacing w:after="55" w:before="55" w:line="260" w:lineRule="auto"/>
            </w:pPr>
            <w:r>
              <w:rPr>
                <w:rFonts w:ascii="Garamond" w:cs="Garamond" w:eastAsia="Garamond" w:hAnsi="Garamond"/>
                <w:i/>
                <w:iCs/>
                <w:color w:val="1A2030"/>
                <w:sz w:val="19"/>
                <w:szCs w:val="19"/>
              </w:rPr>
              <w:t xml:space="preserve">[Add further bullets as data and owner prompts require.]</w:t>
            </w:r>
          </w:p>
          <w:p>
            <w:pPr>
              <w:spacing w:after="0" w:before="60"/>
            </w:pPr>
          </w:p>
          <w:p>
            <w:pPr>
              <w:spacing w:after="0" w:before="0"/>
              <w:jc w:val="center"/>
            </w:pPr>
            <w:r>
              <w:drawing>
                <wp:inline distT="0" distB="0" distL="0" distR="0">
                  <wp:extent cx="4000500" cy="1400175"/>
                  <wp:effectExtent t="0" r="0" b="0" l="0"/>
                  <wp:docPr id="1" name="watermark" descr="Veratori watermark" title="Veratori 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400175"/>
                          </a:xfrm>
                          <a:prstGeom prst="rect">
                            <a:avLst/>
                          </a:prstGeom>
                        </pic:spPr>
                      </pic:pic>
                    </a:graphicData>
                  </a:graphic>
                </wp:inline>
              </w:drawing>
            </w:r>
          </w:p>
        </w:tc>
        <w:tc>
          <w:tcPr>
            <w:tcW w:type="dxa" w:w="2520"/>
            <w:shd w:fill="F5F7F9" w:val="clear"/>
            <w:tcMar>
              <w:top w:type="dxa" w:w="160"/>
              <w:left w:type="dxa" w:w="180"/>
              <w:bottom w:type="dxa" w:w="160"/>
              <w:right w:type="dxa" w:w="140"/>
            </w:tcMar>
          </w:tcPr>
          <w:p>
            <w:pPr>
              <w:spacing w:after="30" w:before="0"/>
            </w:pPr>
            <w:r>
              <w:rPr>
                <w:rFonts w:ascii="Arial" w:cs="Arial" w:eastAsia="Arial" w:hAnsi="Arial"/>
                <w:b/>
                <w:bCs/>
                <w:color w:val="0E1526"/>
                <w:spacing w:val="80"/>
                <w:sz w:val="13"/>
                <w:szCs w:val="13"/>
              </w:rPr>
              <w:t xml:space="preserve">PERIOD</w:t>
            </w:r>
          </w:p>
          <w:p>
            <w:pPr>
              <w:spacing w:after="110" w:before="0"/>
            </w:pPr>
            <w:r>
              <w:rPr>
                <w:rFonts w:ascii="Garamond" w:cs="Garamond" w:eastAsia="Garamond" w:hAnsi="Garamond"/>
                <w:i/>
                <w:iCs/>
                <w:color w:val="6B7A8D"/>
                <w:sz w:val="16"/>
                <w:szCs w:val="16"/>
              </w:rPr>
              <w:t xml:space="preserve">[Week of: DATE]</w:t>
            </w:r>
          </w:p>
          <w:p>
            <w:pPr>
              <w:spacing w:after="30" w:before="0"/>
            </w:pPr>
            <w:r>
              <w:rPr>
                <w:rFonts w:ascii="Arial" w:cs="Arial" w:eastAsia="Arial" w:hAnsi="Arial"/>
                <w:b/>
                <w:bCs/>
                <w:color w:val="0E1526"/>
                <w:spacing w:val="80"/>
                <w:sz w:val="13"/>
                <w:szCs w:val="13"/>
              </w:rPr>
              <w:t xml:space="preserve">LOCATIONS</w:t>
            </w:r>
          </w:p>
          <w:p>
            <w:pPr>
              <w:spacing w:after="110" w:before="0"/>
            </w:pPr>
            <w:r>
              <w:rPr>
                <w:rFonts w:ascii="Garamond" w:cs="Garamond" w:eastAsia="Garamond" w:hAnsi="Garamond"/>
                <w:i/>
                <w:iCs/>
                <w:color w:val="6B7A8D"/>
                <w:sz w:val="16"/>
                <w:szCs w:val="16"/>
              </w:rPr>
              <w:t xml:space="preserve">[# of active locations]</w:t>
            </w:r>
          </w:p>
          <w:p>
            <w:pPr>
              <w:spacing w:after="30" w:before="0"/>
            </w:pPr>
            <w:r>
              <w:rPr>
                <w:rFonts w:ascii="Arial" w:cs="Arial" w:eastAsia="Arial" w:hAnsi="Arial"/>
                <w:b/>
                <w:bCs/>
                <w:color w:val="0E1526"/>
                <w:spacing w:val="80"/>
                <w:sz w:val="13"/>
                <w:szCs w:val="13"/>
              </w:rPr>
              <w:t xml:space="preserve">OWNER</w:t>
            </w:r>
          </w:p>
          <w:p>
            <w:pPr>
              <w:spacing w:after="110" w:before="0"/>
            </w:pPr>
            <w:r>
              <w:rPr>
                <w:rFonts w:ascii="Garamond" w:cs="Garamond" w:eastAsia="Garamond" w:hAnsi="Garamond"/>
                <w:i/>
                <w:iCs/>
                <w:color w:val="6B7A8D"/>
                <w:sz w:val="16"/>
                <w:szCs w:val="16"/>
              </w:rPr>
              <w:t xml:space="preserve">[Name]</w:t>
            </w:r>
          </w:p>
          <w:p>
            <w:pPr>
              <w:spacing w:after="30" w:before="0"/>
            </w:pPr>
            <w:r>
              <w:rPr>
                <w:rFonts w:ascii="Arial" w:cs="Arial" w:eastAsia="Arial" w:hAnsi="Arial"/>
                <w:b/>
                <w:bCs/>
                <w:color w:val="0E1526"/>
                <w:spacing w:val="80"/>
                <w:sz w:val="13"/>
                <w:szCs w:val="13"/>
              </w:rPr>
              <w:t xml:space="preserve">GENERATED</w:t>
            </w:r>
          </w:p>
          <w:p>
            <w:pPr>
              <w:spacing w:after="110" w:before="0"/>
            </w:pPr>
            <w:r>
              <w:rPr>
                <w:rFonts w:ascii="Garamond" w:cs="Garamond" w:eastAsia="Garamond" w:hAnsi="Garamond"/>
                <w:i/>
                <w:iCs/>
                <w:color w:val="6B7A8D"/>
                <w:sz w:val="16"/>
                <w:szCs w:val="16"/>
              </w:rPr>
              <w:t xml:space="preserve">[Date of report]</w:t>
            </w:r>
          </w:p>
        </w:tc>
      </w:tr>
    </w:tbl>
    <w:p>
      <w:pPr>
        <w:spacing w:after="0" w:before="180"/>
      </w:pPr>
    </w:p>
    <w:p>
      <w:pPr>
        <w:pBdr>
          <w:bottom w:val="single" w:color="D0D8DC" w:sz="3" w:space="1"/>
        </w:pBdr>
        <w:spacing w:after="80" w:before="80"/>
      </w:pPr>
    </w:p>
    <w:tbl>
      <w:tblPr>
        <w:tblW w:type="dxa" w:w="10080"/>
        <w:tblBorders>
          <w:top w:val="none"/>
          <w:start w:val="none"/>
          <w:bottom w:val="none"/>
          <w:end w:val="none"/>
          <w:insideH w:val="single" w:color="auto" w:sz="4"/>
          <w:insideV w:val="single" w:color="auto" w:sz="4"/>
        </w:tblBorders>
      </w:tblPr>
      <w:tblGrid>
        <w:gridCol w:w="7560"/>
        <w:gridCol w:w="2520"/>
      </w:tblGrid>
      <w:tr>
        <w:tc>
          <w:tcPr>
            <w:tcW w:type="dxa" w:w="7560"/>
            <w:tcMar>
              <w:top w:type="dxa" w:w="0"/>
              <w:left w:type="dxa" w:w="0"/>
              <w:bottom w:type="dxa" w:w="0"/>
              <w:right w:type="dxa" w:w="360"/>
            </w:tcMar>
          </w:tcPr>
          <w:p>
            <w:pPr>
              <w:spacing w:after="40" w:before="320"/>
            </w:pPr>
            <w:r>
              <w:rPr>
                <w:rFonts w:ascii="Arial" w:cs="Arial" w:eastAsia="Arial" w:hAnsi="Arial"/>
                <w:b/>
                <w:bCs/>
                <w:color w:val="5F974F"/>
                <w:spacing w:val="160"/>
                <w:sz w:val="14"/>
                <w:szCs w:val="14"/>
              </w:rPr>
              <w:t xml:space="preserve">02</w:t>
            </w:r>
          </w:p>
          <w:p>
            <w:pPr>
              <w:spacing w:after="60" w:before="0"/>
            </w:pPr>
            <w:r>
              <w:rPr>
                <w:rFonts w:ascii="Garamond" w:cs="Garamond" w:eastAsia="Garamond" w:hAnsi="Garamond"/>
                <w:b/>
                <w:bCs/>
                <w:color w:val="0E1526"/>
                <w:sz w:val="40"/>
                <w:szCs w:val="40"/>
              </w:rPr>
              <w:t xml:space="preserve">What's Hot &amp; What's Not</w:t>
            </w:r>
          </w:p>
          <w:p>
            <w:pPr>
              <w:pBdr>
                <w:bottom w:val="single" w:color="2640CE" w:sz="3" w:space="1"/>
              </w:pBdr>
              <w:spacing w:after="110" w:before="0"/>
            </w:pPr>
          </w:p>
          <w:p>
            <w:pPr>
              <w:pBdr>
                <w:top w:val="single" w:color="ABCEE1" w:sz="2" w:space="3"/>
                <w:bottom w:val="single" w:color="ABCEE1" w:sz="2" w:space="3"/>
              </w:pBdr>
              <w:shd w:fill="EAF4F9" w:val="clear"/>
              <w:spacing w:after="100" w:before="100"/>
            </w:pPr>
            <w:r>
              <w:rPr>
                <w:rFonts w:ascii="Arial" w:cs="Arial" w:eastAsia="Arial" w:hAnsi="Arial"/>
                <w:b/>
                <w:bCs/>
                <w:color w:val="2640CE"/>
                <w:sz w:val="16"/>
                <w:szCs w:val="16"/>
              </w:rPr>
              <w:t xml:space="preserve">✦ TORI — </w:t>
            </w:r>
            <w:r>
              <w:rPr>
                <w:rFonts w:ascii="Arial" w:cs="Arial" w:eastAsia="Arial" w:hAnsi="Arial"/>
                <w:i/>
                <w:iCs/>
                <w:color w:val="2640CE"/>
                <w:sz w:val="16"/>
                <w:szCs w:val="16"/>
              </w:rPr>
              <w:t xml:space="preserve">Open with one sentence framing what follows — name the time period and the data source (Veratori item recognition). Then populate the two ranked lists. For each item include: name, unit count, and one short insight for the owner. Pull from Veratori data only; no estimates.</w:t>
            </w:r>
          </w:p>
          <w:p>
            <w:pPr>
              <w:spacing w:after="100" w:before="60" w:line="276" w:lineRule="auto"/>
              <w:jc w:val="left"/>
            </w:pPr>
            <w:r>
              <w:rPr>
                <w:rFonts w:ascii="Garamond" w:cs="Garamond" w:eastAsia="Garamond" w:hAnsi="Garamond"/>
                <w:b w:val="false"/>
                <w:bCs w:val="false"/>
                <w:i/>
                <w:iCs/>
                <w:color w:val="6B7A8D"/>
                <w:sz w:val="19"/>
                <w:szCs w:val="19"/>
              </w:rPr>
              <w:t xml:space="preserve">[Introductory sentence — e.g.: 'This week's item performance shows strong demand in starters and above-average waste in two entrée lines.']</w:t>
            </w:r>
          </w:p>
          <w:p>
            <w:pPr>
              <w:spacing w:after="0" w:before="100"/>
            </w:pPr>
          </w:p>
          <w:p>
            <w:pPr>
              <w:spacing w:after="50" w:before="180"/>
            </w:pPr>
            <w:r>
              <w:rPr>
                <w:rFonts w:ascii="Garamond" w:cs="Garamond" w:eastAsia="Garamond" w:hAnsi="Garamond"/>
                <w:b/>
                <w:bCs/>
                <w:color w:val="2640CE"/>
                <w:sz w:val="22"/>
                <w:szCs w:val="22"/>
              </w:rPr>
              <w:t xml:space="preserve">What's Hot</w:t>
            </w:r>
          </w:p>
          <w:p>
            <w:pPr>
              <w:pBdr>
                <w:bottom w:val="single" w:color="2640CE" w:sz="3" w:space="1"/>
              </w:pBdr>
              <w:spacing w:after="70" w:before="0"/>
            </w:pPr>
          </w:p>
          <w:p>
            <w:pPr>
              <w:pBdr>
                <w:top w:val="single" w:color="ABCEE1" w:sz="2" w:space="3"/>
                <w:bottom w:val="single" w:color="ABCEE1" w:sz="2" w:space="3"/>
              </w:pBdr>
              <w:shd w:fill="EAF4F9" w:val="clear"/>
              <w:spacing w:after="100" w:before="100"/>
            </w:pPr>
            <w:r>
              <w:rPr>
                <w:rFonts w:ascii="Arial" w:cs="Arial" w:eastAsia="Arial" w:hAnsi="Arial"/>
                <w:b/>
                <w:bCs/>
                <w:color w:val="2640CE"/>
                <w:sz w:val="16"/>
                <w:szCs w:val="16"/>
              </w:rPr>
              <w:t xml:space="preserve">✦ TORI — </w:t>
            </w:r>
            <w:r>
              <w:rPr>
                <w:rFonts w:ascii="Arial" w:cs="Arial" w:eastAsia="Arial" w:hAnsi="Arial"/>
                <w:i/>
                <w:iCs/>
                <w:color w:val="2640CE"/>
                <w:sz w:val="16"/>
                <w:szCs w:val="16"/>
              </w:rPr>
              <w:t xml:space="preserve">Top 3 items by unit sales this week, ranked highest to lowest.</w:t>
            </w:r>
          </w:p>
          <w:p>
            <w:pPr>
              <w:pStyle w:val="ListParagraph"/>
              <w:numPr>
                <w:ilvl w:val="0"/>
                <w:numId w:val="2"/>
              </w:numPr>
              <w:spacing w:after="55" w:before="55" w:line="260" w:lineRule="auto"/>
            </w:pPr>
            <w:r>
              <w:rPr>
                <w:rFonts w:ascii="Garamond" w:cs="Garamond" w:eastAsia="Garamond" w:hAnsi="Garamond"/>
                <w:i/>
                <w:iCs/>
                <w:color w:val="1A2030"/>
                <w:sz w:val="19"/>
                <w:szCs w:val="19"/>
              </w:rPr>
              <w:t xml:space="preserve">1.  [Item Name]  —  [# units sold].  [One-sentence owner insight.]</w:t>
            </w:r>
          </w:p>
          <w:p>
            <w:pPr>
              <w:pStyle w:val="ListParagraph"/>
              <w:numPr>
                <w:ilvl w:val="0"/>
                <w:numId w:val="2"/>
              </w:numPr>
              <w:spacing w:after="55" w:before="55" w:line="260" w:lineRule="auto"/>
            </w:pPr>
            <w:r>
              <w:rPr>
                <w:rFonts w:ascii="Garamond" w:cs="Garamond" w:eastAsia="Garamond" w:hAnsi="Garamond"/>
                <w:i/>
                <w:iCs/>
                <w:color w:val="1A2030"/>
                <w:sz w:val="19"/>
                <w:szCs w:val="19"/>
              </w:rPr>
              <w:t xml:space="preserve">2.  [Item Name]  —  [# units sold].  [One-sentence owner insight.]</w:t>
            </w:r>
          </w:p>
          <w:p>
            <w:pPr>
              <w:pStyle w:val="ListParagraph"/>
              <w:numPr>
                <w:ilvl w:val="0"/>
                <w:numId w:val="2"/>
              </w:numPr>
              <w:spacing w:after="55" w:before="55" w:line="260" w:lineRule="auto"/>
            </w:pPr>
            <w:r>
              <w:rPr>
                <w:rFonts w:ascii="Garamond" w:cs="Garamond" w:eastAsia="Garamond" w:hAnsi="Garamond"/>
                <w:i/>
                <w:iCs/>
                <w:color w:val="1A2030"/>
                <w:sz w:val="19"/>
                <w:szCs w:val="19"/>
              </w:rPr>
              <w:t xml:space="preserve">3.  [Item Name]  —  [# units sold].  [One-sentence owner insight.]</w:t>
            </w:r>
          </w:p>
          <w:p>
            <w:pPr>
              <w:spacing w:after="0" w:before="110"/>
            </w:pPr>
          </w:p>
          <w:p>
            <w:pPr>
              <w:spacing w:after="50" w:before="180"/>
            </w:pPr>
            <w:r>
              <w:rPr>
                <w:rFonts w:ascii="Garamond" w:cs="Garamond" w:eastAsia="Garamond" w:hAnsi="Garamond"/>
                <w:b/>
                <w:bCs/>
                <w:color w:val="0E1526"/>
                <w:sz w:val="22"/>
                <w:szCs w:val="22"/>
              </w:rPr>
              <w:t xml:space="preserve">What's Not</w:t>
            </w:r>
          </w:p>
          <w:p>
            <w:pPr>
              <w:pBdr>
                <w:bottom w:val="single" w:color="0E1526" w:sz="3" w:space="1"/>
              </w:pBdr>
              <w:spacing w:after="70" w:before="0"/>
            </w:pPr>
          </w:p>
          <w:p>
            <w:pPr>
              <w:pBdr>
                <w:top w:val="single" w:color="ABCEE1" w:sz="2" w:space="3"/>
                <w:bottom w:val="single" w:color="ABCEE1" w:sz="2" w:space="3"/>
              </w:pBdr>
              <w:shd w:fill="EAF4F9" w:val="clear"/>
              <w:spacing w:after="100" w:before="100"/>
            </w:pPr>
            <w:r>
              <w:rPr>
                <w:rFonts w:ascii="Arial" w:cs="Arial" w:eastAsia="Arial" w:hAnsi="Arial"/>
                <w:b/>
                <w:bCs/>
                <w:color w:val="2640CE"/>
                <w:sz w:val="16"/>
                <w:szCs w:val="16"/>
              </w:rPr>
              <w:t xml:space="preserve">✦ TORI — </w:t>
            </w:r>
            <w:r>
              <w:rPr>
                <w:rFonts w:ascii="Arial" w:cs="Arial" w:eastAsia="Arial" w:hAnsi="Arial"/>
                <w:i/>
                <w:iCs/>
                <w:color w:val="2640CE"/>
                <w:sz w:val="16"/>
                <w:szCs w:val="16"/>
              </w:rPr>
              <w:t xml:space="preserve">Top 3 highest-waste items this week by end-of-night discard count, ranked most-wasted first.</w:t>
            </w:r>
          </w:p>
          <w:p>
            <w:pPr>
              <w:pStyle w:val="ListParagraph"/>
              <w:numPr>
                <w:ilvl w:val="0"/>
                <w:numId w:val="2"/>
              </w:numPr>
              <w:spacing w:after="55" w:before="55" w:line="260" w:lineRule="auto"/>
            </w:pPr>
            <w:r>
              <w:rPr>
                <w:rFonts w:ascii="Garamond" w:cs="Garamond" w:eastAsia="Garamond" w:hAnsi="Garamond"/>
                <w:i/>
                <w:iCs/>
                <w:color w:val="1A2030"/>
                <w:sz w:val="19"/>
                <w:szCs w:val="19"/>
              </w:rPr>
              <w:t xml:space="preserve">1.  [Item Name]  —  [# units wasted].  [One-sentence owner insight.]</w:t>
            </w:r>
          </w:p>
          <w:p>
            <w:pPr>
              <w:pStyle w:val="ListParagraph"/>
              <w:numPr>
                <w:ilvl w:val="0"/>
                <w:numId w:val="2"/>
              </w:numPr>
              <w:spacing w:after="55" w:before="55" w:line="260" w:lineRule="auto"/>
            </w:pPr>
            <w:r>
              <w:rPr>
                <w:rFonts w:ascii="Garamond" w:cs="Garamond" w:eastAsia="Garamond" w:hAnsi="Garamond"/>
                <w:i/>
                <w:iCs/>
                <w:color w:val="1A2030"/>
                <w:sz w:val="19"/>
                <w:szCs w:val="19"/>
              </w:rPr>
              <w:t xml:space="preserve">2.  [Item Name]  —  [# units wasted].  [One-sentence owner insight.]</w:t>
            </w:r>
          </w:p>
          <w:p>
            <w:pPr>
              <w:pStyle w:val="ListParagraph"/>
              <w:numPr>
                <w:ilvl w:val="0"/>
                <w:numId w:val="2"/>
              </w:numPr>
              <w:spacing w:after="55" w:before="55" w:line="260" w:lineRule="auto"/>
            </w:pPr>
            <w:r>
              <w:rPr>
                <w:rFonts w:ascii="Garamond" w:cs="Garamond" w:eastAsia="Garamond" w:hAnsi="Garamond"/>
                <w:i/>
                <w:iCs/>
                <w:color w:val="1A2030"/>
                <w:sz w:val="19"/>
                <w:szCs w:val="19"/>
              </w:rPr>
              <w:t xml:space="preserve">3.  [Item Name]  —  [# units wasted].  [One-sentence owner insight.]</w:t>
            </w:r>
          </w:p>
        </w:tc>
        <w:tc>
          <w:tcPr>
            <w:tcW w:type="dxa" w:w="2520"/>
            <w:shd w:fill="F5F7F9" w:val="clear"/>
            <w:tcMar>
              <w:top w:type="dxa" w:w="160"/>
              <w:left w:type="dxa" w:w="180"/>
              <w:bottom w:type="dxa" w:w="160"/>
              <w:right w:type="dxa" w:w="140"/>
            </w:tcMar>
          </w:tcPr>
          <w:p>
            <w:pPr>
              <w:spacing w:after="30" w:before="0"/>
            </w:pPr>
            <w:r>
              <w:rPr>
                <w:rFonts w:ascii="Arial" w:cs="Arial" w:eastAsia="Arial" w:hAnsi="Arial"/>
                <w:b/>
                <w:bCs/>
                <w:color w:val="0E1526"/>
                <w:spacing w:val="80"/>
                <w:sz w:val="13"/>
                <w:szCs w:val="13"/>
              </w:rPr>
              <w:t xml:space="preserve">DATA SOURCE</w:t>
            </w:r>
          </w:p>
          <w:p>
            <w:pPr>
              <w:spacing w:after="110" w:before="0"/>
            </w:pPr>
            <w:r>
              <w:rPr>
                <w:rFonts w:ascii="Garamond" w:cs="Garamond" w:eastAsia="Garamond" w:hAnsi="Garamond"/>
                <w:i/>
                <w:iCs/>
                <w:color w:val="6B7A8D"/>
                <w:sz w:val="16"/>
                <w:szCs w:val="16"/>
              </w:rPr>
              <w:t xml:space="preserve">Veratori item recognition — [Location(s)]</w:t>
            </w:r>
          </w:p>
          <w:p>
            <w:pPr>
              <w:spacing w:after="0" w:before="200"/>
            </w:pPr>
          </w:p>
          <w:p>
            <w:pPr>
              <w:spacing w:after="30" w:before="0"/>
            </w:pPr>
            <w:r>
              <w:rPr>
                <w:rFonts w:ascii="Arial" w:cs="Arial" w:eastAsia="Arial" w:hAnsi="Arial"/>
                <w:b/>
                <w:bCs/>
                <w:color w:val="0E1526"/>
                <w:spacing w:val="80"/>
                <w:sz w:val="13"/>
                <w:szCs w:val="13"/>
              </w:rPr>
              <w:t xml:space="preserve">NOTE</w:t>
            </w:r>
          </w:p>
          <w:p>
            <w:pPr>
              <w:spacing w:after="110" w:before="0"/>
            </w:pPr>
            <w:r>
              <w:rPr>
                <w:rFonts w:ascii="Garamond" w:cs="Garamond" w:eastAsia="Garamond" w:hAnsi="Garamond"/>
                <w:i/>
                <w:iCs/>
                <w:color w:val="6B7A8D"/>
                <w:sz w:val="16"/>
                <w:szCs w:val="16"/>
              </w:rPr>
              <w:t xml:space="preserve">Rankings reflect unit counts. Revenue comparison in Appendix B.</w:t>
            </w:r>
          </w:p>
        </w:tc>
      </w:tr>
    </w:tbl>
    <w:p>
      <w:pPr>
        <w:spacing w:after="0" w:before="180"/>
      </w:pPr>
    </w:p>
    <w:p>
      <w:pPr>
        <w:pBdr>
          <w:bottom w:val="single" w:color="D0D8DC" w:sz="3" w:space="1"/>
        </w:pBdr>
        <w:spacing w:after="80" w:before="80"/>
      </w:pPr>
    </w:p>
    <w:tbl>
      <w:tblPr>
        <w:tblW w:type="dxa" w:w="10080"/>
        <w:tblBorders>
          <w:top w:val="none"/>
          <w:start w:val="none"/>
          <w:bottom w:val="none"/>
          <w:end w:val="none"/>
          <w:insideH w:val="single" w:color="auto" w:sz="4"/>
          <w:insideV w:val="single" w:color="auto" w:sz="4"/>
        </w:tblBorders>
      </w:tblPr>
      <w:tblGrid>
        <w:gridCol w:w="7560"/>
        <w:gridCol w:w="2520"/>
      </w:tblGrid>
      <w:tr>
        <w:tc>
          <w:tcPr>
            <w:tcW w:type="dxa" w:w="7560"/>
            <w:tcMar>
              <w:top w:type="dxa" w:w="0"/>
              <w:left w:type="dxa" w:w="0"/>
              <w:bottom w:type="dxa" w:w="0"/>
              <w:right w:type="dxa" w:w="360"/>
            </w:tcMar>
          </w:tcPr>
          <w:p>
            <w:pPr>
              <w:spacing w:after="40" w:before="320"/>
            </w:pPr>
            <w:r>
              <w:rPr>
                <w:rFonts w:ascii="Arial" w:cs="Arial" w:eastAsia="Arial" w:hAnsi="Arial"/>
                <w:b/>
                <w:bCs/>
                <w:color w:val="5F974F"/>
                <w:spacing w:val="160"/>
                <w:sz w:val="14"/>
                <w:szCs w:val="14"/>
              </w:rPr>
              <w:t xml:space="preserve">03</w:t>
            </w:r>
          </w:p>
          <w:p>
            <w:pPr>
              <w:spacing w:after="60" w:before="0"/>
            </w:pPr>
            <w:r>
              <w:rPr>
                <w:rFonts w:ascii="Garamond" w:cs="Garamond" w:eastAsia="Garamond" w:hAnsi="Garamond"/>
                <w:b/>
                <w:bCs/>
                <w:color w:val="0E1526"/>
                <w:sz w:val="40"/>
                <w:szCs w:val="40"/>
              </w:rPr>
              <w:t xml:space="preserve">Location Breakdown</w:t>
            </w:r>
          </w:p>
          <w:p>
            <w:pPr>
              <w:pBdr>
                <w:bottom w:val="single" w:color="2640CE" w:sz="3" w:space="1"/>
              </w:pBdr>
              <w:spacing w:after="110" w:before="0"/>
            </w:pPr>
          </w:p>
          <w:p>
            <w:pPr>
              <w:pBdr>
                <w:top w:val="single" w:color="ABCEE1" w:sz="2" w:space="3"/>
                <w:bottom w:val="single" w:color="ABCEE1" w:sz="2" w:space="3"/>
              </w:pBdr>
              <w:shd w:fill="EAF4F9" w:val="clear"/>
              <w:spacing w:after="100" w:before="100"/>
            </w:pPr>
            <w:r>
              <w:rPr>
                <w:rFonts w:ascii="Arial" w:cs="Arial" w:eastAsia="Arial" w:hAnsi="Arial"/>
                <w:b/>
                <w:bCs/>
                <w:color w:val="2640CE"/>
                <w:sz w:val="16"/>
                <w:szCs w:val="16"/>
              </w:rPr>
              <w:t xml:space="preserve">✦ TORI — </w:t>
            </w:r>
            <w:r>
              <w:rPr>
                <w:rFonts w:ascii="Arial" w:cs="Arial" w:eastAsia="Arial" w:hAnsi="Arial"/>
                <w:i/>
                <w:iCs/>
                <w:color w:val="2640CE"/>
                <w:sz w:val="16"/>
                <w:szCs w:val="16"/>
              </w:rPr>
              <w:t xml:space="preserve">Add a sub-section for each active location using the format below. State: (1) top-selling item + unit count, (2) most profitable item + revenue. After all locations, write a Cross-Location Trends note of 2–3 sentences. Close with the Tori prompt line exactly as shown — do not remove or rephrase it.</w:t>
            </w:r>
          </w:p>
          <w:p>
            <w:pPr>
              <w:spacing w:after="50" w:before="180"/>
            </w:pPr>
            <w:r>
              <w:rPr>
                <w:rFonts w:ascii="Garamond" w:cs="Garamond" w:eastAsia="Garamond" w:hAnsi="Garamond"/>
                <w:b/>
                <w:bCs/>
                <w:color w:val="2640CE"/>
                <w:sz w:val="22"/>
                <w:szCs w:val="22"/>
              </w:rPr>
              <w:t xml:space="preserve">[Location Name 1]</w:t>
            </w:r>
          </w:p>
          <w:p>
            <w:pPr>
              <w:spacing w:after="100" w:before="60" w:line="276" w:lineRule="auto"/>
              <w:jc w:val="left"/>
            </w:pPr>
            <w:r>
              <w:rPr>
                <w:rFonts w:ascii="Garamond" w:cs="Garamond" w:eastAsia="Garamond" w:hAnsi="Garamond"/>
                <w:b w:val="false"/>
                <w:bCs w:val="false"/>
                <w:i w:val="false"/>
                <w:iCs w:val="false"/>
                <w:color w:val="1A2030"/>
                <w:sz w:val="19"/>
                <w:szCs w:val="19"/>
              </w:rPr>
              <w:t xml:space="preserve">Top seller:  [Item]  —  [# units].    Most profitable:  [Item]  —  [$X revenue].</w:t>
            </w:r>
          </w:p>
          <w:p>
            <w:pPr>
              <w:spacing w:after="0" w:before="60"/>
            </w:pPr>
          </w:p>
          <w:p>
            <w:pPr>
              <w:spacing w:after="50" w:before="180"/>
            </w:pPr>
            <w:r>
              <w:rPr>
                <w:rFonts w:ascii="Garamond" w:cs="Garamond" w:eastAsia="Garamond" w:hAnsi="Garamond"/>
                <w:b/>
                <w:bCs/>
                <w:color w:val="2640CE"/>
                <w:sz w:val="22"/>
                <w:szCs w:val="22"/>
              </w:rPr>
              <w:t xml:space="preserve">[Location Name 2]</w:t>
            </w:r>
          </w:p>
          <w:p>
            <w:pPr>
              <w:spacing w:after="100" w:before="60" w:line="276" w:lineRule="auto"/>
              <w:jc w:val="left"/>
            </w:pPr>
            <w:r>
              <w:rPr>
                <w:rFonts w:ascii="Garamond" w:cs="Garamond" w:eastAsia="Garamond" w:hAnsi="Garamond"/>
                <w:b w:val="false"/>
                <w:bCs w:val="false"/>
                <w:i w:val="false"/>
                <w:iCs w:val="false"/>
                <w:color w:val="1A2030"/>
                <w:sz w:val="19"/>
                <w:szCs w:val="19"/>
              </w:rPr>
              <w:t xml:space="preserve">Top seller:  [Item]  —  [# units].    Most profitable:  [Item]  —  [$X revenue].</w:t>
            </w:r>
          </w:p>
          <w:p>
            <w:pPr>
              <w:spacing w:after="0" w:before="60"/>
            </w:pPr>
          </w:p>
          <w:p>
            <w:pPr>
              <w:pBdr>
                <w:top w:val="single" w:color="ABCEE1" w:sz="2" w:space="3"/>
                <w:bottom w:val="single" w:color="ABCEE1" w:sz="2" w:space="3"/>
              </w:pBdr>
              <w:shd w:fill="EAF4F9" w:val="clear"/>
              <w:spacing w:after="100" w:before="100"/>
            </w:pPr>
            <w:r>
              <w:rPr>
                <w:rFonts w:ascii="Arial" w:cs="Arial" w:eastAsia="Arial" w:hAnsi="Arial"/>
                <w:b/>
                <w:bCs/>
                <w:color w:val="2640CE"/>
                <w:sz w:val="16"/>
                <w:szCs w:val="16"/>
              </w:rPr>
              <w:t xml:space="preserve">✦ TORI — </w:t>
            </w:r>
            <w:r>
              <w:rPr>
                <w:rFonts w:ascii="Arial" w:cs="Arial" w:eastAsia="Arial" w:hAnsi="Arial"/>
                <w:i/>
                <w:iCs/>
                <w:color w:val="2640CE"/>
                <w:sz w:val="16"/>
                <w:szCs w:val="16"/>
              </w:rPr>
              <w:t xml:space="preserve">Duplicate the location sub-section above for each additional active location.</w:t>
            </w:r>
          </w:p>
          <w:p>
            <w:pPr>
              <w:spacing w:after="0" w:before="110"/>
            </w:pPr>
          </w:p>
          <w:p>
            <w:pPr>
              <w:pBdr>
                <w:top w:val="single" w:color="ABCEE1" w:sz="2" w:space="6"/>
              </w:pBdr>
              <w:spacing w:after="70" w:before="100"/>
            </w:pPr>
            <w:r>
              <w:rPr>
                <w:rFonts w:ascii="Garamond" w:cs="Garamond" w:eastAsia="Garamond" w:hAnsi="Garamond"/>
                <w:b/>
                <w:bCs/>
                <w:color w:val="0E1526"/>
                <w:sz w:val="19"/>
                <w:szCs w:val="19"/>
              </w:rPr>
              <w:t xml:space="preserve">Cross-Location Trends  </w:t>
            </w:r>
            <w:r>
              <w:rPr>
                <w:rFonts w:ascii="Garamond" w:cs="Garamond" w:eastAsia="Garamond" w:hAnsi="Garamond"/>
                <w:i/>
                <w:iCs/>
                <w:color w:val="6B7A8D"/>
                <w:sz w:val="19"/>
                <w:szCs w:val="19"/>
              </w:rPr>
              <w:t xml:space="preserve">[2–3 sentences on shared demand patterns, polarizations, or anomalies observed across locations this week.]</w:t>
            </w:r>
          </w:p>
          <w:p>
            <w:pPr>
              <w:spacing w:after="0" w:before="60"/>
            </w:pPr>
          </w:p>
          <w:p>
            <w:pPr>
              <w:spacing w:after="60" w:before="60"/>
            </w:pPr>
            <w:r>
              <w:rPr>
                <w:rFonts w:ascii="Arial" w:cs="Arial" w:eastAsia="Arial" w:hAnsi="Arial"/>
                <w:i/>
                <w:iCs/>
                <w:color w:val="6B7A8D"/>
                <w:sz w:val="16"/>
                <w:szCs w:val="16"/>
              </w:rPr>
              <w:t xml:space="preserve">Tori can provide a deeper drill-down on any individual location if prompted directly.</w:t>
            </w:r>
          </w:p>
        </w:tc>
        <w:tc>
          <w:tcPr>
            <w:tcW w:type="dxa" w:w="2520"/>
            <w:shd w:fill="F5F7F9" w:val="clear"/>
            <w:tcMar>
              <w:top w:type="dxa" w:w="160"/>
              <w:left w:type="dxa" w:w="180"/>
              <w:bottom w:type="dxa" w:w="160"/>
              <w:right w:type="dxa" w:w="140"/>
            </w:tcMar>
          </w:tcPr>
          <w:p>
            <w:pPr>
              <w:spacing w:after="30" w:before="0"/>
            </w:pPr>
            <w:r>
              <w:rPr>
                <w:rFonts w:ascii="Arial" w:cs="Arial" w:eastAsia="Arial" w:hAnsi="Arial"/>
                <w:b/>
                <w:bCs/>
                <w:color w:val="0E1526"/>
                <w:spacing w:val="80"/>
                <w:sz w:val="13"/>
                <w:szCs w:val="13"/>
              </w:rPr>
              <w:t xml:space="preserve">LOCATIONS</w:t>
            </w:r>
          </w:p>
          <w:p>
            <w:pPr>
              <w:spacing w:after="110" w:before="0"/>
            </w:pPr>
            <w:r>
              <w:rPr>
                <w:rFonts w:ascii="Garamond" w:cs="Garamond" w:eastAsia="Garamond" w:hAnsi="Garamond"/>
                <w:i/>
                <w:iCs/>
                <w:color w:val="6B7A8D"/>
                <w:sz w:val="16"/>
                <w:szCs w:val="16"/>
              </w:rPr>
              <w:t xml:space="preserve">[List active locations]</w:t>
            </w:r>
          </w:p>
          <w:p>
            <w:pPr>
              <w:spacing w:after="0" w:before="200"/>
            </w:pPr>
          </w:p>
          <w:p>
            <w:pPr>
              <w:spacing w:after="30" w:before="0"/>
            </w:pPr>
            <w:r>
              <w:rPr>
                <w:rFonts w:ascii="Arial" w:cs="Arial" w:eastAsia="Arial" w:hAnsi="Arial"/>
                <w:b/>
                <w:bCs/>
                <w:color w:val="0E1526"/>
                <w:spacing w:val="80"/>
                <w:sz w:val="13"/>
                <w:szCs w:val="13"/>
              </w:rPr>
              <w:t xml:space="preserve">COVERAGE</w:t>
            </w:r>
          </w:p>
          <w:p>
            <w:pPr>
              <w:spacing w:after="110" w:before="0"/>
            </w:pPr>
            <w:r>
              <w:rPr>
                <w:rFonts w:ascii="Garamond" w:cs="Garamond" w:eastAsia="Garamond" w:hAnsi="Garamond"/>
                <w:i/>
                <w:iCs/>
                <w:color w:val="6B7A8D"/>
                <w:sz w:val="16"/>
                <w:szCs w:val="16"/>
              </w:rPr>
              <w:t xml:space="preserve">All data reflects the reporting period only. Historical comparisons in Appendix C.</w:t>
            </w:r>
          </w:p>
        </w:tc>
      </w:tr>
    </w:tbl>
    <w:p>
      <w:pPr>
        <w:spacing w:after="0" w:before="180"/>
      </w:pPr>
    </w:p>
    <w:p>
      <w:pPr>
        <w:pBdr>
          <w:bottom w:val="single" w:color="D0D8DC" w:sz="3" w:space="1"/>
        </w:pBdr>
        <w:spacing w:after="80" w:before="80"/>
      </w:pPr>
    </w:p>
    <w:tbl>
      <w:tblPr>
        <w:tblW w:type="dxa" w:w="10080"/>
        <w:tblBorders>
          <w:top w:val="none"/>
          <w:start w:val="none"/>
          <w:bottom w:val="none"/>
          <w:end w:val="none"/>
          <w:insideH w:val="single" w:color="auto" w:sz="4"/>
          <w:insideV w:val="single" w:color="auto" w:sz="4"/>
        </w:tblBorders>
      </w:tblPr>
      <w:tblGrid>
        <w:gridCol w:w="7560"/>
        <w:gridCol w:w="2520"/>
      </w:tblGrid>
      <w:tr>
        <w:tc>
          <w:tcPr>
            <w:tcW w:type="dxa" w:w="7560"/>
            <w:tcMar>
              <w:top w:type="dxa" w:w="0"/>
              <w:left w:type="dxa" w:w="0"/>
              <w:bottom w:type="dxa" w:w="0"/>
              <w:right w:type="dxa" w:w="360"/>
            </w:tcMar>
          </w:tcPr>
          <w:p>
            <w:pPr>
              <w:spacing w:after="40" w:before="320"/>
            </w:pPr>
            <w:r>
              <w:rPr>
                <w:rFonts w:ascii="Arial" w:cs="Arial" w:eastAsia="Arial" w:hAnsi="Arial"/>
                <w:b/>
                <w:bCs/>
                <w:color w:val="5F974F"/>
                <w:spacing w:val="160"/>
                <w:sz w:val="14"/>
                <w:szCs w:val="14"/>
              </w:rPr>
              <w:t xml:space="preserve">04</w:t>
            </w:r>
          </w:p>
          <w:p>
            <w:pPr>
              <w:spacing w:after="60" w:before="0"/>
            </w:pPr>
            <w:r>
              <w:rPr>
                <w:rFonts w:ascii="Garamond" w:cs="Garamond" w:eastAsia="Garamond" w:hAnsi="Garamond"/>
                <w:b/>
                <w:bCs/>
                <w:color w:val="0E1526"/>
                <w:sz w:val="40"/>
                <w:szCs w:val="40"/>
              </w:rPr>
              <w:t xml:space="preserve">Data Visualization</w:t>
            </w:r>
          </w:p>
          <w:p>
            <w:pPr>
              <w:pBdr>
                <w:bottom w:val="single" w:color="2640CE" w:sz="3" w:space="1"/>
              </w:pBdr>
              <w:spacing w:after="110" w:before="0"/>
            </w:pPr>
          </w:p>
          <w:p>
            <w:pPr>
              <w:pBdr>
                <w:top w:val="single" w:color="ABCEE1" w:sz="2" w:space="3"/>
                <w:bottom w:val="single" w:color="ABCEE1" w:sz="2" w:space="3"/>
              </w:pBdr>
              <w:shd w:fill="EAF4F9" w:val="clear"/>
              <w:spacing w:after="100" w:before="100"/>
            </w:pPr>
            <w:r>
              <w:rPr>
                <w:rFonts w:ascii="Arial" w:cs="Arial" w:eastAsia="Arial" w:hAnsi="Arial"/>
                <w:b/>
                <w:bCs/>
                <w:color w:val="2640CE"/>
                <w:sz w:val="16"/>
                <w:szCs w:val="16"/>
              </w:rPr>
              <w:t xml:space="preserve">✦ TORI — </w:t>
            </w:r>
            <w:r>
              <w:rPr>
                <w:rFonts w:ascii="Arial" w:cs="Arial" w:eastAsia="Arial" w:hAnsi="Arial"/>
                <w:i/>
                <w:iCs/>
                <w:color w:val="2640CE"/>
                <w:sz w:val="16"/>
                <w:szCs w:val="16"/>
              </w:rPr>
              <w:t xml:space="preserve">CRITICAL: Every chart must use verified Veratori data for this business only — no estimates in the final output. Required: (1) Pie chart — item-by-item contribution to total weekly sales. (2) Bar chart — inventory purchased vs. units sold per item. Each chart must have a descriptive title, labeled axes, and a one-sentence caption. Optional additional charts at your discretion. If a chart fits better near another section, reposition it.</w:t>
            </w:r>
          </w:p>
          <w:p>
            <w:pPr>
              <w:pBdr>
                <w:top w:val="single" w:color="D0D8DC" w:sz="2" w:space="1"/>
                <w:bottom w:val="single" w:color="D0D8DC" w:sz="2" w:space="1"/>
                <w:left w:val="single" w:color="D0D8DC" w:sz="2" w:space="1"/>
                <w:right w:val="single" w:color="D0D8DC" w:sz="2" w:space="1"/>
              </w:pBdr>
              <w:shd w:fill="F5F7F9" w:val="clear"/>
              <w:spacing w:after="0" w:before="120"/>
              <w:jc w:val="center"/>
            </w:pPr>
            <w:r>
              <w:rPr>
                <w:rFonts w:ascii="Arial" w:cs="Arial" w:eastAsia="Arial" w:hAnsi="Arial"/>
                <w:i/>
                <w:iCs/>
                <w:color w:val="6B7A8D"/>
                <w:sz w:val="18"/>
                <w:szCs w:val="18"/>
              </w:rPr>
              <w:t xml:space="preserve">
Chart 1  —  Sales Contribution by Item  (Pie Chart)
</w:t>
            </w:r>
          </w:p>
          <w:p>
            <w:pPr>
              <w:spacing w:after="80" w:before="40"/>
              <w:jc w:val="center"/>
            </w:pPr>
            <w:r>
              <w:rPr>
                <w:rFonts w:ascii="Arial" w:cs="Arial" w:eastAsia="Arial" w:hAnsi="Arial"/>
                <w:i/>
                <w:iCs/>
                <w:color w:val="6B7A8D"/>
                <w:sz w:val="15"/>
                <w:szCs w:val="15"/>
              </w:rPr>
              <w:t xml:space="preserve">[Caption: describe what this chart shows and its primary takeaway for the owner.]</w:t>
            </w:r>
          </w:p>
          <w:p>
            <w:pPr>
              <w:spacing w:after="0" w:before="110"/>
            </w:pPr>
          </w:p>
          <w:p>
            <w:pPr>
              <w:pBdr>
                <w:top w:val="single" w:color="D0D8DC" w:sz="2" w:space="1"/>
                <w:bottom w:val="single" w:color="D0D8DC" w:sz="2" w:space="1"/>
                <w:left w:val="single" w:color="D0D8DC" w:sz="2" w:space="1"/>
                <w:right w:val="single" w:color="D0D8DC" w:sz="2" w:space="1"/>
              </w:pBdr>
              <w:shd w:fill="F5F7F9" w:val="clear"/>
              <w:spacing w:after="0" w:before="120"/>
              <w:jc w:val="center"/>
            </w:pPr>
            <w:r>
              <w:rPr>
                <w:rFonts w:ascii="Arial" w:cs="Arial" w:eastAsia="Arial" w:hAnsi="Arial"/>
                <w:i/>
                <w:iCs/>
                <w:color w:val="6B7A8D"/>
                <w:sz w:val="18"/>
                <w:szCs w:val="18"/>
              </w:rPr>
              <w:t xml:space="preserve">
Chart 2  —  Inventory Purchased vs. Units Sold  (Bar Chart)
</w:t>
            </w:r>
          </w:p>
          <w:p>
            <w:pPr>
              <w:spacing w:after="80" w:before="40"/>
              <w:jc w:val="center"/>
            </w:pPr>
            <w:r>
              <w:rPr>
                <w:rFonts w:ascii="Arial" w:cs="Arial" w:eastAsia="Arial" w:hAnsi="Arial"/>
                <w:i/>
                <w:iCs/>
                <w:color w:val="6B7A8D"/>
                <w:sz w:val="15"/>
                <w:szCs w:val="15"/>
              </w:rPr>
              <w:t xml:space="preserve">[Caption: describe what this chart shows and its primary takeaway for the owner.]</w:t>
            </w:r>
          </w:p>
        </w:tc>
        <w:tc>
          <w:tcPr>
            <w:tcW w:type="dxa" w:w="2520"/>
            <w:shd w:fill="F5F7F9" w:val="clear"/>
            <w:tcMar>
              <w:top w:type="dxa" w:w="160"/>
              <w:left w:type="dxa" w:w="180"/>
              <w:bottom w:type="dxa" w:w="160"/>
              <w:right w:type="dxa" w:w="140"/>
            </w:tcMar>
          </w:tcPr>
          <w:p>
            <w:pPr>
              <w:spacing w:after="30" w:before="0"/>
            </w:pPr>
            <w:r>
              <w:rPr>
                <w:rFonts w:ascii="Arial" w:cs="Arial" w:eastAsia="Arial" w:hAnsi="Arial"/>
                <w:b/>
                <w:bCs/>
                <w:color w:val="0E1526"/>
                <w:spacing w:val="80"/>
                <w:sz w:val="13"/>
                <w:szCs w:val="13"/>
              </w:rPr>
              <w:t xml:space="preserve">CHART RULES</w:t>
            </w:r>
          </w:p>
          <w:p>
            <w:pPr>
              <w:spacing w:after="110" w:before="0"/>
            </w:pPr>
            <w:r>
              <w:rPr>
                <w:rFonts w:ascii="Garamond" w:cs="Garamond" w:eastAsia="Garamond" w:hAnsi="Garamond"/>
                <w:i/>
                <w:iCs/>
                <w:color w:val="6B7A8D"/>
                <w:sz w:val="16"/>
                <w:szCs w:val="16"/>
              </w:rPr>
              <w:t xml:space="preserve">Veratori data only. Labeled axes. One-sentence caption per chart.</w:t>
            </w:r>
          </w:p>
          <w:p>
            <w:pPr>
              <w:spacing w:after="0" w:before="200"/>
            </w:pPr>
          </w:p>
          <w:p>
            <w:pPr>
              <w:spacing w:after="30" w:before="0"/>
            </w:pPr>
            <w:r>
              <w:rPr>
                <w:rFonts w:ascii="Arial" w:cs="Arial" w:eastAsia="Arial" w:hAnsi="Arial"/>
                <w:b/>
                <w:bCs/>
                <w:color w:val="0E1526"/>
                <w:spacing w:val="80"/>
                <w:sz w:val="13"/>
                <w:szCs w:val="13"/>
              </w:rPr>
              <w:t xml:space="preserve">PLACEMENT</w:t>
            </w:r>
          </w:p>
          <w:p>
            <w:pPr>
              <w:spacing w:after="110" w:before="0"/>
            </w:pPr>
            <w:r>
              <w:rPr>
                <w:rFonts w:ascii="Garamond" w:cs="Garamond" w:eastAsia="Garamond" w:hAnsi="Garamond"/>
                <w:i/>
                <w:iCs/>
                <w:color w:val="6B7A8D"/>
                <w:sz w:val="16"/>
                <w:szCs w:val="16"/>
              </w:rPr>
              <w:t xml:space="preserve">Charts may be moved to adjacent sections if placement adds context.</w:t>
            </w:r>
          </w:p>
        </w:tc>
      </w:tr>
    </w:tbl>
    <w:p>
      <w:pPr>
        <w:spacing w:after="0" w:before="180"/>
      </w:pPr>
    </w:p>
    <w:p>
      <w:pPr>
        <w:pBdr>
          <w:bottom w:val="single" w:color="D0D8DC" w:sz="3" w:space="1"/>
        </w:pBdr>
        <w:spacing w:after="80" w:before="80"/>
      </w:pPr>
    </w:p>
    <w:tbl>
      <w:tblPr>
        <w:tblW w:type="dxa" w:w="10080"/>
        <w:tblBorders>
          <w:top w:val="none"/>
          <w:start w:val="none"/>
          <w:bottom w:val="none"/>
          <w:end w:val="none"/>
          <w:insideH w:val="single" w:color="auto" w:sz="4"/>
          <w:insideV w:val="single" w:color="auto" w:sz="4"/>
        </w:tblBorders>
      </w:tblPr>
      <w:tblGrid>
        <w:gridCol w:w="7560"/>
        <w:gridCol w:w="2520"/>
      </w:tblGrid>
      <w:tr>
        <w:tc>
          <w:tcPr>
            <w:tcW w:type="dxa" w:w="7560"/>
            <w:tcMar>
              <w:top w:type="dxa" w:w="0"/>
              <w:left w:type="dxa" w:w="0"/>
              <w:bottom w:type="dxa" w:w="0"/>
              <w:right w:type="dxa" w:w="360"/>
            </w:tcMar>
          </w:tcPr>
          <w:p>
            <w:pPr>
              <w:spacing w:after="40" w:before="320"/>
            </w:pPr>
            <w:r>
              <w:rPr>
                <w:rFonts w:ascii="Arial" w:cs="Arial" w:eastAsia="Arial" w:hAnsi="Arial"/>
                <w:b/>
                <w:bCs/>
                <w:color w:val="5F974F"/>
                <w:spacing w:val="160"/>
                <w:sz w:val="14"/>
                <w:szCs w:val="14"/>
              </w:rPr>
              <w:t xml:space="preserve">05</w:t>
            </w:r>
          </w:p>
          <w:p>
            <w:pPr>
              <w:spacing w:after="60" w:before="0"/>
            </w:pPr>
            <w:r>
              <w:rPr>
                <w:rFonts w:ascii="Garamond" w:cs="Garamond" w:eastAsia="Garamond" w:hAnsi="Garamond"/>
                <w:b/>
                <w:bCs/>
                <w:color w:val="0E1526"/>
                <w:sz w:val="40"/>
                <w:szCs w:val="40"/>
              </w:rPr>
              <w:t xml:space="preserve">Tori Forecast</w:t>
            </w:r>
          </w:p>
          <w:p>
            <w:pPr>
              <w:pBdr>
                <w:bottom w:val="single" w:color="2640CE" w:sz="3" w:space="1"/>
              </w:pBdr>
              <w:spacing w:after="110" w:before="0"/>
            </w:pPr>
          </w:p>
          <w:p>
            <w:pPr>
              <w:pBdr>
                <w:top w:val="single" w:color="ABCEE1" w:sz="2" w:space="3"/>
                <w:bottom w:val="single" w:color="ABCEE1" w:sz="2" w:space="3"/>
              </w:pBdr>
              <w:shd w:fill="EAF4F9" w:val="clear"/>
              <w:spacing w:after="100" w:before="100"/>
            </w:pPr>
            <w:r>
              <w:rPr>
                <w:rFonts w:ascii="Arial" w:cs="Arial" w:eastAsia="Arial" w:hAnsi="Arial"/>
                <w:b/>
                <w:bCs/>
                <w:color w:val="2640CE"/>
                <w:sz w:val="16"/>
                <w:szCs w:val="16"/>
              </w:rPr>
              <w:t xml:space="preserve">✦ TORI — </w:t>
            </w:r>
            <w:r>
              <w:rPr>
                <w:rFonts w:ascii="Arial" w:cs="Arial" w:eastAsia="Arial" w:hAnsi="Arial"/>
                <w:i/>
                <w:iCs/>
                <w:color w:val="2640CE"/>
                <w:sz w:val="16"/>
                <w:szCs w:val="16"/>
              </w:rPr>
              <w:t xml:space="preserve">Write in the voice of a confident analyst — clear, direct, grounded in data. Every recommendation must be traceable to a historical trend in Veratori data. If data is insufficient, state this explicitly rather than speculating. Include: (1) Recommended orders (BOM) with quantities. (2) Items to reduce or pause. (3) Location-specific priorities.</w:t>
            </w:r>
          </w:p>
          <w:p>
            <w:pPr>
              <w:spacing w:after="100" w:before="60" w:line="276" w:lineRule="auto"/>
              <w:jc w:val="left"/>
            </w:pPr>
            <w:r>
              <w:rPr>
                <w:rFonts w:ascii="Garamond" w:cs="Garamond" w:eastAsia="Garamond" w:hAnsi="Garamond"/>
                <w:b w:val="false"/>
                <w:bCs w:val="false"/>
                <w:i/>
                <w:iCs/>
                <w:color w:val="6B7A8D"/>
                <w:sz w:val="19"/>
                <w:szCs w:val="19"/>
              </w:rPr>
              <w:t xml:space="preserve">[Opening sentence — e.g.: 'Based on this week's performance and Veratori trend data, the following actions are recommended for the week of [DATE RANGE].']</w:t>
            </w:r>
          </w:p>
          <w:p>
            <w:pPr>
              <w:spacing w:after="0" w:before="80"/>
            </w:pPr>
          </w:p>
          <w:p>
            <w:pPr>
              <w:spacing w:after="50" w:before="180"/>
            </w:pPr>
            <w:r>
              <w:rPr>
                <w:rFonts w:ascii="Garamond" w:cs="Garamond" w:eastAsia="Garamond" w:hAnsi="Garamond"/>
                <w:b/>
                <w:bCs/>
                <w:color w:val="2640CE"/>
                <w:sz w:val="22"/>
                <w:szCs w:val="22"/>
              </w:rPr>
              <w:t xml:space="preserve">Recommended Orders</w:t>
            </w:r>
          </w:p>
          <w:p>
            <w:pPr>
              <w:pBdr>
                <w:bottom w:val="single" w:color="2640CE" w:sz="3" w:space="1"/>
              </w:pBdr>
              <w:spacing w:after="60" w:before="0"/>
            </w:pPr>
          </w:p>
          <w:p>
            <w:pPr>
              <w:pStyle w:val="ListParagraph"/>
              <w:numPr>
                <w:ilvl w:val="0"/>
                <w:numId w:val="2"/>
              </w:numPr>
              <w:spacing w:after="55" w:before="55" w:line="260" w:lineRule="auto"/>
            </w:pPr>
            <w:r>
              <w:rPr>
                <w:rFonts w:ascii="Garamond" w:cs="Garamond" w:eastAsia="Garamond" w:hAnsi="Garamond"/>
                <w:i/>
                <w:iCs/>
                <w:color w:val="1A2030"/>
                <w:sz w:val="19"/>
                <w:szCs w:val="19"/>
              </w:rPr>
              <w:t xml:space="preserve">1.  [Item]  —  Order [Qty] units.  Rationale: [one-sentence basis.  See Appendix D.]</w:t>
            </w:r>
          </w:p>
          <w:p>
            <w:pPr>
              <w:pStyle w:val="ListParagraph"/>
              <w:numPr>
                <w:ilvl w:val="0"/>
                <w:numId w:val="2"/>
              </w:numPr>
              <w:spacing w:after="55" w:before="55" w:line="260" w:lineRule="auto"/>
            </w:pPr>
            <w:r>
              <w:rPr>
                <w:rFonts w:ascii="Garamond" w:cs="Garamond" w:eastAsia="Garamond" w:hAnsi="Garamond"/>
                <w:i/>
                <w:iCs/>
                <w:color w:val="1A2030"/>
                <w:sz w:val="19"/>
                <w:szCs w:val="19"/>
              </w:rPr>
              <w:t xml:space="preserve">2.  [Item]  —  Order [Qty] units.  Rationale: [one-sentence basis.  See Appendix D.]</w:t>
            </w:r>
          </w:p>
          <w:p>
            <w:pPr>
              <w:pStyle w:val="ListParagraph"/>
              <w:numPr>
                <w:ilvl w:val="0"/>
                <w:numId w:val="2"/>
              </w:numPr>
              <w:spacing w:after="55" w:before="55" w:line="260" w:lineRule="auto"/>
            </w:pPr>
            <w:r>
              <w:rPr>
                <w:rFonts w:ascii="Garamond" w:cs="Garamond" w:eastAsia="Garamond" w:hAnsi="Garamond"/>
                <w:i/>
                <w:iCs/>
                <w:color w:val="1A2030"/>
                <w:sz w:val="19"/>
                <w:szCs w:val="19"/>
              </w:rPr>
              <w:t xml:space="preserve">[Add further order recommendations as data supports.]</w:t>
            </w:r>
          </w:p>
          <w:p>
            <w:pPr>
              <w:spacing w:after="0" w:before="100"/>
            </w:pPr>
          </w:p>
          <w:p>
            <w:pPr>
              <w:spacing w:after="50" w:before="180"/>
            </w:pPr>
            <w:r>
              <w:rPr>
                <w:rFonts w:ascii="Garamond" w:cs="Garamond" w:eastAsia="Garamond" w:hAnsi="Garamond"/>
                <w:b/>
                <w:bCs/>
                <w:color w:val="0E1526"/>
                <w:sz w:val="22"/>
                <w:szCs w:val="22"/>
              </w:rPr>
              <w:t xml:space="preserve">Items to Reduce or Monitor</w:t>
            </w:r>
          </w:p>
          <w:p>
            <w:pPr>
              <w:pBdr>
                <w:bottom w:val="single" w:color="0E1526" w:sz="3" w:space="1"/>
              </w:pBdr>
              <w:spacing w:after="60" w:before="0"/>
            </w:pPr>
          </w:p>
          <w:p>
            <w:pPr>
              <w:pStyle w:val="ListParagraph"/>
              <w:numPr>
                <w:ilvl w:val="0"/>
                <w:numId w:val="2"/>
              </w:numPr>
              <w:spacing w:after="55" w:before="55" w:line="260" w:lineRule="auto"/>
            </w:pPr>
            <w:r>
              <w:rPr>
                <w:rFonts w:ascii="Garamond" w:cs="Garamond" w:eastAsia="Garamond" w:hAnsi="Garamond"/>
                <w:i/>
                <w:iCs/>
                <w:color w:val="1A2030"/>
                <w:sz w:val="19"/>
                <w:szCs w:val="19"/>
              </w:rPr>
              <w:t xml:space="preserve">[Item]  —  Reduce order.  End-of-night surplus observed [X] of past [Y] weeks.  See Appendix A.</w:t>
            </w:r>
          </w:p>
          <w:p>
            <w:pPr>
              <w:pStyle w:val="ListParagraph"/>
              <w:numPr>
                <w:ilvl w:val="0"/>
                <w:numId w:val="2"/>
              </w:numPr>
              <w:spacing w:after="55" w:before="55" w:line="260" w:lineRule="auto"/>
            </w:pPr>
            <w:r>
              <w:rPr>
                <w:rFonts w:ascii="Garamond" w:cs="Garamond" w:eastAsia="Garamond" w:hAnsi="Garamond"/>
                <w:i/>
                <w:iCs/>
                <w:color w:val="1A2030"/>
                <w:sz w:val="19"/>
                <w:szCs w:val="19"/>
              </w:rPr>
              <w:t xml:space="preserve">[Add further items as waste data supports.]</w:t>
            </w:r>
          </w:p>
          <w:p>
            <w:pPr>
              <w:spacing w:after="0" w:before="100"/>
            </w:pPr>
          </w:p>
          <w:p>
            <w:pPr>
              <w:spacing w:after="50" w:before="180"/>
            </w:pPr>
            <w:r>
              <w:rPr>
                <w:rFonts w:ascii="Garamond" w:cs="Garamond" w:eastAsia="Garamond" w:hAnsi="Garamond"/>
                <w:b/>
                <w:bCs/>
                <w:color w:val="0E1526"/>
                <w:sz w:val="22"/>
                <w:szCs w:val="22"/>
              </w:rPr>
              <w:t xml:space="preserve">Location-Specific Priorities</w:t>
            </w:r>
          </w:p>
          <w:p>
            <w:pPr>
              <w:pBdr>
                <w:bottom w:val="single" w:color="0E1526" w:sz="3" w:space="1"/>
              </w:pBdr>
              <w:spacing w:after="60" w:before="0"/>
            </w:pPr>
          </w:p>
          <w:p>
            <w:pPr>
              <w:spacing w:after="100" w:before="60" w:line="276" w:lineRule="auto"/>
              <w:jc w:val="left"/>
            </w:pPr>
            <w:r>
              <w:rPr>
                <w:rFonts w:ascii="Garamond" w:cs="Garamond" w:eastAsia="Garamond" w:hAnsi="Garamond"/>
                <w:b w:val="false"/>
                <w:bCs w:val="false"/>
                <w:i w:val="false"/>
                <w:iCs w:val="false"/>
                <w:color w:val="1A2030"/>
                <w:sz w:val="19"/>
                <w:szCs w:val="19"/>
              </w:rPr>
              <w:t xml:space="preserve">[Location 1]:  [One-sentence priority or action.]</w:t>
            </w:r>
          </w:p>
          <w:p>
            <w:pPr>
              <w:spacing w:after="100" w:before="60" w:line="276" w:lineRule="auto"/>
              <w:jc w:val="left"/>
            </w:pPr>
            <w:r>
              <w:rPr>
                <w:rFonts w:ascii="Garamond" w:cs="Garamond" w:eastAsia="Garamond" w:hAnsi="Garamond"/>
                <w:b w:val="false"/>
                <w:bCs w:val="false"/>
                <w:i w:val="false"/>
                <w:iCs w:val="false"/>
                <w:color w:val="1A2030"/>
                <w:sz w:val="19"/>
                <w:szCs w:val="19"/>
              </w:rPr>
              <w:t xml:space="preserve">[Location 2]:  [One-sentence priority or action.]</w:t>
            </w:r>
          </w:p>
        </w:tc>
        <w:tc>
          <w:tcPr>
            <w:tcW w:type="dxa" w:w="2520"/>
            <w:shd w:fill="F5F7F9" w:val="clear"/>
            <w:tcMar>
              <w:top w:type="dxa" w:w="160"/>
              <w:left w:type="dxa" w:w="180"/>
              <w:bottom w:type="dxa" w:w="160"/>
              <w:right w:type="dxa" w:w="140"/>
            </w:tcMar>
          </w:tcPr>
          <w:p>
            <w:pPr>
              <w:spacing w:after="30" w:before="0"/>
            </w:pPr>
            <w:r>
              <w:rPr>
                <w:rFonts w:ascii="Arial" w:cs="Arial" w:eastAsia="Arial" w:hAnsi="Arial"/>
                <w:b/>
                <w:bCs/>
                <w:color w:val="0E1526"/>
                <w:spacing w:val="80"/>
                <w:sz w:val="13"/>
                <w:szCs w:val="13"/>
              </w:rPr>
              <w:t xml:space="preserve">BASIS</w:t>
            </w:r>
          </w:p>
          <w:p>
            <w:pPr>
              <w:spacing w:after="110" w:before="0"/>
            </w:pPr>
            <w:r>
              <w:rPr>
                <w:rFonts w:ascii="Garamond" w:cs="Garamond" w:eastAsia="Garamond" w:hAnsi="Garamond"/>
                <w:i/>
                <w:iCs/>
                <w:color w:val="6B7A8D"/>
                <w:sz w:val="16"/>
                <w:szCs w:val="16"/>
              </w:rPr>
              <w:t xml:space="preserve">All forecasts derived from Veratori historical trend data only.</w:t>
            </w:r>
          </w:p>
          <w:p>
            <w:pPr>
              <w:spacing w:after="0" w:before="200"/>
            </w:pPr>
          </w:p>
          <w:p>
            <w:pPr>
              <w:spacing w:after="30" w:before="0"/>
            </w:pPr>
            <w:r>
              <w:rPr>
                <w:rFonts w:ascii="Arial" w:cs="Arial" w:eastAsia="Arial" w:hAnsi="Arial"/>
                <w:b/>
                <w:bCs/>
                <w:color w:val="0E1526"/>
                <w:spacing w:val="80"/>
                <w:sz w:val="13"/>
                <w:szCs w:val="13"/>
              </w:rPr>
              <w:t xml:space="preserve">UNCERTAINTY</w:t>
            </w:r>
          </w:p>
          <w:p>
            <w:pPr>
              <w:spacing w:after="110" w:before="0"/>
            </w:pPr>
            <w:r>
              <w:rPr>
                <w:rFonts w:ascii="Garamond" w:cs="Garamond" w:eastAsia="Garamond" w:hAnsi="Garamond"/>
                <w:i/>
                <w:iCs/>
                <w:color w:val="6B7A8D"/>
                <w:sz w:val="16"/>
                <w:szCs w:val="16"/>
              </w:rPr>
              <w:t xml:space="preserve">Where data is insufficient, Tori will note this explicitly rather than estimate.</w:t>
            </w:r>
          </w:p>
        </w:tc>
      </w:tr>
    </w:tbl>
    <w:p>
      <w:pPr>
        <w:spacing w:after="0" w:before="180"/>
      </w:pPr>
    </w:p>
    <w:p>
      <w:pPr>
        <w:pBdr>
          <w:bottom w:val="single" w:color="D0D8DC" w:sz="3" w:space="1"/>
        </w:pBdr>
        <w:spacing w:after="80" w:before="80"/>
      </w:pPr>
    </w:p>
    <w:p>
      <w:pPr>
        <w:pageBreakBefore/>
        <w:spacing w:after="0" w:before="0"/>
      </w:pPr>
    </w:p>
    <w:p>
      <w:pPr>
        <w:spacing w:after="40" w:before="320"/>
      </w:pPr>
      <w:r>
        <w:rPr>
          <w:rFonts w:ascii="Arial" w:cs="Arial" w:eastAsia="Arial" w:hAnsi="Arial"/>
          <w:b/>
          <w:bCs/>
          <w:color w:val="5F974F"/>
          <w:spacing w:val="160"/>
          <w:sz w:val="14"/>
          <w:szCs w:val="14"/>
        </w:rPr>
        <w:t xml:space="preserve">06</w:t>
      </w:r>
    </w:p>
    <w:p>
      <w:pPr>
        <w:spacing w:after="60" w:before="0"/>
      </w:pPr>
      <w:r>
        <w:rPr>
          <w:rFonts w:ascii="Garamond" w:cs="Garamond" w:eastAsia="Garamond" w:hAnsi="Garamond"/>
          <w:b/>
          <w:bCs/>
          <w:color w:val="0E1526"/>
          <w:sz w:val="40"/>
          <w:szCs w:val="40"/>
        </w:rPr>
        <w:t xml:space="preserve">Tori Data — Appendix</w:t>
      </w:r>
    </w:p>
    <w:p>
      <w:pPr>
        <w:pBdr>
          <w:bottom w:val="single" w:color="2640CE" w:sz="3" w:space="1"/>
        </w:pBdr>
        <w:spacing w:after="80" w:before="0"/>
      </w:pPr>
    </w:p>
    <w:p>
      <w:pPr>
        <w:spacing w:after="100" w:before="60" w:line="276" w:lineRule="auto"/>
        <w:jc w:val="left"/>
      </w:pPr>
      <w:r>
        <w:rPr>
          <w:rFonts w:ascii="Garamond" w:cs="Garamond" w:eastAsia="Garamond" w:hAnsi="Garamond"/>
          <w:b w:val="false"/>
          <w:bCs w:val="false"/>
          <w:i w:val="false"/>
          <w:iCs w:val="false"/>
          <w:color w:val="1A2030"/>
          <w:sz w:val="19"/>
          <w:szCs w:val="19"/>
        </w:rPr>
        <w:t xml:space="preserve">Detailed data tables are housed here. Body sections reference these by label (e.g. 'See Appendix A, Table 1'). Tables are kept clean and readable — no dense number clusters.</w:t>
      </w:r>
    </w:p>
    <w:p>
      <w:pPr>
        <w:spacing w:after="0" w:before="100"/>
      </w:pPr>
    </w:p>
    <w:p>
      <w:pPr>
        <w:pBdr>
          <w:top w:val="single" w:color="ABCEE1" w:sz="2" w:space="3"/>
          <w:bottom w:val="single" w:color="ABCEE1" w:sz="2" w:space="3"/>
        </w:pBdr>
        <w:shd w:fill="EAF4F9" w:val="clear"/>
        <w:spacing w:after="100" w:before="100"/>
      </w:pPr>
      <w:r>
        <w:rPr>
          <w:rFonts w:ascii="Arial" w:cs="Arial" w:eastAsia="Arial" w:hAnsi="Arial"/>
          <w:b/>
          <w:bCs/>
          <w:color w:val="2640CE"/>
          <w:sz w:val="16"/>
          <w:szCs w:val="16"/>
        </w:rPr>
        <w:t xml:space="preserve">✦ TORI — </w:t>
      </w:r>
      <w:r>
        <w:rPr>
          <w:rFonts w:ascii="Arial" w:cs="Arial" w:eastAsia="Arial" w:hAnsi="Arial"/>
          <w:i/>
          <w:iCs/>
          <w:color w:val="2640CE"/>
          <w:sz w:val="16"/>
          <w:szCs w:val="16"/>
        </w:rPr>
        <w:t xml:space="preserve">Generate only the tables supported by actual Veratori data. Suggested tables: Appendix A — Full Item Sales (name, units sold, revenue, units wasted); Appendix B — Revenue by Item; Appendix C — Current week vs. prior week comparison; Appendix D — BOM recommendation basis. Label each table and include a one-line description. Duplicate the table below as needed.</w:t>
      </w:r>
    </w:p>
    <w:p>
      <w:pPr>
        <w:spacing w:after="0" w:before="80"/>
      </w:pPr>
    </w:p>
    <w:p>
      <w:pPr>
        <w:spacing w:after="50" w:before="180"/>
      </w:pPr>
      <w:r>
        <w:rPr>
          <w:rFonts w:ascii="Garamond" w:cs="Garamond" w:eastAsia="Garamond" w:hAnsi="Garamond"/>
          <w:b/>
          <w:bCs/>
          <w:color w:val="0E1526"/>
          <w:sz w:val="22"/>
          <w:szCs w:val="22"/>
        </w:rPr>
        <w:t xml:space="preserve">Appendix A  —  Weekly Item Sales</w:t>
      </w:r>
    </w:p>
    <w:p>
      <w:pPr>
        <w:spacing w:after="100" w:before="60" w:line="276" w:lineRule="auto"/>
        <w:jc w:val="left"/>
      </w:pPr>
      <w:r>
        <w:rPr>
          <w:rFonts w:ascii="Garamond" w:cs="Garamond" w:eastAsia="Garamond" w:hAnsi="Garamond"/>
          <w:b w:val="false"/>
          <w:bCs w:val="false"/>
          <w:i w:val="false"/>
          <w:iCs w:val="false"/>
          <w:color w:val="1A2030"/>
          <w:sz w:val="19"/>
          <w:szCs w:val="19"/>
        </w:rPr>
        <w:t xml:space="preserve">Unit sales, revenue, and waste by menu item for the reporting period.</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1560"/>
        <w:gridCol w:w="1560"/>
        <w:gridCol w:w="1800"/>
      </w:tblGrid>
      <w:tr>
        <w:trPr>
          <w:tblHeader/>
        </w:trPr>
        <w:tc>
          <w:tcPr>
            <w:tcW w:type="dxa" w:w="3600"/>
            <w:shd w:fill="0E1526" w:val="clear"/>
            <w:tcMar>
              <w:top w:type="dxa" w:w="100"/>
              <w:left w:type="dxa" w:w="140"/>
              <w:bottom w:type="dxa" w:w="100"/>
              <w:right w:type="dxa" w:w="140"/>
            </w:tcMar>
          </w:tcPr>
          <w:p>
            <w:r>
              <w:rPr>
                <w:rFonts w:ascii="Arial" w:cs="Arial" w:eastAsia="Arial" w:hAnsi="Arial"/>
                <w:b/>
                <w:bCs/>
                <w:color w:val="FFFFFF"/>
                <w:sz w:val="17"/>
                <w:szCs w:val="17"/>
              </w:rPr>
              <w:t xml:space="preserve">Menu Item</w:t>
            </w:r>
          </w:p>
        </w:tc>
        <w:tc>
          <w:tcPr>
            <w:tcW w:type="dxa" w:w="1560"/>
            <w:shd w:fill="0E1526" w:val="clear"/>
            <w:tcMar>
              <w:top w:type="dxa" w:w="100"/>
              <w:left w:type="dxa" w:w="140"/>
              <w:bottom w:type="dxa" w:w="100"/>
              <w:right w:type="dxa" w:w="140"/>
            </w:tcMar>
          </w:tcPr>
          <w:p>
            <w:r>
              <w:rPr>
                <w:rFonts w:ascii="Arial" w:cs="Arial" w:eastAsia="Arial" w:hAnsi="Arial"/>
                <w:b/>
                <w:bCs/>
                <w:color w:val="FFFFFF"/>
                <w:sz w:val="17"/>
                <w:szCs w:val="17"/>
              </w:rPr>
              <w:t xml:space="preserve">Units Sold</w:t>
            </w:r>
          </w:p>
        </w:tc>
        <w:tc>
          <w:tcPr>
            <w:tcW w:type="dxa" w:w="1560"/>
            <w:shd w:fill="0E1526" w:val="clear"/>
            <w:tcMar>
              <w:top w:type="dxa" w:w="100"/>
              <w:left w:type="dxa" w:w="140"/>
              <w:bottom w:type="dxa" w:w="100"/>
              <w:right w:type="dxa" w:w="140"/>
            </w:tcMar>
          </w:tcPr>
          <w:p>
            <w:r>
              <w:rPr>
                <w:rFonts w:ascii="Arial" w:cs="Arial" w:eastAsia="Arial" w:hAnsi="Arial"/>
                <w:b/>
                <w:bCs/>
                <w:color w:val="FFFFFF"/>
                <w:sz w:val="17"/>
                <w:szCs w:val="17"/>
              </w:rPr>
              <w:t xml:space="preserve">Revenue</w:t>
            </w:r>
          </w:p>
        </w:tc>
        <w:tc>
          <w:tcPr>
            <w:tcW w:type="dxa" w:w="1560"/>
            <w:shd w:fill="0E1526" w:val="clear"/>
            <w:tcMar>
              <w:top w:type="dxa" w:w="100"/>
              <w:left w:type="dxa" w:w="140"/>
              <w:bottom w:type="dxa" w:w="100"/>
              <w:right w:type="dxa" w:w="140"/>
            </w:tcMar>
          </w:tcPr>
          <w:p>
            <w:r>
              <w:rPr>
                <w:rFonts w:ascii="Arial" w:cs="Arial" w:eastAsia="Arial" w:hAnsi="Arial"/>
                <w:b/>
                <w:bCs/>
                <w:color w:val="FFFFFF"/>
                <w:sz w:val="17"/>
                <w:szCs w:val="17"/>
              </w:rPr>
              <w:t xml:space="preserve">Units Wasted</w:t>
            </w:r>
          </w:p>
        </w:tc>
        <w:tc>
          <w:tcPr>
            <w:tcW w:type="dxa" w:w="1800"/>
            <w:shd w:fill="0E1526" w:val="clear"/>
            <w:tcMar>
              <w:top w:type="dxa" w:w="100"/>
              <w:left w:type="dxa" w:w="140"/>
              <w:bottom w:type="dxa" w:w="100"/>
              <w:right w:type="dxa" w:w="140"/>
            </w:tcMar>
          </w:tcPr>
          <w:p>
            <w:r>
              <w:rPr>
                <w:rFonts w:ascii="Arial" w:cs="Arial" w:eastAsia="Arial" w:hAnsi="Arial"/>
                <w:b/>
                <w:bCs/>
                <w:color w:val="FFFFFF"/>
                <w:sz w:val="17"/>
                <w:szCs w:val="17"/>
              </w:rPr>
              <w:t xml:space="preserve">Notes</w:t>
            </w:r>
          </w:p>
        </w:tc>
      </w:tr>
      <w:tr>
        <w:tc>
          <w:tcPr>
            <w:tcW w:type="dxa" w:w="3600"/>
            <w:shd w:fill="F5F7F9" w:val="clear"/>
            <w:tcMar>
              <w:top w:type="dxa" w:w="80"/>
              <w:left w:type="dxa" w:w="140"/>
              <w:bottom w:type="dxa" w:w="80"/>
              <w:right w:type="dxa" w:w="140"/>
            </w:tcMar>
          </w:tcPr>
          <w:p>
            <w:r>
              <w:rPr>
                <w:rFonts w:ascii="Garamond" w:cs="Garamond" w:eastAsia="Garamond" w:hAnsi="Garamond"/>
                <w:i/>
                <w:iCs/>
                <w:color w:val="1A2030"/>
                <w:sz w:val="17"/>
                <w:szCs w:val="17"/>
              </w:rPr>
              <w:t xml:space="preserve">[Item Name]</w:t>
            </w:r>
          </w:p>
        </w:tc>
        <w:tc>
          <w:tcPr>
            <w:tcW w:type="dxa" w:w="1560"/>
            <w:shd w:fill="F5F7F9" w:val="clear"/>
            <w:tcMar>
              <w:top w:type="dxa" w:w="80"/>
              <w:left w:type="dxa" w:w="140"/>
              <w:bottom w:type="dxa" w:w="80"/>
              <w:right w:type="dxa" w:w="140"/>
            </w:tcMar>
          </w:tcPr>
          <w:p>
            <w:r>
              <w:rPr>
                <w:rFonts w:ascii="Garamond" w:cs="Garamond" w:eastAsia="Garamond" w:hAnsi="Garamond"/>
                <w:i/>
                <w:iCs/>
                <w:color w:val="1A2030"/>
                <w:sz w:val="17"/>
                <w:szCs w:val="17"/>
              </w:rPr>
              <w:t xml:space="preserve">[#]</w:t>
            </w:r>
          </w:p>
        </w:tc>
        <w:tc>
          <w:tcPr>
            <w:tcW w:type="dxa" w:w="1560"/>
            <w:shd w:fill="F5F7F9" w:val="clear"/>
            <w:tcMar>
              <w:top w:type="dxa" w:w="80"/>
              <w:left w:type="dxa" w:w="140"/>
              <w:bottom w:type="dxa" w:w="80"/>
              <w:right w:type="dxa" w:w="140"/>
            </w:tcMar>
          </w:tcPr>
          <w:p>
            <w:r>
              <w:rPr>
                <w:rFonts w:ascii="Garamond" w:cs="Garamond" w:eastAsia="Garamond" w:hAnsi="Garamond"/>
                <w:i/>
                <w:iCs/>
                <w:color w:val="1A2030"/>
                <w:sz w:val="17"/>
                <w:szCs w:val="17"/>
              </w:rPr>
              <w:t xml:space="preserve">[$]</w:t>
            </w:r>
          </w:p>
        </w:tc>
        <w:tc>
          <w:tcPr>
            <w:tcW w:type="dxa" w:w="1560"/>
            <w:shd w:fill="F5F7F9" w:val="clear"/>
            <w:tcMar>
              <w:top w:type="dxa" w:w="80"/>
              <w:left w:type="dxa" w:w="140"/>
              <w:bottom w:type="dxa" w:w="80"/>
              <w:right w:type="dxa" w:w="140"/>
            </w:tcMar>
          </w:tcPr>
          <w:p>
            <w:r>
              <w:rPr>
                <w:rFonts w:ascii="Garamond" w:cs="Garamond" w:eastAsia="Garamond" w:hAnsi="Garamond"/>
                <w:i/>
                <w:iCs/>
                <w:color w:val="1A2030"/>
                <w:sz w:val="17"/>
                <w:szCs w:val="17"/>
              </w:rPr>
              <w:t xml:space="preserve">[#]</w:t>
            </w:r>
          </w:p>
        </w:tc>
        <w:tc>
          <w:tcPr>
            <w:tcW w:type="dxa" w:w="1800"/>
            <w:shd w:fill="F5F7F9" w:val="clear"/>
            <w:tcMar>
              <w:top w:type="dxa" w:w="80"/>
              <w:left w:type="dxa" w:w="140"/>
              <w:bottom w:type="dxa" w:w="80"/>
              <w:right w:type="dxa" w:w="140"/>
            </w:tcMar>
          </w:tcPr>
          <w:p>
            <w:r>
              <w:rPr>
                <w:rFonts w:ascii="Garamond" w:cs="Garamond" w:eastAsia="Garamond" w:hAnsi="Garamond"/>
                <w:i/>
                <w:iCs/>
                <w:color w:val="1A2030"/>
                <w:sz w:val="17"/>
                <w:szCs w:val="17"/>
              </w:rPr>
              <w:t xml:space="preserve">[Note]</w:t>
            </w:r>
          </w:p>
        </w:tc>
      </w:tr>
      <w:tr>
        <w:tc>
          <w:tcPr>
            <w:tcW w:type="dxa" w:w="3600"/>
            <w:shd w:fill="FFFFFF" w:val="clear"/>
            <w:tcMar>
              <w:top w:type="dxa" w:w="80"/>
              <w:left w:type="dxa" w:w="140"/>
              <w:bottom w:type="dxa" w:w="80"/>
              <w:right w:type="dxa" w:w="140"/>
            </w:tcMar>
          </w:tcPr>
          <w:p>
            <w:r>
              <w:rPr>
                <w:rFonts w:ascii="Garamond" w:cs="Garamond" w:eastAsia="Garamond" w:hAnsi="Garamond"/>
                <w:i/>
                <w:iCs/>
                <w:color w:val="1A2030"/>
                <w:sz w:val="17"/>
                <w:szCs w:val="17"/>
              </w:rPr>
              <w:t xml:space="preserve">[Item Name]</w:t>
            </w:r>
          </w:p>
        </w:tc>
        <w:tc>
          <w:tcPr>
            <w:tcW w:type="dxa" w:w="1560"/>
            <w:shd w:fill="FFFFFF" w:val="clear"/>
            <w:tcMar>
              <w:top w:type="dxa" w:w="80"/>
              <w:left w:type="dxa" w:w="140"/>
              <w:bottom w:type="dxa" w:w="80"/>
              <w:right w:type="dxa" w:w="140"/>
            </w:tcMar>
          </w:tcPr>
          <w:p>
            <w:r>
              <w:rPr>
                <w:rFonts w:ascii="Garamond" w:cs="Garamond" w:eastAsia="Garamond" w:hAnsi="Garamond"/>
                <w:i/>
                <w:iCs/>
                <w:color w:val="1A2030"/>
                <w:sz w:val="17"/>
                <w:szCs w:val="17"/>
              </w:rPr>
              <w:t xml:space="preserve">[#]</w:t>
            </w:r>
          </w:p>
        </w:tc>
        <w:tc>
          <w:tcPr>
            <w:tcW w:type="dxa" w:w="1560"/>
            <w:shd w:fill="FFFFFF" w:val="clear"/>
            <w:tcMar>
              <w:top w:type="dxa" w:w="80"/>
              <w:left w:type="dxa" w:w="140"/>
              <w:bottom w:type="dxa" w:w="80"/>
              <w:right w:type="dxa" w:w="140"/>
            </w:tcMar>
          </w:tcPr>
          <w:p>
            <w:r>
              <w:rPr>
                <w:rFonts w:ascii="Garamond" w:cs="Garamond" w:eastAsia="Garamond" w:hAnsi="Garamond"/>
                <w:i/>
                <w:iCs/>
                <w:color w:val="1A2030"/>
                <w:sz w:val="17"/>
                <w:szCs w:val="17"/>
              </w:rPr>
              <w:t xml:space="preserve">[$]</w:t>
            </w:r>
          </w:p>
        </w:tc>
        <w:tc>
          <w:tcPr>
            <w:tcW w:type="dxa" w:w="1560"/>
            <w:shd w:fill="FFFFFF" w:val="clear"/>
            <w:tcMar>
              <w:top w:type="dxa" w:w="80"/>
              <w:left w:type="dxa" w:w="140"/>
              <w:bottom w:type="dxa" w:w="80"/>
              <w:right w:type="dxa" w:w="140"/>
            </w:tcMar>
          </w:tcPr>
          <w:p>
            <w:r>
              <w:rPr>
                <w:rFonts w:ascii="Garamond" w:cs="Garamond" w:eastAsia="Garamond" w:hAnsi="Garamond"/>
                <w:i/>
                <w:iCs/>
                <w:color w:val="1A2030"/>
                <w:sz w:val="17"/>
                <w:szCs w:val="17"/>
              </w:rPr>
              <w:t xml:space="preserve">[#]</w:t>
            </w:r>
          </w:p>
        </w:tc>
        <w:tc>
          <w:tcPr>
            <w:tcW w:type="dxa" w:w="1800"/>
            <w:shd w:fill="FFFFFF" w:val="clear"/>
            <w:tcMar>
              <w:top w:type="dxa" w:w="80"/>
              <w:left w:type="dxa" w:w="140"/>
              <w:bottom w:type="dxa" w:w="80"/>
              <w:right w:type="dxa" w:w="140"/>
            </w:tcMar>
          </w:tcPr>
          <w:p>
            <w:r>
              <w:rPr>
                <w:rFonts w:ascii="Garamond" w:cs="Garamond" w:eastAsia="Garamond" w:hAnsi="Garamond"/>
                <w:i/>
                <w:iCs/>
                <w:color w:val="1A2030"/>
                <w:sz w:val="17"/>
                <w:szCs w:val="17"/>
              </w:rPr>
              <w:t xml:space="preserve">[Note]</w:t>
            </w:r>
          </w:p>
        </w:tc>
      </w:tr>
      <w:tr>
        <w:tc>
          <w:tcPr>
            <w:tcW w:type="dxa" w:w="3600"/>
            <w:shd w:fill="F5F7F9" w:val="clear"/>
            <w:tcMar>
              <w:top w:type="dxa" w:w="80"/>
              <w:left w:type="dxa" w:w="140"/>
              <w:bottom w:type="dxa" w:w="80"/>
              <w:right w:type="dxa" w:w="140"/>
            </w:tcMar>
          </w:tcPr>
          <w:p>
            <w:r>
              <w:rPr>
                <w:rFonts w:ascii="Garamond" w:cs="Garamond" w:eastAsia="Garamond" w:hAnsi="Garamond"/>
                <w:i/>
                <w:iCs/>
                <w:color w:val="1A2030"/>
                <w:sz w:val="17"/>
                <w:szCs w:val="17"/>
              </w:rPr>
              <w:t xml:space="preserve">[Item Name]</w:t>
            </w:r>
          </w:p>
        </w:tc>
        <w:tc>
          <w:tcPr>
            <w:tcW w:type="dxa" w:w="1560"/>
            <w:shd w:fill="F5F7F9" w:val="clear"/>
            <w:tcMar>
              <w:top w:type="dxa" w:w="80"/>
              <w:left w:type="dxa" w:w="140"/>
              <w:bottom w:type="dxa" w:w="80"/>
              <w:right w:type="dxa" w:w="140"/>
            </w:tcMar>
          </w:tcPr>
          <w:p>
            <w:r>
              <w:rPr>
                <w:rFonts w:ascii="Garamond" w:cs="Garamond" w:eastAsia="Garamond" w:hAnsi="Garamond"/>
                <w:i/>
                <w:iCs/>
                <w:color w:val="1A2030"/>
                <w:sz w:val="17"/>
                <w:szCs w:val="17"/>
              </w:rPr>
              <w:t xml:space="preserve">[#]</w:t>
            </w:r>
          </w:p>
        </w:tc>
        <w:tc>
          <w:tcPr>
            <w:tcW w:type="dxa" w:w="1560"/>
            <w:shd w:fill="F5F7F9" w:val="clear"/>
            <w:tcMar>
              <w:top w:type="dxa" w:w="80"/>
              <w:left w:type="dxa" w:w="140"/>
              <w:bottom w:type="dxa" w:w="80"/>
              <w:right w:type="dxa" w:w="140"/>
            </w:tcMar>
          </w:tcPr>
          <w:p>
            <w:r>
              <w:rPr>
                <w:rFonts w:ascii="Garamond" w:cs="Garamond" w:eastAsia="Garamond" w:hAnsi="Garamond"/>
                <w:i/>
                <w:iCs/>
                <w:color w:val="1A2030"/>
                <w:sz w:val="17"/>
                <w:szCs w:val="17"/>
              </w:rPr>
              <w:t xml:space="preserve">[$]</w:t>
            </w:r>
          </w:p>
        </w:tc>
        <w:tc>
          <w:tcPr>
            <w:tcW w:type="dxa" w:w="1560"/>
            <w:shd w:fill="F5F7F9" w:val="clear"/>
            <w:tcMar>
              <w:top w:type="dxa" w:w="80"/>
              <w:left w:type="dxa" w:w="140"/>
              <w:bottom w:type="dxa" w:w="80"/>
              <w:right w:type="dxa" w:w="140"/>
            </w:tcMar>
          </w:tcPr>
          <w:p>
            <w:r>
              <w:rPr>
                <w:rFonts w:ascii="Garamond" w:cs="Garamond" w:eastAsia="Garamond" w:hAnsi="Garamond"/>
                <w:i/>
                <w:iCs/>
                <w:color w:val="1A2030"/>
                <w:sz w:val="17"/>
                <w:szCs w:val="17"/>
              </w:rPr>
              <w:t xml:space="preserve">[#]</w:t>
            </w:r>
          </w:p>
        </w:tc>
        <w:tc>
          <w:tcPr>
            <w:tcW w:type="dxa" w:w="1800"/>
            <w:shd w:fill="F5F7F9" w:val="clear"/>
            <w:tcMar>
              <w:top w:type="dxa" w:w="80"/>
              <w:left w:type="dxa" w:w="140"/>
              <w:bottom w:type="dxa" w:w="80"/>
              <w:right w:type="dxa" w:w="140"/>
            </w:tcMar>
          </w:tcPr>
          <w:p>
            <w:r>
              <w:rPr>
                <w:rFonts w:ascii="Garamond" w:cs="Garamond" w:eastAsia="Garamond" w:hAnsi="Garamond"/>
                <w:i/>
                <w:iCs/>
                <w:color w:val="1A2030"/>
                <w:sz w:val="17"/>
                <w:szCs w:val="17"/>
              </w:rPr>
              <w:t xml:space="preserve">[Note]</w:t>
            </w:r>
          </w:p>
        </w:tc>
      </w:tr>
    </w:tbl>
    <w:p>
      <w:pPr>
        <w:spacing w:after="0" w:before="80"/>
      </w:pPr>
    </w:p>
    <w:p>
      <w:pPr>
        <w:pBdr>
          <w:top w:val="single" w:color="ABCEE1" w:sz="2" w:space="3"/>
          <w:bottom w:val="single" w:color="ABCEE1" w:sz="2" w:space="3"/>
        </w:pBdr>
        <w:shd w:fill="EAF4F9" w:val="clear"/>
        <w:spacing w:after="100" w:before="100"/>
      </w:pPr>
      <w:r>
        <w:rPr>
          <w:rFonts w:ascii="Arial" w:cs="Arial" w:eastAsia="Arial" w:hAnsi="Arial"/>
          <w:b/>
          <w:bCs/>
          <w:color w:val="2640CE"/>
          <w:sz w:val="16"/>
          <w:szCs w:val="16"/>
        </w:rPr>
        <w:t xml:space="preserve">✦ TORI — </w:t>
      </w:r>
      <w:r>
        <w:rPr>
          <w:rFonts w:ascii="Arial" w:cs="Arial" w:eastAsia="Arial" w:hAnsi="Arial"/>
          <w:i/>
          <w:iCs/>
          <w:color w:val="2640CE"/>
          <w:sz w:val="16"/>
          <w:szCs w:val="16"/>
        </w:rPr>
        <w:t xml:space="preserve">Duplicate and relabel this table for Appendix B, C, D as needed. Populate with real Veratori data only.</w:t>
      </w:r>
    </w:p>
    <w:p>
      <w:pPr>
        <w:spacing w:after="0" w:before="280"/>
      </w:pPr>
    </w:p>
    <w:p>
      <w:pPr>
        <w:pBdr>
          <w:bottom w:val="single" w:color="0E1526" w:sz="3" w:space="1"/>
        </w:pBdr>
        <w:spacing w:after="100" w:before="0"/>
      </w:pPr>
    </w:p>
    <w:p>
      <w:pPr>
        <w:spacing w:after="0" w:before="0"/>
        <w:jc w:val="center"/>
      </w:pPr>
      <w:r>
        <w:drawing>
          <wp:inline distT="0" distB="0" distL="0" distR="0">
            <wp:extent cx="4000500" cy="1400175"/>
            <wp:effectExtent t="0" r="0" b="0" l="0"/>
            <wp:docPr id="1" name="watermark" descr="Veratori watermark" title="Veratori 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400175"/>
                    </a:xfrm>
                    <a:prstGeom prst="rect">
                      <a:avLst/>
                    </a:prstGeom>
                  </pic:spPr>
                </pic:pic>
              </a:graphicData>
            </a:graphic>
          </wp:inline>
        </w:drawing>
      </w:r>
    </w:p>
    <w:p>
      <w:pPr>
        <w:spacing w:after="0" w:before="60"/>
      </w:pPr>
    </w:p>
    <w:p>
      <w:pPr>
        <w:spacing w:after="40" w:before="0"/>
        <w:jc w:val="center"/>
      </w:pPr>
      <w:r>
        <w:rPr>
          <w:rFonts w:ascii="Arial" w:cs="Arial" w:eastAsia="Arial" w:hAnsi="Arial"/>
          <w:b/>
          <w:bCs/>
          <w:color w:val="0E1526"/>
          <w:spacing w:val="100"/>
          <w:sz w:val="14"/>
          <w:szCs w:val="14"/>
        </w:rPr>
        <w:t xml:space="preserve">DISCRETION NOTICE</w:t>
      </w:r>
    </w:p>
    <w:p>
      <w:pPr>
        <w:spacing w:after="0" w:before="0"/>
        <w:jc w:val="center"/>
      </w:pPr>
      <w:r>
        <w:rPr>
          <w:rFonts w:ascii="Arial" w:cs="Arial" w:eastAsia="Arial" w:hAnsi="Arial"/>
          <w:color w:val="6B7A8D"/>
          <w:sz w:val="15"/>
          <w:szCs w:val="15"/>
        </w:rPr>
        <w:t xml:space="preserve">This document is intended solely for the internal use of the business for which it was generated. It constitutes an informational synopsis of data collected by Veratori hardware and AI systems. No independent research has been conducted by Veratori. All content is derived exclusively from operational data captured within the subject premises. This report does not constitute business, financial, or legal advice.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DC" w:sz="2" w:space="4"/>
      </w:pBdr>
      <w:tabs>
        <w:tab w:val="right" w:pos="10080"/>
      </w:tabs>
      <w:spacing w:after="0" w:before="60"/>
    </w:pPr>
    <w:r>
      <w:rPr>
        <w:rFonts w:ascii="Arial" w:cs="Arial" w:eastAsia="Arial" w:hAnsi="Arial"/>
        <w:color w:val="6B7A8D"/>
        <w:sz w:val="14"/>
        <w:szCs w:val="14"/>
      </w:rPr>
      <w:t xml:space="preserve">Veratori  ·  For informational purposes only. All data sourced by Veratori hardware.</w:t>
    </w:r>
    <w:r>
      <w:rPr>
        <w:rFonts w:ascii="Arial" w:cs="Arial" w:eastAsia="Arial" w:hAnsi="Arial"/>
      </w:rPr>
      <w:t xml:space="preserve">	</w:t>
    </w:r>
    <w:r>
      <w:rPr>
        <w:rFonts w:ascii="Arial" w:cs="Arial" w:eastAsia="Arial" w:hAnsi="Arial"/>
        <w:color w:val="6B7A8D"/>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1526" w:sz="3" w:space="4"/>
      </w:pBdr>
      <w:tabs>
        <w:tab w:val="right" w:pos="10080"/>
      </w:tabs>
      <w:spacing w:after="80" w:before="0"/>
    </w:pPr>
    <w:r>
      <w:drawing>
        <wp:inline distT="0" distB="0" distL="0" distR="0">
          <wp:extent cx="171450" cy="171450"/>
          <wp:effectExtent t="0" r="0" b="0" l="0"/>
          <wp:docPr id="1" name="icon" descr="Veratori icon" titl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0E1526"/>
        <w:spacing w:val="60"/>
        <w:sz w:val="16"/>
        <w:szCs w:val="16"/>
      </w:rPr>
      <w:t xml:space="preserve">  VERATORI  ·  TORI INSIGHTS</w:t>
    </w:r>
    <w:r>
      <w:rPr>
        <w:rFonts w:ascii="Arial" w:cs="Arial" w:eastAsia="Arial" w:hAnsi="Arial"/>
      </w:rPr>
      <w:t xml:space="preserve">	</w:t>
    </w:r>
    <w:r>
      <w:rPr>
        <w:rFonts w:ascii="Arial" w:cs="Arial" w:eastAsia="Arial" w:hAnsi="Arial"/>
        <w:i/>
        <w:iCs/>
        <w:color w:val="6B7A8D"/>
        <w:sz w:val="16"/>
        <w:szCs w:val="16"/>
      </w:rPr>
      <w:t xml:space="preserve">Weekly Summary  ·  [DATE RANGE]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A20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3e0b9fbf452b05b8abbbe726747e5686dd3c931.png"/><Relationship Id="rId10" Type="http://schemas.openxmlformats.org/officeDocument/2006/relationships/image" Target="media/ad93b04cfaaad2af527832471fa8f3faf335e43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f03dd19e43411441a089f0d199019bd6f9435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2026-05-14T03:17:45.568Z</dcterms:created>
  <dcterms:modified xsi:type="dcterms:W3CDTF">2026-05-14T03:17:45.582Z</dcterms:modified>
</cp:coreProperties>
</file>

<file path=docProps/custom.xml><?xml version="1.0" encoding="utf-8"?>
<Properties xmlns="http://schemas.openxmlformats.org/officeDocument/2006/custom-properties" xmlns:vt="http://schemas.openxmlformats.org/officeDocument/2006/docPropsVTypes"/>
</file>