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0A2E"/>
          <w:sz w:val="44"/>
          <w:szCs w:val="44"/>
        </w:rPr>
        <w:t xml:space="preserve">UNEMPLOYMENT PATTERNS ACROSS AFRICA</w:t>
      </w:r>
    </w:p>
    <w:p>
      <w:pPr>
        <w:spacing w:before="0" w:after="60"/>
        <w:jc w:val="center"/>
      </w:pPr>
      <w:r>
        <w:rPr>
          <w:rFonts w:ascii="Arial" w:cs="Arial" w:eastAsia="Arial" w:hAnsi="Arial"/>
          <w:b w:val="false"/>
          <w:bCs w:val="false"/>
          <w:color w:val="4B2D6F"/>
          <w:sz w:val="24"/>
          <w:szCs w:val="24"/>
        </w:rPr>
        <w:t xml:space="preserve">Power BI Report — Analytical Summary &amp; Presentation Guide</w:t>
      </w:r>
    </w:p>
    <w:p>
      <w:pPr>
        <w:spacing w:before="0" w:after="300"/>
        <w:jc w:val="center"/>
      </w:pPr>
      <w:r>
        <w:rPr>
          <w:rFonts w:ascii="Arial" w:cs="Arial" w:eastAsia="Arial" w:hAnsi="Arial"/>
          <w:b w:val="false"/>
          <w:bCs w:val="false"/>
          <w:color w:val="999999"/>
          <w:sz w:val="20"/>
          <w:szCs w:val="20"/>
        </w:rPr>
        <w:t xml:space="preserve">500 records  |  51 Countries  |  5 Subregions  |  11 Variables</w:t>
      </w:r>
    </w:p>
    <w:p>
      <w:pPr>
        <w:pBdr>
          <w:bottom w:val="single" w:color="4B2D6F" w:sz="6" w:space="1"/>
        </w:pBdr>
        <w:spacing w:before="120" w:after="120"/>
      </w:pP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spacing w:before="0" w:after="20"/>
              <w:jc w:val="left"/>
            </w:pPr>
            <w:r>
              <w:rPr>
                <w:rFonts w:ascii="Arial" w:cs="Arial" w:eastAsia="Arial" w:hAnsi="Arial"/>
                <w:b/>
                <w:bCs/>
                <w:color w:val="7F6000"/>
                <w:sz w:val="20"/>
                <w:szCs w:val="20"/>
              </w:rPr>
              <w:t xml:space="preserve">★  ESSENTIAL</w:t>
            </w:r>
          </w:p>
          <w:p>
            <w:pPr>
              <w:spacing w:before="0" w:after="0"/>
              <w:jc w:val="left"/>
            </w:pPr>
            <w:r>
              <w:rPr>
                <w:rFonts w:ascii="Arial" w:cs="Arial" w:eastAsia="Arial" w:hAnsi="Arial"/>
                <w:b w:val="false"/>
                <w:bCs w:val="false"/>
                <w:color w:val="7F6000"/>
                <w:sz w:val="18"/>
                <w:szCs w:val="18"/>
              </w:rPr>
              <w:t xml:space="preserve">Must be in the slide deck.</w:t>
            </w:r>
          </w:p>
        </w:tc>
        <w:tc>
          <w:tcPr>
            <w:tcW w:type="dxa" w:w="312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pPr>
              <w:spacing w:before="0" w:after="20"/>
              <w:jc w:val="left"/>
            </w:pPr>
            <w:r>
              <w:rPr>
                <w:rFonts w:ascii="Arial" w:cs="Arial" w:eastAsia="Arial" w:hAnsi="Arial"/>
                <w:b/>
                <w:bCs/>
                <w:color w:val="185FA5"/>
                <w:sz w:val="20"/>
                <w:szCs w:val="20"/>
              </w:rPr>
              <w:t xml:space="preserve">◆  SUPPORTING</w:t>
            </w:r>
          </w:p>
          <w:p>
            <w:pPr>
              <w:spacing w:before="0" w:after="0"/>
              <w:jc w:val="left"/>
            </w:pPr>
            <w:r>
              <w:rPr>
                <w:rFonts w:ascii="Arial" w:cs="Arial" w:eastAsia="Arial" w:hAnsi="Arial"/>
                <w:b w:val="false"/>
                <w:bCs w:val="false"/>
                <w:color w:val="185FA5"/>
                <w:sz w:val="18"/>
                <w:szCs w:val="18"/>
              </w:rPr>
              <w:t xml:space="preserve">Include if slide space allows.</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before="0" w:after="20"/>
              <w:jc w:val="left"/>
            </w:pPr>
            <w:r>
              <w:rPr>
                <w:rFonts w:ascii="Arial" w:cs="Arial" w:eastAsia="Arial" w:hAnsi="Arial"/>
                <w:b/>
                <w:bCs/>
                <w:color w:val="777777"/>
                <w:sz w:val="20"/>
                <w:szCs w:val="20"/>
              </w:rPr>
              <w:t xml:space="preserve">◉  SUPPLEMENTARY</w:t>
            </w:r>
          </w:p>
          <w:p>
            <w:pPr>
              <w:spacing w:before="0" w:after="0"/>
              <w:jc w:val="left"/>
            </w:pPr>
            <w:r>
              <w:rPr>
                <w:rFonts w:ascii="Arial" w:cs="Arial" w:eastAsia="Arial" w:hAnsi="Arial"/>
                <w:b w:val="false"/>
                <w:bCs w:val="false"/>
                <w:color w:val="777777"/>
                <w:sz w:val="18"/>
                <w:szCs w:val="18"/>
              </w:rPr>
              <w:t xml:space="preserve">Best explored live in Power BI.</w:t>
            </w:r>
          </w:p>
        </w:tc>
      </w:tr>
    </w:tbl>
    <w:p>
      <w:pPr>
        <w:spacing w:before="160" w:after="80"/>
      </w:pPr>
    </w:p>
    <w:p>
      <w:pPr>
        <w:pBdr>
          <w:bottom w:val="single" w:color="4B2D6F" w:sz="6" w:space="1"/>
        </w:pBdr>
        <w:spacing w:before="120" w:after="120"/>
      </w:pPr>
    </w:p>
    <w:p>
      <w:pPr>
        <w:spacing w:before="160" w:after="80"/>
      </w:pPr>
    </w:p>
    <w:p>
      <w:pPr>
        <w:spacing w:before="0" w:after="100"/>
        <w:jc w:val="left"/>
      </w:pPr>
      <w:r>
        <w:rPr>
          <w:rFonts w:ascii="Arial" w:cs="Arial" w:eastAsia="Arial" w:hAnsi="Arial"/>
          <w:b/>
          <w:bCs/>
          <w:color w:val="1F0A2E"/>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DE8F5" w:val="clear"/>
            <w:tcMar>
              <w:top w:type="dxa" w:w="120"/>
              <w:left w:type="dxa" w:w="120"/>
              <w:bottom w:type="dxa" w:w="120"/>
              <w:right w:type="dxa" w:w="120"/>
            </w:tcMar>
          </w:tcPr>
          <w:p>
            <w:pPr>
              <w:jc w:val="center"/>
            </w:pPr>
            <w:r>
              <w:rPr>
                <w:rFonts w:ascii="Arial" w:cs="Arial" w:eastAsia="Arial" w:hAnsi="Arial"/>
                <w:b/>
                <w:bCs/>
                <w:color w:val="1F0A2E"/>
                <w:sz w:val="36"/>
                <w:szCs w:val="36"/>
              </w:rPr>
              <w:t xml:space="preserve">51</w:t>
            </w:r>
          </w:p>
          <w:p>
            <w:pPr>
              <w:jc w:val="center"/>
            </w:pPr>
            <w:r>
              <w:rPr>
                <w:rFonts w:ascii="Arial" w:cs="Arial" w:eastAsia="Arial" w:hAnsi="Arial"/>
                <w:color w:val="4B2D6F"/>
                <w:sz w:val="17"/>
                <w:szCs w:val="17"/>
              </w:rPr>
              <w:t xml:space="preserve">Total Countries</w:t>
            </w:r>
          </w:p>
        </w:tc>
        <w:tc>
          <w:tcPr>
            <w:tcW w:type="dxa" w:w="2340"/>
            <w:tcBorders>
              <w:top w:val="single" w:color="CCCCCC" w:sz="1"/>
              <w:left w:val="single" w:color="CCCCCC" w:sz="1"/>
              <w:bottom w:val="single" w:color="CCCCCC" w:sz="1"/>
              <w:right w:val="single" w:color="CCCCCC" w:sz="1"/>
            </w:tcBorders>
            <w:shd w:fill="EDE8F5" w:val="clear"/>
            <w:tcMar>
              <w:top w:type="dxa" w:w="120"/>
              <w:left w:type="dxa" w:w="120"/>
              <w:bottom w:type="dxa" w:w="120"/>
              <w:right w:type="dxa" w:w="120"/>
            </w:tcMar>
          </w:tcPr>
          <w:p>
            <w:pPr>
              <w:jc w:val="center"/>
            </w:pPr>
            <w:r>
              <w:rPr>
                <w:rFonts w:ascii="Arial" w:cs="Arial" w:eastAsia="Arial" w:hAnsi="Arial"/>
                <w:b/>
                <w:bCs/>
                <w:color w:val="1F0A2E"/>
                <w:sz w:val="36"/>
                <w:szCs w:val="36"/>
              </w:rPr>
              <w:t xml:space="preserve">60.00%</w:t>
            </w:r>
          </w:p>
          <w:p>
            <w:pPr>
              <w:jc w:val="center"/>
            </w:pPr>
            <w:r>
              <w:rPr>
                <w:rFonts w:ascii="Arial" w:cs="Arial" w:eastAsia="Arial" w:hAnsi="Arial"/>
                <w:color w:val="4B2D6F"/>
                <w:sz w:val="17"/>
                <w:szCs w:val="17"/>
              </w:rPr>
              <w:t xml:space="preserve">Max Unemployment</w:t>
            </w:r>
          </w:p>
        </w:tc>
        <w:tc>
          <w:tcPr>
            <w:tcW w:type="dxa" w:w="2340"/>
            <w:tcBorders>
              <w:top w:val="single" w:color="CCCCCC" w:sz="1"/>
              <w:left w:val="single" w:color="CCCCCC" w:sz="1"/>
              <w:bottom w:val="single" w:color="CCCCCC" w:sz="1"/>
              <w:right w:val="single" w:color="CCCCCC" w:sz="1"/>
            </w:tcBorders>
            <w:shd w:fill="EDE8F5" w:val="clear"/>
            <w:tcMar>
              <w:top w:type="dxa" w:w="120"/>
              <w:left w:type="dxa" w:w="120"/>
              <w:bottom w:type="dxa" w:w="120"/>
              <w:right w:type="dxa" w:w="120"/>
            </w:tcMar>
          </w:tcPr>
          <w:p>
            <w:pPr>
              <w:jc w:val="center"/>
            </w:pPr>
            <w:r>
              <w:rPr>
                <w:rFonts w:ascii="Arial" w:cs="Arial" w:eastAsia="Arial" w:hAnsi="Arial"/>
                <w:b/>
                <w:bCs/>
                <w:color w:val="1F0A2E"/>
                <w:sz w:val="36"/>
                <w:szCs w:val="36"/>
              </w:rPr>
              <w:t xml:space="preserve">0.10%</w:t>
            </w:r>
          </w:p>
          <w:p>
            <w:pPr>
              <w:jc w:val="center"/>
            </w:pPr>
            <w:r>
              <w:rPr>
                <w:rFonts w:ascii="Arial" w:cs="Arial" w:eastAsia="Arial" w:hAnsi="Arial"/>
                <w:color w:val="4B2D6F"/>
                <w:sz w:val="17"/>
                <w:szCs w:val="17"/>
              </w:rPr>
              <w:t xml:space="preserve">Min Unemployment</w:t>
            </w:r>
          </w:p>
        </w:tc>
        <w:tc>
          <w:tcPr>
            <w:tcW w:type="dxa" w:w="2340"/>
            <w:tcBorders>
              <w:top w:val="single" w:color="CCCCCC" w:sz="1"/>
              <w:left w:val="single" w:color="CCCCCC" w:sz="1"/>
              <w:bottom w:val="single" w:color="CCCCCC" w:sz="1"/>
              <w:right w:val="single" w:color="CCCCCC" w:sz="1"/>
            </w:tcBorders>
            <w:shd w:fill="EDE8F5" w:val="clear"/>
            <w:tcMar>
              <w:top w:type="dxa" w:w="120"/>
              <w:left w:type="dxa" w:w="120"/>
              <w:bottom w:type="dxa" w:w="120"/>
              <w:right w:type="dxa" w:w="120"/>
            </w:tcMar>
          </w:tcPr>
          <w:p>
            <w:pPr>
              <w:jc w:val="center"/>
            </w:pPr>
            <w:r>
              <w:rPr>
                <w:rFonts w:ascii="Arial" w:cs="Arial" w:eastAsia="Arial" w:hAnsi="Arial"/>
                <w:b/>
                <w:bCs/>
                <w:color w:val="1F0A2E"/>
                <w:sz w:val="36"/>
                <w:szCs w:val="36"/>
              </w:rPr>
              <w:t xml:space="preserve">10.75%</w:t>
            </w:r>
          </w:p>
          <w:p>
            <w:pPr>
              <w:jc w:val="center"/>
            </w:pPr>
            <w:r>
              <w:rPr>
                <w:rFonts w:ascii="Arial" w:cs="Arial" w:eastAsia="Arial" w:hAnsi="Arial"/>
                <w:color w:val="4B2D6F"/>
                <w:sz w:val="17"/>
                <w:szCs w:val="17"/>
              </w:rPr>
              <w:t xml:space="preserve">Avg Unemployment</w:t>
            </w:r>
          </w:p>
        </w:tc>
      </w:tr>
    </w:tbl>
    <w:p>
      <w:pPr>
        <w:spacing w:before="80" w:after="60"/>
      </w:pPr>
    </w:p>
    <w:p>
      <w:pPr>
        <w:spacing w:before="0" w:after="60"/>
        <w:jc w:val="left"/>
      </w:pPr>
      <w:r>
        <w:rPr>
          <w:rFonts w:ascii="Arial" w:cs="Arial" w:eastAsia="Arial" w:hAnsi="Arial"/>
          <w:b w:val="false"/>
          <w:bCs w:val="false"/>
          <w:color w:val="4B2D6F"/>
          <w:sz w:val="22"/>
          <w:szCs w:val="22"/>
        </w:rPr>
        <w:t xml:space="preserve">The average of 10.75% masks a 60-point spread between the best and worst-performing countries — making the breakdowns below essential.</w:t>
      </w:r>
    </w:p>
    <w:p>
      <w:pPr>
        <w:spacing w:before="120" w:after="80"/>
      </w:pPr>
    </w:p>
    <w:p>
      <w:pPr>
        <w:pBdr>
          <w:bottom w:val="single" w:color="4B2D6F" w:sz="6" w:space="1"/>
        </w:pBdr>
        <w:spacing w:before="120" w:after="120"/>
      </w:pPr>
    </w:p>
    <w:p>
      <w:pPr>
        <w:spacing w:before="160" w:after="80"/>
      </w:pPr>
    </w:p>
    <w:p>
      <w:pPr>
        <w:spacing w:before="0" w:after="80"/>
        <w:jc w:val="left"/>
      </w:pPr>
      <w:r>
        <w:rPr>
          <w:rFonts w:ascii="Arial" w:cs="Arial" w:eastAsia="Arial" w:hAnsi="Arial"/>
          <w:b/>
          <w:bCs/>
          <w:color w:val="1F0A2E"/>
          <w:sz w:val="28"/>
          <w:szCs w:val="28"/>
        </w:rPr>
        <w:t xml:space="preserve">PAGE 1 — Overview Dashboard</w:t>
      </w:r>
    </w:p>
    <w:p>
      <w:pPr>
        <w:spacing w:before="60" w:after="120"/>
        <w:jc w:val="left"/>
      </w:pPr>
      <w:r>
        <w:rPr>
          <w:rFonts w:ascii="Arial" w:cs="Arial" w:eastAsia="Arial" w:hAnsi="Arial"/>
          <w:b w:val="false"/>
          <w:bCs w:val="false"/>
          <w:color w:val="555555"/>
          <w:sz w:val="22"/>
          <w:szCs w:val="22"/>
        </w:rPr>
        <w:t xml:space="preserve">Breaks down unemployment by age, gender, education, and the top reasons. Answers: who is most affected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1 — Avg Unemployment Rate by Age Group  (Bar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7F6000"/>
                <w:sz w:val="18"/>
                <w:szCs w:val="18"/>
              </w:rPr>
              <w:t xml:space="preserve">★  ESSENTIAL FOR PRESENTATION</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Average unemployment across five age brackets — highest for 15-24 (~20%) and steadily declining through to 45-54 (~6%).</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Age is the strongest predictor of unemployment in this dataset. The steep drop from youngest to oldest makes it immediately clear that Africa's unemployment crisis is, above all else, a youth crisis.</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"Youth aged 15-24 face unemployment rates more than 3× higher than those aged 45-54 — in a continent where over 60% of the population is under 25."</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Open the presentation with this chart. The visual drop from left to right tells the whole story at a glance — no explanation needed before showing it.</w:t>
            </w:r>
          </w:p>
        </w:tc>
      </w:tr>
    </w:tbl>
    <w:p>
      <w:pPr>
        <w:spacing w:before="1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2 — Unemployment Rate by Gender  (Bar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7F6000"/>
                <w:sz w:val="18"/>
                <w:szCs w:val="18"/>
              </w:rPr>
              <w:t xml:space="preserve">★  ESSENTIAL FOR PRESENTATION</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Women average ~12% unemployment versus ~10% for men — a consistent but modest gap across the dataset.</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Gender is a non-negotiable lens for any economic analysis. The gap compounds when filtered by young age group or low education, revealing that women face layered disadvantages.</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"The gap looks small in isolation but widens significantly when filtered by age 15-24 and rural area — where female unemployment becomes notably higher."</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Don't present this alone. Tell your coach: 'Filter by rural + 15-24 and the gap becomes much more pronounced.' Then demonstrate it live with the slicer.</w:t>
            </w:r>
          </w:p>
        </w:tc>
      </w:tr>
    </w:tbl>
    <w:p>
      <w:pPr>
        <w:spacing w:before="1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3 — Unemployment Rate by Education Level  (Bar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7F6000"/>
                <w:sz w:val="18"/>
                <w:szCs w:val="18"/>
              </w:rPr>
              <w:t xml:space="preserve">★  ESSENTIAL FOR PRESENTATION</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Tertiary-educated individuals have the highest unemployment (~15%), while those with no formal education have the lowest (~7%) — a counterintuitive descending pattern.</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This is the most analytically provocative chart in the report. It challenges the assumption that more education always reduces unemployment, pointing instead to a structural mismatch between graduate supply and available professional roles.</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"Tertiary graduates face unemployment rates more than double those with no formal education — not because education fails, but because Africa's job market has not created enough roles for its growing educated workforce."</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This is your strongest talking point. Prepare for your coach to question it — explain that educated people have higher job expectations and refuse low-skilled work while waiting for roles that match their qualifications.</w:t>
            </w:r>
          </w:p>
        </w:tc>
      </w:tr>
    </w:tbl>
    <w:p>
      <w:pPr>
        <w:spacing w:before="1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4 — Top 10 Reasons for Unemployment  (Horizontal Bar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7F6000"/>
                <w:sz w:val="18"/>
                <w:szCs w:val="18"/>
              </w:rPr>
              <w:t xml:space="preserve">★  ESSENTIAL FOR PRESENTATION</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'Poor career awareness' is the most cited reason (~28 occurrences), followed by 'Inadequate funding opportunities', 'Lost hope', and 'Training'. Structural reasons like 'No jobs available' appear lower down.</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This chart moves the analysis from who is unemployed to why — the question that drives solutions. The top reason being career awareness, not job scarcity, is a significant and actionable finding.</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"Africa's leading unemployment driver is an information and guidance gap, not purely a job shortage — suggesting career counselling and labour market access are high-impact, low-cost interventions."</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Highlight the contrast: 'Poor career awareness' outranks 'No jobs available'. This tells a more nuanced story — people exist who could be matched to jobs, but lack the guidance to find them.</w:t>
            </w:r>
          </w:p>
        </w:tc>
      </w:tr>
    </w:tbl>
    <w:p>
      <w:pPr>
        <w:spacing w:before="160" w:after="80"/>
      </w:pPr>
    </w:p>
    <w:p>
      <w:pPr>
        <w:pBdr>
          <w:bottom w:val="single" w:color="4B2D6F" w:sz="6" w:space="1"/>
        </w:pBdr>
        <w:spacing w:before="120" w:after="120"/>
      </w:pPr>
    </w:p>
    <w:p>
      <w:pPr>
        <w:spacing w:before="160" w:after="80"/>
      </w:pPr>
    </w:p>
    <w:p>
      <w:pPr>
        <w:spacing w:before="0" w:after="80"/>
        <w:jc w:val="left"/>
      </w:pPr>
      <w:r>
        <w:rPr>
          <w:rFonts w:ascii="Arial" w:cs="Arial" w:eastAsia="Arial" w:hAnsi="Arial"/>
          <w:b/>
          <w:bCs/>
          <w:color w:val="1F0A2E"/>
          <w:sz w:val="28"/>
          <w:szCs w:val="28"/>
        </w:rPr>
        <w:t xml:space="preserve">PAGE 2 — Deep Dive Dashboard</w:t>
      </w:r>
    </w:p>
    <w:p>
      <w:pPr>
        <w:spacing w:before="60" w:after="120"/>
        <w:jc w:val="left"/>
      </w:pPr>
      <w:r>
        <w:rPr>
          <w:rFonts w:ascii="Arial" w:cs="Arial" w:eastAsia="Arial" w:hAnsi="Arial"/>
          <w:b w:val="false"/>
          <w:bCs w:val="false"/>
          <w:color w:val="555555"/>
          <w:sz w:val="22"/>
          <w:szCs w:val="22"/>
        </w:rPr>
        <w:t xml:space="preserve">Explores geographic setting, digital access, country-level geography, and the experience-unemployment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5 — Avg Unemployment Rate by Area  (Bar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185FA5"/>
                <w:sz w:val="18"/>
                <w:szCs w:val="18"/>
              </w:rPr>
              <w:t xml:space="preserve">◆  SUPPORTING CHART</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Rural (~11%) and Urban (~10%) unemployment rates are nearly identical — separated by less than 1 percentage point.</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This challenges the common assumption that unemployment is primarily a rural problem. The data shows it is pervasive and systemic across all settings, which has direct implications for where interventions should be targeted.</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"Unemployment in Africa is not a rural phenomenon — it exists equally in cities and villages, meaning solutions must work across both settings."</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Use this to proactively address an assumption. Say: 'You might expect rural to be much higher — but our data shows that is not the case.'</w:t>
            </w:r>
          </w:p>
        </w:tc>
      </w:tr>
    </w:tbl>
    <w:p>
      <w:pPr>
        <w:spacing w:before="1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6 — Unemployment Rate by Internet Access  (Bar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185FA5"/>
                <w:sz w:val="18"/>
                <w:szCs w:val="18"/>
              </w:rPr>
              <w:t xml:space="preserve">◆  SUPPORTING CHART</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Those without internet access average ~11% unemployment versus ~10% for those with access — a small but consistent gap.</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Internet access is a digital inclusion indicator. In the context of 'poor career awareness' being the top unemployment reason, lack of internet access is a plausible contributing mechanism — fewer channels to discover and pursue opportunities.</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"Digital exclusion compounds unemployment disadvantage. The link between no internet access and poor career awareness makes this gap more significant than the numbers alone suggest."</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Connect this directly to Chart 4. Say: 'If poor career awareness is the top cause, then no internet access is one of the barriers creating it.'</w:t>
            </w:r>
          </w:p>
        </w:tc>
      </w:tr>
    </w:tbl>
    <w:p>
      <w:pPr>
        <w:spacing w:before="1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7 — Average Unemployment Rate by Country  (Filled Map)</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185FA5"/>
                <w:sz w:val="18"/>
                <w:szCs w:val="18"/>
              </w:rPr>
              <w:t xml:space="preserve">◆  SUPPORTING CHART</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African countries shaded by average unemployment rate — darker blue indicates higher rates, with visible clustering in Southern and Central Africa.</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Geographic visualisation reveals spatial clusters that bar charts cannot. It makes the analysis immediately accessible — viewers understand the distribution before reading a single number.</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"High unemployment clusters visually in Southern and Central Africa, consistent with the regional bar chart findings and pointing to shared structural factors across those areas."</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Use this as a visual anchor when discussing regional patterns. Invite your coach to point to a country of interest and drill into it live in Power BI.</w:t>
            </w:r>
          </w:p>
        </w:tc>
      </w:tr>
    </w:tbl>
    <w:p>
      <w:pPr>
        <w:spacing w:before="1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8 — Experience vs Unemployment Rate  (Scatter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185FA5"/>
                <w:sz w:val="18"/>
                <w:szCs w:val="18"/>
              </w:rPr>
              <w:t xml:space="preserve">◆  SUPPORTING CHART</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A scatter plot of 51 countries showing average years of experience on the X-axis and average unemployment rate on the Y-axis. A general downward trend is visible — more experience, lower unemployment.</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This is the only chart exploring a quantitative relationship between two variables. It confirms that work experience is a protective factor against unemployment, independent of formal education.</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"More experienced workforces correlate with lower unemployment — but the wide scatter confirms experience is one factor among many, not a standalone solution."</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This shows your coach you understand correlation analysis, not just description. Point out the downward trend, then flag the outliers — countries with experienced workforces but still high unemployment — as worth further investigation.</w:t>
            </w:r>
          </w:p>
        </w:tc>
      </w:tr>
    </w:tbl>
    <w:p>
      <w:pPr>
        <w:spacing w:before="160" w:after="80"/>
      </w:pPr>
    </w:p>
    <w:p>
      <w:pPr>
        <w:pBdr>
          <w:bottom w:val="single" w:color="4B2D6F" w:sz="6" w:space="1"/>
        </w:pBdr>
        <w:spacing w:before="120" w:after="120"/>
      </w:pPr>
    </w:p>
    <w:p>
      <w:pPr>
        <w:spacing w:before="160" w:after="80"/>
      </w:pPr>
    </w:p>
    <w:p>
      <w:pPr>
        <w:spacing w:before="0" w:after="80"/>
        <w:jc w:val="left"/>
      </w:pPr>
      <w:r>
        <w:rPr>
          <w:rFonts w:ascii="Arial" w:cs="Arial" w:eastAsia="Arial" w:hAnsi="Arial"/>
          <w:b/>
          <w:bCs/>
          <w:color w:val="1F0A2E"/>
          <w:sz w:val="28"/>
          <w:szCs w:val="28"/>
        </w:rPr>
        <w:t xml:space="preserve">PAGE 3 — Country Rankings Dashboard</w:t>
      </w:r>
    </w:p>
    <w:p>
      <w:pPr>
        <w:spacing w:before="60" w:after="120"/>
        <w:jc w:val="left"/>
      </w:pPr>
      <w:r>
        <w:rPr>
          <w:rFonts w:ascii="Arial" w:cs="Arial" w:eastAsia="Arial" w:hAnsi="Arial"/>
          <w:b w:val="false"/>
          <w:bCs w:val="false"/>
          <w:color w:val="555555"/>
          <w:sz w:val="22"/>
          <w:szCs w:val="22"/>
        </w:rPr>
        <w:t xml:space="preserve">Ranks all 51 countries by unemployment rate and highlights the worst performers. Answers: which specific countries and regions need the most urgent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9 — Unemployment Rate by Country  (Full Ranked Bar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7F6000"/>
                <w:sz w:val="18"/>
                <w:szCs w:val="18"/>
              </w:rPr>
              <w:t xml:space="preserve">★  ESSENTIAL FOR PRESENTATION</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All 51 countries ranked from highest (Swaziland/Eswatini at ~32%) to lowest (Niger near 0%) in a steep descending curve.</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Shows the full continental distribution in one view. The steep curve reveals that a small number of countries are driving the continental average up — most nations actually cluster below 10%.</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"A handful of countries (Swaziland, Djibouti, South Africa, Republic of Congo, Gabon) pull the average up significantly — targeted intervention in these nations would move continental figures the most."</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Use this to set up the Top 10 chart. Say: 'This full view shows the shape of the problem — a few countries pulling the average up while most are doing better than the headline number suggests.'</w:t>
            </w:r>
          </w:p>
        </w:tc>
      </w:tr>
    </w:tbl>
    <w:p>
      <w:pPr>
        <w:spacing w:before="1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10 — Top 10 Unemployment Rate by Country  (Bar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7F6000"/>
                <w:sz w:val="18"/>
                <w:szCs w:val="18"/>
              </w:rPr>
              <w:t xml:space="preserve">★  ESSENTIAL FOR PRESENTATION</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The ten worst-performing countries: Swaziland, Djibouti, South Africa, Republic of Congo, Gabon, Namibia, Botswana, Tunisia, Libya, and Lesotho — all between ~20% and ~32%.</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Names the countries most urgently in need of intervention. The presence of relatively developed economies (South Africa, Namibia, Botswana, Tunisia) alongside less developed ones reveals that economic development alone does not protect against high unemployment.</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"Six of the ten worst performers are middle-income African economies — proving that growth without proportional job creation leads to high unemployment regardless of development level."</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Challenge the assumption that development solves unemployment. Point out that South Africa and Botswana are among Africa's stronger economies yet rank in the top 10 worst — this is your sharpest analytical observation.</w:t>
            </w:r>
          </w:p>
        </w:tc>
      </w:tr>
    </w:tbl>
    <w:p>
      <w:pPr>
        <w:spacing w:before="1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F0A2E" w:val="clear"/>
            <w:tcMar>
              <w:top w:type="dxa" w:w="110"/>
              <w:left w:type="dxa" w:w="200"/>
              <w:bottom w:type="dxa" w:w="90"/>
              <w:right w:type="dxa" w:w="200"/>
            </w:tcMar>
          </w:tcPr>
          <w:p>
            <w:r>
              <w:rPr>
                <w:rFonts w:ascii="Arial" w:cs="Arial" w:eastAsia="Arial" w:hAnsi="Arial"/>
                <w:b/>
                <w:bCs/>
                <w:color w:val="FFFFFF"/>
                <w:sz w:val="23"/>
                <w:szCs w:val="23"/>
              </w:rPr>
              <w:t xml:space="preserve">Chart 11 — Avg Unemployment Rate by Region  (Horizontal Bar Chart)</w:t>
            </w:r>
          </w:p>
        </w:tc>
      </w:tr>
      <w:tr>
        <w:tc>
          <w:tcPr>
            <w:tcW w:type="dxa" w:w="9360"/>
            <w:tcBorders>
              <w:top w:val="none" w:color="FFFFFF" w:sz="0"/>
              <w:left w:val="single" w:color="CCCCCC" w:sz="1"/>
              <w:bottom w:val="single" w:color="CCCCCC" w:sz="1"/>
              <w:right w:val="single" w:color="CCCCCC" w:sz="1"/>
            </w:tcBorders>
            <w:shd w:fill="FAF8FD" w:val="clear"/>
            <w:tcMar>
              <w:top w:type="dxa" w:w="140"/>
              <w:left w:type="dxa" w:w="200"/>
              <w:bottom w:type="dxa" w:w="140"/>
              <w:right w:type="dxa" w:w="200"/>
            </w:tcMar>
          </w:tcPr>
          <w:p>
            <w:pPr>
              <w:spacing w:before="0" w:after="100"/>
            </w:pPr>
            <w:r>
              <w:rPr>
                <w:rFonts w:ascii="Arial" w:cs="Arial" w:eastAsia="Arial" w:hAnsi="Arial"/>
                <w:b/>
                <w:bCs/>
                <w:color w:val="7F6000"/>
                <w:sz w:val="18"/>
                <w:szCs w:val="18"/>
              </w:rPr>
              <w:t xml:space="preserve">★  ESSENTIAL FOR PRESENTATION</w:t>
            </w:r>
          </w:p>
          <w:p>
            <w:pPr>
              <w:spacing w:before="0" w:after="30"/>
            </w:pPr>
            <w:r>
              <w:rPr>
                <w:rFonts w:ascii="Arial" w:cs="Arial" w:eastAsia="Arial" w:hAnsi="Arial"/>
                <w:b/>
                <w:bCs/>
                <w:color w:val="888888"/>
                <w:sz w:val="18"/>
                <w:szCs w:val="18"/>
              </w:rPr>
              <w:t xml:space="preserve">WHAT IT SHOWS</w:t>
            </w:r>
          </w:p>
          <w:p>
            <w:pPr>
              <w:spacing w:before="0" w:after="90"/>
            </w:pPr>
            <w:r>
              <w:rPr>
                <w:rFonts w:ascii="Arial" w:cs="Arial" w:eastAsia="Arial" w:hAnsi="Arial"/>
                <w:color w:val="555555"/>
                <w:sz w:val="21"/>
                <w:szCs w:val="21"/>
              </w:rPr>
              <w:t xml:space="preserve">Southern Africa (~18%) and North Africa (~16%) lead, followed by Central Africa (~13%), East Africa (~9%), and West Africa (~5%) at the bottom.</w:t>
            </w:r>
          </w:p>
          <w:p>
            <w:pPr>
              <w:spacing w:before="0" w:after="30"/>
            </w:pPr>
            <w:r>
              <w:rPr>
                <w:rFonts w:ascii="Arial" w:cs="Arial" w:eastAsia="Arial" w:hAnsi="Arial"/>
                <w:b/>
                <w:bCs/>
                <w:color w:val="888888"/>
                <w:sz w:val="18"/>
                <w:szCs w:val="18"/>
              </w:rPr>
              <w:t xml:space="preserve">WHY IT MATTERS</w:t>
            </w:r>
          </w:p>
          <w:p>
            <w:pPr>
              <w:spacing w:before="0" w:after="90"/>
            </w:pPr>
            <w:r>
              <w:rPr>
                <w:rFonts w:ascii="Arial" w:cs="Arial" w:eastAsia="Arial" w:hAnsi="Arial"/>
                <w:color w:val="555555"/>
                <w:sz w:val="21"/>
                <w:szCs w:val="21"/>
              </w:rPr>
              <w:t xml:space="preserve">Regional aggregation reveals patterns that country-level data obscures. West Africa's low rate despite being less economically developed is a key paradox — it likely reflects high informal employment rather than genuine prosperity.</w:t>
            </w:r>
          </w:p>
          <w:p>
            <w:pPr>
              <w:spacing w:before="0" w:after="30"/>
            </w:pPr>
            <w:r>
              <w:rPr>
                <w:rFonts w:ascii="Arial" w:cs="Arial" w:eastAsia="Arial" w:hAnsi="Arial"/>
                <w:b/>
                <w:bCs/>
                <w:color w:val="888888"/>
                <w:sz w:val="18"/>
                <w:szCs w:val="18"/>
              </w:rPr>
              <w:t xml:space="preserve">KEY INSIGHT</w:t>
            </w:r>
          </w:p>
          <w:p>
            <w:pPr>
              <w:spacing w:before="0" w:after="90"/>
            </w:pPr>
            <w:r>
              <w:rPr>
                <w:rFonts w:ascii="Arial" w:cs="Arial" w:eastAsia="Arial" w:hAnsi="Arial"/>
                <w:color w:val="4B2D6F"/>
                <w:sz w:val="21"/>
                <w:szCs w:val="21"/>
              </w:rPr>
              <w:t xml:space="preserve">"West Africa's low measured unemployment likely reflects widespread informal and subsistence work — people are working, but not in formal jobs. Southern Africa's high rate reflects formal economies that have not generated enough employment."</w:t>
            </w:r>
          </w:p>
          <w:p>
            <w:pPr>
              <w:spacing w:before="0" w:after="30"/>
            </w:pPr>
            <w:r>
              <w:rPr>
                <w:rFonts w:ascii="Arial" w:cs="Arial" w:eastAsia="Arial" w:hAnsi="Arial"/>
                <w:b/>
                <w:bCs/>
                <w:color w:val="888888"/>
                <w:sz w:val="18"/>
                <w:szCs w:val="18"/>
              </w:rPr>
              <w:t xml:space="preserve">PRESENTER NOTE</w:t>
            </w:r>
          </w:p>
          <w:p>
            <w:pPr>
              <w:spacing w:before="0" w:after="30"/>
            </w:pPr>
            <w:r>
              <w:rPr>
                <w:rFonts w:ascii="Arial" w:cs="Arial" w:eastAsia="Arial" w:hAnsi="Arial"/>
                <w:color w:val="444444"/>
                <w:sz w:val="20"/>
                <w:szCs w:val="20"/>
              </w:rPr>
              <w:t xml:space="preserve">Close the country section with this chart — it zooms back out and gives the presentation a clean conclusion. Connect West Africa's paradox back to the education chart: where people cannot wait for formal work, measured unemployment appears lower even without better conditions.</w:t>
            </w:r>
          </w:p>
        </w:tc>
      </w:tr>
    </w:tbl>
    <w:p>
      <w:pPr>
        <w:spacing w:before="160" w:after="80"/>
      </w:pPr>
    </w:p>
    <w:p>
      <w:pPr>
        <w:pBdr>
          <w:bottom w:val="single" w:color="4B2D6F" w:sz="6" w:space="1"/>
        </w:pBdr>
        <w:spacing w:before="120" w:after="120"/>
      </w:pPr>
    </w:p>
    <w:p>
      <w:pPr>
        <w:spacing w:before="160" w:after="80"/>
      </w:pPr>
    </w:p>
    <w:p>
      <w:pPr>
        <w:spacing w:before="0" w:after="100"/>
        <w:jc w:val="left"/>
      </w:pPr>
      <w:r>
        <w:rPr>
          <w:rFonts w:ascii="Arial" w:cs="Arial" w:eastAsia="Arial" w:hAnsi="Arial"/>
          <w:b/>
          <w:bCs/>
          <w:color w:val="1F0A2E"/>
          <w:sz w:val="26"/>
          <w:szCs w:val="26"/>
        </w:rPr>
        <w:t xml:space="preserve">Recommended Presentation Slide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F0A2E"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SLIDE</w:t>
            </w:r>
          </w:p>
        </w:tc>
        <w:tc>
          <w:tcPr>
            <w:tcW w:type="dxa" w:w="2400"/>
            <w:tcBorders>
              <w:top w:val="single" w:color="CCCCCC" w:sz="1"/>
              <w:left w:val="single" w:color="CCCCCC" w:sz="1"/>
              <w:bottom w:val="single" w:color="CCCCCC" w:sz="1"/>
              <w:right w:val="single" w:color="CCCCCC" w:sz="1"/>
            </w:tcBorders>
            <w:shd w:fill="1F0A2E"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CHART</w:t>
            </w:r>
          </w:p>
        </w:tc>
        <w:tc>
          <w:tcPr>
            <w:tcW w:type="dxa" w:w="6160"/>
            <w:tcBorders>
              <w:top w:val="single" w:color="CCCCCC" w:sz="1"/>
              <w:left w:val="single" w:color="CCCCCC" w:sz="1"/>
              <w:bottom w:val="single" w:color="CCCCCC" w:sz="1"/>
              <w:right w:val="single" w:color="CCCCCC" w:sz="1"/>
            </w:tcBorders>
            <w:shd w:fill="1F0A2E"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WHAT TO SAY</w:t>
            </w:r>
          </w:p>
        </w:tc>
      </w:tr>
      <w:tr>
        <w:tc>
          <w:tcPr>
            <w:tcW w:type="dxa" w:w="800"/>
            <w:tcBorders>
              <w:top w:val="single" w:color="CCCCCC" w:sz="1"/>
              <w:left w:val="single" w:color="CCCCCC" w:sz="1"/>
              <w:bottom w:val="single" w:color="CCCCCC" w:sz="1"/>
              <w:right w:val="single" w:color="CCCCCC" w:sz="1"/>
            </w:tcBorders>
            <w:shd w:fill="EDE8F5" w:val="clear"/>
            <w:tcMar>
              <w:top w:type="dxa" w:w="90"/>
              <w:left w:type="dxa" w:w="120"/>
              <w:bottom w:type="dxa" w:w="90"/>
              <w:right w:type="dxa" w:w="120"/>
            </w:tcMar>
          </w:tcPr>
          <w:p>
            <w:pPr>
              <w:spacing w:before="0" w:after="0"/>
              <w:jc w:val="left"/>
            </w:pPr>
            <w:r>
              <w:rPr>
                <w:rFonts w:ascii="Arial" w:cs="Arial" w:eastAsia="Arial" w:hAnsi="Arial"/>
                <w:b/>
                <w:bCs/>
                <w:color w:val="1F0A2E"/>
                <w:sz w:val="21"/>
                <w:szCs w:val="21"/>
              </w:rPr>
              <w:t xml:space="preserve">1</w:t>
            </w:r>
          </w:p>
        </w:tc>
        <w:tc>
          <w:tcPr>
            <w:tcW w:type="dxa" w:w="240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bCs/>
                <w:color w:val="4B2D6F"/>
                <w:sz w:val="19"/>
                <w:szCs w:val="19"/>
              </w:rPr>
              <w:t xml:space="preserve">KPI Cards</w:t>
            </w:r>
          </w:p>
        </w:tc>
        <w:tc>
          <w:tcPr>
            <w:tcW w:type="dxa" w:w="616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val="false"/>
                <w:bCs w:val="false"/>
                <w:color w:val="555555"/>
                <w:sz w:val="20"/>
                <w:szCs w:val="20"/>
              </w:rPr>
              <w:t xml:space="preserve">Open with the headline: 51 countries, average 10.75%, range from 0.1% to 60%. Set the scale of inequality.</w:t>
            </w:r>
          </w:p>
        </w:tc>
      </w:tr>
      <w:tr>
        <w:tc>
          <w:tcPr>
            <w:tcW w:type="dxa" w:w="800"/>
            <w:tcBorders>
              <w:top w:val="single" w:color="CCCCCC" w:sz="1"/>
              <w:left w:val="single" w:color="CCCCCC" w:sz="1"/>
              <w:bottom w:val="single" w:color="CCCCCC" w:sz="1"/>
              <w:right w:val="single" w:color="CCCCCC" w:sz="1"/>
            </w:tcBorders>
            <w:shd w:fill="EDE8F5" w:val="clear"/>
            <w:tcMar>
              <w:top w:type="dxa" w:w="90"/>
              <w:left w:type="dxa" w:w="120"/>
              <w:bottom w:type="dxa" w:w="90"/>
              <w:right w:type="dxa" w:w="120"/>
            </w:tcMar>
          </w:tcPr>
          <w:p>
            <w:pPr>
              <w:spacing w:before="0" w:after="0"/>
              <w:jc w:val="left"/>
            </w:pPr>
            <w:r>
              <w:rPr>
                <w:rFonts w:ascii="Arial" w:cs="Arial" w:eastAsia="Arial" w:hAnsi="Arial"/>
                <w:b/>
                <w:bCs/>
                <w:color w:val="1F0A2E"/>
                <w:sz w:val="21"/>
                <w:szCs w:val="21"/>
              </w:rPr>
              <w:t xml:space="preserve">2</w:t>
            </w:r>
          </w:p>
        </w:tc>
        <w:tc>
          <w:tcPr>
            <w:tcW w:type="dxa" w:w="240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bCs/>
                <w:color w:val="4B2D6F"/>
                <w:sz w:val="19"/>
                <w:szCs w:val="19"/>
              </w:rPr>
              <w:t xml:space="preserve">Chart 1 — Age group</w:t>
            </w:r>
          </w:p>
        </w:tc>
        <w:tc>
          <w:tcPr>
            <w:tcW w:type="dxa" w:w="616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val="false"/>
                <w:bCs w:val="false"/>
                <w:color w:val="555555"/>
                <w:sz w:val="20"/>
                <w:szCs w:val="20"/>
              </w:rPr>
              <w:t xml:space="preserve">Youth aged 15-24 face 20% unemployment. Africa's unemployment crisis is primarily a youth crisis.</w:t>
            </w:r>
          </w:p>
        </w:tc>
      </w:tr>
      <w:tr>
        <w:tc>
          <w:tcPr>
            <w:tcW w:type="dxa" w:w="800"/>
            <w:tcBorders>
              <w:top w:val="single" w:color="CCCCCC" w:sz="1"/>
              <w:left w:val="single" w:color="CCCCCC" w:sz="1"/>
              <w:bottom w:val="single" w:color="CCCCCC" w:sz="1"/>
              <w:right w:val="single" w:color="CCCCCC" w:sz="1"/>
            </w:tcBorders>
            <w:shd w:fill="EDE8F5" w:val="clear"/>
            <w:tcMar>
              <w:top w:type="dxa" w:w="90"/>
              <w:left w:type="dxa" w:w="120"/>
              <w:bottom w:type="dxa" w:w="90"/>
              <w:right w:type="dxa" w:w="120"/>
            </w:tcMar>
          </w:tcPr>
          <w:p>
            <w:pPr>
              <w:spacing w:before="0" w:after="0"/>
              <w:jc w:val="left"/>
            </w:pPr>
            <w:r>
              <w:rPr>
                <w:rFonts w:ascii="Arial" w:cs="Arial" w:eastAsia="Arial" w:hAnsi="Arial"/>
                <w:b/>
                <w:bCs/>
                <w:color w:val="1F0A2E"/>
                <w:sz w:val="21"/>
                <w:szCs w:val="21"/>
              </w:rPr>
              <w:t xml:space="preserve">3</w:t>
            </w:r>
          </w:p>
        </w:tc>
        <w:tc>
          <w:tcPr>
            <w:tcW w:type="dxa" w:w="240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bCs/>
                <w:color w:val="4B2D6F"/>
                <w:sz w:val="19"/>
                <w:szCs w:val="19"/>
              </w:rPr>
              <w:t xml:space="preserve">Chart 3 — Education</w:t>
            </w:r>
          </w:p>
        </w:tc>
        <w:tc>
          <w:tcPr>
            <w:tcW w:type="dxa" w:w="616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val="false"/>
                <w:bCs w:val="false"/>
                <w:color w:val="555555"/>
                <w:sz w:val="20"/>
                <w:szCs w:val="20"/>
              </w:rPr>
              <w:t xml:space="preserve">Present the paradox: most educated = highest unemployment. This is your analytical turning point.</w:t>
            </w:r>
          </w:p>
        </w:tc>
      </w:tr>
      <w:tr>
        <w:tc>
          <w:tcPr>
            <w:tcW w:type="dxa" w:w="800"/>
            <w:tcBorders>
              <w:top w:val="single" w:color="CCCCCC" w:sz="1"/>
              <w:left w:val="single" w:color="CCCCCC" w:sz="1"/>
              <w:bottom w:val="single" w:color="CCCCCC" w:sz="1"/>
              <w:right w:val="single" w:color="CCCCCC" w:sz="1"/>
            </w:tcBorders>
            <w:shd w:fill="EDE8F5" w:val="clear"/>
            <w:tcMar>
              <w:top w:type="dxa" w:w="90"/>
              <w:left w:type="dxa" w:w="120"/>
              <w:bottom w:type="dxa" w:w="90"/>
              <w:right w:type="dxa" w:w="120"/>
            </w:tcMar>
          </w:tcPr>
          <w:p>
            <w:pPr>
              <w:spacing w:before="0" w:after="0"/>
              <w:jc w:val="left"/>
            </w:pPr>
            <w:r>
              <w:rPr>
                <w:rFonts w:ascii="Arial" w:cs="Arial" w:eastAsia="Arial" w:hAnsi="Arial"/>
                <w:b/>
                <w:bCs/>
                <w:color w:val="1F0A2E"/>
                <w:sz w:val="21"/>
                <w:szCs w:val="21"/>
              </w:rPr>
              <w:t xml:space="preserve">4</w:t>
            </w:r>
          </w:p>
        </w:tc>
        <w:tc>
          <w:tcPr>
            <w:tcW w:type="dxa" w:w="240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bCs/>
                <w:color w:val="4B2D6F"/>
                <w:sz w:val="19"/>
                <w:szCs w:val="19"/>
              </w:rPr>
              <w:t xml:space="preserve">Chart 4 — Top 10 reasons</w:t>
            </w:r>
          </w:p>
        </w:tc>
        <w:tc>
          <w:tcPr>
            <w:tcW w:type="dxa" w:w="616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val="false"/>
                <w:bCs w:val="false"/>
                <w:color w:val="555555"/>
                <w:sz w:val="20"/>
                <w:szCs w:val="20"/>
              </w:rPr>
              <w:t xml:space="preserve">Poor career awareness leads — not job scarcity. An information gap, not just an economic gap.</w:t>
            </w:r>
          </w:p>
        </w:tc>
      </w:tr>
      <w:tr>
        <w:tc>
          <w:tcPr>
            <w:tcW w:type="dxa" w:w="800"/>
            <w:tcBorders>
              <w:top w:val="single" w:color="CCCCCC" w:sz="1"/>
              <w:left w:val="single" w:color="CCCCCC" w:sz="1"/>
              <w:bottom w:val="single" w:color="CCCCCC" w:sz="1"/>
              <w:right w:val="single" w:color="CCCCCC" w:sz="1"/>
            </w:tcBorders>
            <w:shd w:fill="EDE8F5" w:val="clear"/>
            <w:tcMar>
              <w:top w:type="dxa" w:w="90"/>
              <w:left w:type="dxa" w:w="120"/>
              <w:bottom w:type="dxa" w:w="90"/>
              <w:right w:type="dxa" w:w="120"/>
            </w:tcMar>
          </w:tcPr>
          <w:p>
            <w:pPr>
              <w:spacing w:before="0" w:after="0"/>
              <w:jc w:val="left"/>
            </w:pPr>
            <w:r>
              <w:rPr>
                <w:rFonts w:ascii="Arial" w:cs="Arial" w:eastAsia="Arial" w:hAnsi="Arial"/>
                <w:b/>
                <w:bCs/>
                <w:color w:val="1F0A2E"/>
                <w:sz w:val="21"/>
                <w:szCs w:val="21"/>
              </w:rPr>
              <w:t xml:space="preserve">5</w:t>
            </w:r>
          </w:p>
        </w:tc>
        <w:tc>
          <w:tcPr>
            <w:tcW w:type="dxa" w:w="240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bCs/>
                <w:color w:val="4B2D6F"/>
                <w:sz w:val="19"/>
                <w:szCs w:val="19"/>
              </w:rPr>
              <w:t xml:space="preserve">Chart 11 — Regional rates</w:t>
            </w:r>
          </w:p>
        </w:tc>
        <w:tc>
          <w:tcPr>
            <w:tcW w:type="dxa" w:w="616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val="false"/>
                <w:bCs w:val="false"/>
                <w:color w:val="555555"/>
                <w:sz w:val="20"/>
                <w:szCs w:val="20"/>
              </w:rPr>
              <w:t xml:space="preserve">Southern Africa highest, West Africa lowest. Explain the West Africa paradox.</w:t>
            </w:r>
          </w:p>
        </w:tc>
      </w:tr>
      <w:tr>
        <w:tc>
          <w:tcPr>
            <w:tcW w:type="dxa" w:w="800"/>
            <w:tcBorders>
              <w:top w:val="single" w:color="CCCCCC" w:sz="1"/>
              <w:left w:val="single" w:color="CCCCCC" w:sz="1"/>
              <w:bottom w:val="single" w:color="CCCCCC" w:sz="1"/>
              <w:right w:val="single" w:color="CCCCCC" w:sz="1"/>
            </w:tcBorders>
            <w:shd w:fill="EDE8F5" w:val="clear"/>
            <w:tcMar>
              <w:top w:type="dxa" w:w="90"/>
              <w:left w:type="dxa" w:w="120"/>
              <w:bottom w:type="dxa" w:w="90"/>
              <w:right w:type="dxa" w:w="120"/>
            </w:tcMar>
          </w:tcPr>
          <w:p>
            <w:pPr>
              <w:spacing w:before="0" w:after="0"/>
              <w:jc w:val="left"/>
            </w:pPr>
            <w:r>
              <w:rPr>
                <w:rFonts w:ascii="Arial" w:cs="Arial" w:eastAsia="Arial" w:hAnsi="Arial"/>
                <w:b/>
                <w:bCs/>
                <w:color w:val="1F0A2E"/>
                <w:sz w:val="21"/>
                <w:szCs w:val="21"/>
              </w:rPr>
              <w:t xml:space="preserve">6</w:t>
            </w:r>
          </w:p>
        </w:tc>
        <w:tc>
          <w:tcPr>
            <w:tcW w:type="dxa" w:w="240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bCs/>
                <w:color w:val="4B2D6F"/>
                <w:sz w:val="19"/>
                <w:szCs w:val="19"/>
              </w:rPr>
              <w:t xml:space="preserve">Chart 10 — Top 10 countries</w:t>
            </w:r>
          </w:p>
        </w:tc>
        <w:tc>
          <w:tcPr>
            <w:tcW w:type="dxa" w:w="616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val="false"/>
                <w:bCs w:val="false"/>
                <w:color w:val="555555"/>
                <w:sz w:val="20"/>
                <w:szCs w:val="20"/>
              </w:rPr>
              <w:t xml:space="preserve">Several are middle-income economies. Development does not automatically create jobs.</w:t>
            </w:r>
          </w:p>
        </w:tc>
      </w:tr>
      <w:tr>
        <w:tc>
          <w:tcPr>
            <w:tcW w:type="dxa" w:w="800"/>
            <w:tcBorders>
              <w:top w:val="single" w:color="CCCCCC" w:sz="1"/>
              <w:left w:val="single" w:color="CCCCCC" w:sz="1"/>
              <w:bottom w:val="single" w:color="CCCCCC" w:sz="1"/>
              <w:right w:val="single" w:color="CCCCCC" w:sz="1"/>
            </w:tcBorders>
            <w:shd w:fill="EDE8F5" w:val="clear"/>
            <w:tcMar>
              <w:top w:type="dxa" w:w="90"/>
              <w:left w:type="dxa" w:w="120"/>
              <w:bottom w:type="dxa" w:w="90"/>
              <w:right w:type="dxa" w:w="120"/>
            </w:tcMar>
          </w:tcPr>
          <w:p>
            <w:pPr>
              <w:spacing w:before="0" w:after="0"/>
              <w:jc w:val="left"/>
            </w:pPr>
            <w:r>
              <w:rPr>
                <w:rFonts w:ascii="Arial" w:cs="Arial" w:eastAsia="Arial" w:hAnsi="Arial"/>
                <w:b/>
                <w:bCs/>
                <w:color w:val="1F0A2E"/>
                <w:sz w:val="21"/>
                <w:szCs w:val="21"/>
              </w:rPr>
              <w:t xml:space="preserve">7</w:t>
            </w:r>
          </w:p>
        </w:tc>
        <w:tc>
          <w:tcPr>
            <w:tcW w:type="dxa" w:w="240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bCs/>
                <w:color w:val="4B2D6F"/>
                <w:sz w:val="19"/>
                <w:szCs w:val="19"/>
              </w:rPr>
              <w:t xml:space="preserve">Chart 8 — Scatter</w:t>
            </w:r>
          </w:p>
        </w:tc>
        <w:tc>
          <w:tcPr>
            <w:tcW w:type="dxa" w:w="6160"/>
            <w:tcBorders>
              <w:top w:val="single" w:color="CCCCCC" w:sz="1"/>
              <w:left w:val="single" w:color="CCCCCC" w:sz="1"/>
              <w:bottom w:val="single" w:color="CCCCCC" w:sz="1"/>
              <w:right w:val="single" w:color="CCCCCC" w:sz="1"/>
            </w:tcBorders>
            <w:shd w:fill="F9F7FD" w:val="clear"/>
            <w:tcMar>
              <w:top w:type="dxa" w:w="90"/>
              <w:left w:type="dxa" w:w="120"/>
              <w:bottom w:type="dxa" w:w="90"/>
              <w:right w:type="dxa" w:w="120"/>
            </w:tcMar>
          </w:tcPr>
          <w:p>
            <w:pPr>
              <w:spacing w:before="0" w:after="0"/>
              <w:jc w:val="left"/>
            </w:pPr>
            <w:r>
              <w:rPr>
                <w:rFonts w:ascii="Arial" w:cs="Arial" w:eastAsia="Arial" w:hAnsi="Arial"/>
                <w:b w:val="false"/>
                <w:bCs w:val="false"/>
                <w:color w:val="555555"/>
                <w:sz w:val="20"/>
                <w:szCs w:val="20"/>
              </w:rPr>
              <w:t xml:space="preserve">More experience correlates with lower unemployment. One actionable lever among several.</w:t>
            </w:r>
          </w:p>
        </w:tc>
      </w:tr>
    </w:tbl>
    <w:p>
      <w:pPr>
        <w:spacing w:before="160" w:after="80"/>
      </w:pPr>
    </w:p>
    <w:p>
      <w:pPr>
        <w:pBdr>
          <w:bottom w:val="single" w:color="4B2D6F" w:sz="6" w:space="1"/>
        </w:pBdr>
        <w:spacing w:before="120" w:after="120"/>
      </w:pPr>
    </w:p>
    <w:p>
      <w:pPr>
        <w:spacing w:before="120" w:after="80"/>
      </w:pPr>
    </w:p>
    <w:p>
      <w:pPr>
        <w:spacing w:before="0" w:after="100"/>
        <w:jc w:val="left"/>
      </w:pPr>
      <w:r>
        <w:rPr>
          <w:rFonts w:ascii="Arial" w:cs="Arial" w:eastAsia="Arial" w:hAnsi="Arial"/>
          <w:b/>
          <w:bCs/>
          <w:color w:val="1F0A2E"/>
          <w:sz w:val="26"/>
          <w:szCs w:val="26"/>
        </w:rPr>
        <w:t xml:space="preserve">Overall Analytical Conclusion</w:t>
      </w:r>
    </w:p>
    <w:p>
      <w:pPr>
        <w:pStyle w:val="ListParagraph"/>
        <w:numPr>
          <w:ilvl w:val="0"/>
          <w:numId w:val="2"/>
        </w:numPr>
        <w:spacing w:before="40" w:after="40"/>
      </w:pPr>
      <w:r>
        <w:rPr>
          <w:rFonts w:ascii="Arial" w:cs="Arial" w:eastAsia="Arial" w:hAnsi="Arial"/>
          <w:color w:val="555555"/>
          <w:sz w:val="22"/>
          <w:szCs w:val="22"/>
        </w:rPr>
        <w:t xml:space="preserve">Youth crisis. The 15-24 age group faces unemployment 3× higher than older workers — in a continent where most of the population is under 25.</w:t>
      </w:r>
    </w:p>
    <w:p>
      <w:pPr>
        <w:pStyle w:val="ListParagraph"/>
        <w:numPr>
          <w:ilvl w:val="0"/>
          <w:numId w:val="2"/>
        </w:numPr>
        <w:spacing w:before="40" w:after="40"/>
      </w:pPr>
      <w:r>
        <w:rPr>
          <w:rFonts w:ascii="Arial" w:cs="Arial" w:eastAsia="Arial" w:hAnsi="Arial"/>
          <w:color w:val="555555"/>
          <w:sz w:val="22"/>
          <w:szCs w:val="22"/>
        </w:rPr>
        <w:t xml:space="preserve">Structural mismatch. The education paradox shows Africa's economies are not generating enough formal roles to absorb an increasingly educated workforce.</w:t>
      </w:r>
    </w:p>
    <w:p>
      <w:pPr>
        <w:pStyle w:val="ListParagraph"/>
        <w:numPr>
          <w:ilvl w:val="0"/>
          <w:numId w:val="2"/>
        </w:numPr>
        <w:spacing w:before="40" w:after="40"/>
      </w:pPr>
      <w:r>
        <w:rPr>
          <w:rFonts w:ascii="Arial" w:cs="Arial" w:eastAsia="Arial" w:hAnsi="Arial"/>
          <w:color w:val="555555"/>
          <w:sz w:val="22"/>
          <w:szCs w:val="22"/>
        </w:rPr>
        <w:t xml:space="preserve">Information gap. 'Poor career awareness' is the leading reason for unemployment — pointing to guidance and digital access as high-impact, low-cost interventions.</w:t>
      </w:r>
    </w:p>
    <w:p>
      <w:pPr>
        <w:spacing w:before="80" w:after="60"/>
      </w:pPr>
    </w:p>
    <w:p>
      <w:pPr>
        <w:spacing w:before="0" w:after="60"/>
        <w:jc w:val="left"/>
      </w:pPr>
      <w:r>
        <w:rPr>
          <w:rFonts w:ascii="Arial" w:cs="Arial" w:eastAsia="Arial" w:hAnsi="Arial"/>
          <w:b w:val="false"/>
          <w:bCs w:val="false"/>
          <w:color w:val="4B2D6F"/>
          <w:sz w:val="22"/>
          <w:szCs w:val="22"/>
        </w:rPr>
        <w:t xml:space="preserve">These three findings together point toward better-targeted career guidance, stronger links between education and labour markets, and digital inclusion — especially for young women in rural areas — as the most actionable levers for change.</w:t>
      </w:r>
    </w:p>
    <w:p>
      <w:pPr>
        <w:spacing w:before="160" w:after="80"/>
      </w:pPr>
    </w:p>
    <w:p>
      <w:pPr>
        <w:spacing w:before="0" w:after="0"/>
        <w:jc w:val="center"/>
      </w:pPr>
      <w:r>
        <w:rPr>
          <w:rFonts w:ascii="Arial" w:cs="Arial" w:eastAsia="Arial" w:hAnsi="Arial"/>
          <w:b w:val="false"/>
          <w:bCs w:val="false"/>
          <w:color w:val="BBBBBB"/>
          <w:sz w:val="17"/>
          <w:szCs w:val="17"/>
        </w:rPr>
        <w:t xml:space="preserve">Prepared using Power BI   |   500 records, 51 Countries   |   African Unemployment Analysis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80"/>
      <w:outlineLvl w:val="0"/>
    </w:pPr>
    <w:rPr>
      <w:rFonts w:ascii="Arial" w:cs="Arial" w:eastAsia="Arial" w:hAnsi="Arial"/>
      <w:b/>
      <w:bCs/>
      <w:color w:val="1F0A2E"/>
      <w:sz w:val="30"/>
      <w:szCs w:val="3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C610CA20A3894B867C07CD2D69FCD3" ma:contentTypeVersion="3" ma:contentTypeDescription="Create a new document." ma:contentTypeScope="" ma:versionID="ae520e29d60f61d58924b76958a210b5">
  <xsd:schema xmlns:xsd="http://www.w3.org/2001/XMLSchema" xmlns:xs="http://www.w3.org/2001/XMLSchema" xmlns:p="http://schemas.microsoft.com/office/2006/metadata/properties" xmlns:ns2="db64a1e0-2cb7-45e6-951c-d2d4cc8a6037" targetNamespace="http://schemas.microsoft.com/office/2006/metadata/properties" ma:root="true" ma:fieldsID="0beeabc14e5d9d6eddaa0337754a3173" ns2:_="">
    <xsd:import namespace="db64a1e0-2cb7-45e6-951c-d2d4cc8a603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64a1e0-2cb7-45e6-951c-d2d4cc8a6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C1635B-5FF3-45E6-BA08-1D7C4A8FF265}"/>
</file>

<file path=customXml/itemProps2.xml><?xml version="1.0" encoding="utf-8"?>
<ds:datastoreItem xmlns:ds="http://schemas.openxmlformats.org/officeDocument/2006/customXml" ds:itemID="{FFAF0B02-45D3-4AC7-8F9B-68BF5FFE8D19}"/>
</file>

<file path=customXml/itemProps3.xml><?xml version="1.0" encoding="utf-8"?>
<ds:datastoreItem xmlns:ds="http://schemas.openxmlformats.org/officeDocument/2006/customXml" ds:itemID="{4E2609A2-44B3-488F-BB23-59C17199C9A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2026-03-22T10:40:37Z</dcterms:created>
  <dcterms:modified xsi:type="dcterms:W3CDTF">2026-03-22T10:40:37Z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0x010100D4C610CA20A3894B867C07CD2D69FCD3</vt:lpwstr>
  </property>
</Properties>
</file>