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F2FB" w14:textId="0FBDA601" w:rsidR="00DF6C0D" w:rsidRDefault="00E71097">
      <w:pPr>
        <w:rPr>
          <w:lang w:val="de-DE"/>
        </w:rPr>
      </w:pPr>
      <w:r>
        <w:rPr>
          <w:lang w:val="de-DE"/>
        </w:rPr>
        <w:t>Füge hier einen Scre</w:t>
      </w:r>
      <w:r w:rsidR="00730141">
        <w:rPr>
          <w:lang w:val="de-DE"/>
        </w:rPr>
        <w:t>e</w:t>
      </w:r>
      <w:r>
        <w:rPr>
          <w:lang w:val="de-DE"/>
        </w:rPr>
        <w:t xml:space="preserve">nshot eines Funksignals </w:t>
      </w:r>
      <w:proofErr w:type="gramStart"/>
      <w:r>
        <w:rPr>
          <w:lang w:val="de-DE"/>
        </w:rPr>
        <w:t>vom Cubic-SDR</w:t>
      </w:r>
      <w:proofErr w:type="gramEnd"/>
      <w:r>
        <w:rPr>
          <w:lang w:val="de-DE"/>
        </w:rPr>
        <w:t xml:space="preserve"> oder ähnlichem Open-Source SDR Tool ein, und beschreibe kurz Zweck und Eigenschaften dieses Signals!</w:t>
      </w:r>
    </w:p>
    <w:p w14:paraId="381FC843" w14:textId="77777777" w:rsidR="00730141" w:rsidRDefault="00730141">
      <w:pPr>
        <w:rPr>
          <w:lang w:val="de-DE"/>
        </w:rPr>
      </w:pPr>
    </w:p>
    <w:p w14:paraId="1649045D" w14:textId="1A8A3B6C" w:rsidR="00730141" w:rsidRDefault="00730141">
      <w:pPr>
        <w:rPr>
          <w:lang w:val="de-DE"/>
        </w:rPr>
      </w:pPr>
      <w:r w:rsidRPr="00730141">
        <w:rPr>
          <w:lang w:val="de-DE"/>
        </w:rPr>
        <w:drawing>
          <wp:inline distT="0" distB="0" distL="0" distR="0" wp14:anchorId="44166A49" wp14:editId="4CC0FBCF">
            <wp:extent cx="5760720" cy="3060065"/>
            <wp:effectExtent l="0" t="0" r="0" b="6985"/>
            <wp:docPr id="7864273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27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9A79" w14:textId="77777777" w:rsidR="00730141" w:rsidRDefault="00730141">
      <w:r w:rsidRPr="00730141">
        <w:t xml:space="preserve">Die Abbildung zeigt ein FM-Rundfunksignal im UKW-Bereich bei ca. 101,7 MHz, dessen Spektrum eine charakteristische Bandbreite von etwa 220 kHz für </w:t>
      </w:r>
      <w:r>
        <w:t>großflächige</w:t>
      </w:r>
      <w:r w:rsidRPr="00730141">
        <w:t xml:space="preserve"> Audioübertragung aufweist. Im Cubic-SDR wird die Information durch die Frequenzmodulation des Trägers sichtbar, während das rechts oben dargestellte Zeitbereichssignal das erfolgreich demodulierte Audiosignal (Musik) repräsentiert. </w:t>
      </w:r>
    </w:p>
    <w:p w14:paraId="124ED0DE" w14:textId="11C27B8D" w:rsidR="00730141" w:rsidRPr="00E71097" w:rsidRDefault="00730141">
      <w:pPr>
        <w:rPr>
          <w:lang w:val="de-DE"/>
        </w:rPr>
      </w:pPr>
      <w:r w:rsidRPr="00730141">
        <w:t>Der Zweck dieses Signals liegt in der Bereitstellung eines stabilen, rauscharmen Hörfunkdienstes, wobei die große Bandbreite die Übertragung des vollen hörbaren Frequenzspektrums in Stereoqualität ermöglicht.</w:t>
      </w:r>
    </w:p>
    <w:sectPr w:rsidR="00730141" w:rsidRPr="00E710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2B10AD"/>
    <w:rsid w:val="00730141"/>
    <w:rsid w:val="00DA5F4C"/>
    <w:rsid w:val="00DA65B7"/>
    <w:rsid w:val="00DF6C0D"/>
    <w:rsid w:val="00E7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661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Holzinger Philip</cp:lastModifiedBy>
  <cp:revision>3</cp:revision>
  <dcterms:created xsi:type="dcterms:W3CDTF">2026-02-24T13:08:00Z</dcterms:created>
  <dcterms:modified xsi:type="dcterms:W3CDTF">2026-04-15T13:56:00Z</dcterms:modified>
</cp:coreProperties>
</file>