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100"/>
      </w:tblGrid>
      <w:tr>
        <w:tc>
          <w:tcPr>
            <w:tcW w:type="dxa" w:w="16100"/>
            <w:shd w:fill="17365D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FICHE RESUME - Transmission des taux BCE et interest rate pass-through</w:t>
            </w:r>
          </w:p>
          <w:p>
            <w:pPr>
              <w:spacing w:after="20"/>
              <w:jc w:val="center"/>
            </w:pPr>
            <w:r>
              <w:rPr>
                <w:b w:val="0"/>
                <w:color w:val="DDEBF7"/>
                <w:sz w:val="14"/>
              </w:rPr>
              <w:t>Zhemelko &amp; Kocisova (2026), Comparative Economic Studies - meta-analyse recente du pass-through et de la vitesse d’ajustement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20"/>
        <w:gridCol w:w="3220"/>
        <w:gridCol w:w="3220"/>
        <w:gridCol w:w="3220"/>
        <w:gridCol w:w="3220"/>
      </w:tblGrid>
      <w:tr>
        <w:tc>
          <w:tcPr>
            <w:tcW w:type="dxa" w:w="3220"/>
            <w:shd w:fill="EAF2F8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</w:tcPr>
          <w:p>
            <w:pPr>
              <w:spacing w:after="0" w:line="216" w:lineRule="auto"/>
            </w:pPr>
            <w:r>
              <w:rPr>
                <w:b/>
                <w:color w:val="17365D"/>
                <w:sz w:val="14"/>
              </w:rPr>
              <w:t>Objet</w:t>
              <w:br/>
            </w:r>
            <w:r>
              <w:rPr>
                <w:b w:val="0"/>
                <w:sz w:val="12"/>
              </w:rPr>
              <w:t>Taux monetaire -&gt; taux de pret bancaire</w:t>
            </w:r>
          </w:p>
        </w:tc>
        <w:tc>
          <w:tcPr>
            <w:tcW w:type="dxa" w:w="3220"/>
            <w:shd w:fill="EAF2F8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</w:tcPr>
          <w:p>
            <w:pPr>
              <w:spacing w:after="0" w:line="216" w:lineRule="auto"/>
            </w:pPr>
            <w:r>
              <w:rPr>
                <w:b/>
                <w:color w:val="17365D"/>
                <w:sz w:val="14"/>
              </w:rPr>
              <w:t>Echantillon</w:t>
              <w:br/>
            </w:r>
            <w:r>
              <w:rPr>
                <w:b w:val="0"/>
                <w:sz w:val="12"/>
              </w:rPr>
              <w:t>54 etudes; 848 estimations pass-through; 459 vitesse</w:t>
            </w:r>
          </w:p>
        </w:tc>
        <w:tc>
          <w:tcPr>
            <w:tcW w:type="dxa" w:w="3220"/>
            <w:shd w:fill="EAF2F8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</w:tcPr>
          <w:p>
            <w:pPr>
              <w:spacing w:after="0" w:line="216" w:lineRule="auto"/>
            </w:pPr>
            <w:r>
              <w:rPr>
                <w:b/>
                <w:color w:val="17365D"/>
                <w:sz w:val="14"/>
              </w:rPr>
              <w:t>Methode</w:t>
              <w:br/>
            </w:r>
            <w:r>
              <w:rPr>
                <w:b w:val="0"/>
                <w:sz w:val="12"/>
              </w:rPr>
              <w:t>Meta-analyse + BMA + tests de biais</w:t>
            </w:r>
          </w:p>
        </w:tc>
        <w:tc>
          <w:tcPr>
            <w:tcW w:type="dxa" w:w="3220"/>
            <w:shd w:fill="EAF2F8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</w:tcPr>
          <w:p>
            <w:pPr>
              <w:spacing w:after="0" w:line="216" w:lineRule="auto"/>
            </w:pPr>
            <w:r>
              <w:rPr>
                <w:b/>
                <w:color w:val="17365D"/>
                <w:sz w:val="14"/>
              </w:rPr>
              <w:t>Resultat</w:t>
              <w:br/>
            </w:r>
            <w:r>
              <w:rPr>
                <w:b w:val="0"/>
                <w:sz w:val="12"/>
              </w:rPr>
              <w:t>Pass-through ≈ 65-70%; vitesse ≈ 18%</w:t>
            </w:r>
          </w:p>
        </w:tc>
        <w:tc>
          <w:tcPr>
            <w:tcW w:type="dxa" w:w="3220"/>
            <w:shd w:fill="EAF2F8"/>
            <w:tcBorders>
              <w:top w:val="single" w:sz="6" w:space="0" w:color="9EADCC"/>
              <w:left w:val="single" w:sz="6" w:space="0" w:color="9EADCC"/>
              <w:bottom w:val="single" w:sz="6" w:space="0" w:color="9EADCC"/>
              <w:right w:val="single" w:sz="6" w:space="0" w:color="9EADCC"/>
            </w:tcBorders>
          </w:tcPr>
          <w:p>
            <w:pPr>
              <w:spacing w:after="0" w:line="216" w:lineRule="auto"/>
            </w:pPr>
            <w:r>
              <w:rPr>
                <w:b/>
                <w:color w:val="17365D"/>
                <w:sz w:val="14"/>
              </w:rPr>
              <w:t>Point cle</w:t>
              <w:br/>
            </w:r>
            <w:r>
              <w:rPr>
                <w:b w:val="0"/>
                <w:sz w:val="12"/>
              </w:rPr>
              <w:t>Asymetrie: ≈70% vs ≈36%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67"/>
        <w:gridCol w:w="5367"/>
        <w:gridCol w:w="5367"/>
      </w:tblGrid>
      <w:tr>
        <w:tc>
          <w:tcPr>
            <w:tcW w:type="dxa" w:w="5367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/>
          </w:tcPr>
          <w:p>
            <w:r/>
          </w:p>
          <w:p>
            <w:pPr>
              <w:spacing w:after="20" w:before="20"/>
            </w:pPr>
            <w:r>
              <w:rPr>
                <w:b/>
                <w:color w:val="17365D"/>
                <w:sz w:val="17"/>
              </w:rPr>
              <w:t>1. Question et cadre theorique</w:t>
            </w:r>
          </w:p>
          <w:p>
            <w:pPr>
              <w:spacing w:after="12" w:line="228" w:lineRule="auto"/>
            </w:pPr>
            <w:r>
              <w:rPr>
                <w:b w:val="0"/>
                <w:sz w:val="13"/>
              </w:rPr>
              <w:t>Question : combien et avec quel delai les taux directeurs / monetaires se transmettent-ils aux taux preteurs des banques ? L’article distingue l’ampleur du pass-through et la vitesse d’ajustement.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Neo-keynesien : hausse taux directeur -&gt; hausse taux bancaires -&gt; cout du credit plus eleve -&gt; baisse consommation/investissement.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Post-keynesien : les banques fixent un mark-up sur le taux de base ; la transmission depend de la concurrence, du risque, de la liquidite et de la volonte de preter.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Hypothese importante : la transmission peut etre incomplete et asymetrique : les hausses de taux sont souvent transmises differemment des baisses.</w:t>
            </w:r>
          </w:p>
          <w:p>
            <w:pPr>
              <w:spacing w:after="20" w:before="20"/>
            </w:pPr>
            <w:r>
              <w:rPr>
                <w:b/>
                <w:color w:val="17365D"/>
                <w:sz w:val="17"/>
              </w:rPr>
              <w:t>2. Equation et variables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367"/>
            </w:tblGrid>
            <w:tr>
              <w:tc>
                <w:tcPr>
                  <w:tcW w:type="dxa" w:w="5367"/>
                  <w:shd w:fill="F7F7F7"/>
                  <w:tcBorders>
                    <w:top w:val="single" w:sz="6" w:space="0" w:color="BFBFBF"/>
                    <w:left w:val="single" w:sz="6" w:space="0" w:color="BFBFBF"/>
                    <w:bottom w:val="single" w:sz="6" w:space="0" w:color="BFBFBF"/>
                    <w:right w:val="single" w:sz="6" w:space="0" w:color="BFBFBF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sz w:val="13"/>
                    </w:rPr>
                    <w:t>ΔLR_t = φΔMR_t + θΔX_t + λ(ΔLR_{t-1} - βMR_{t-1} - γΔX_{t-1}) + ε_t</w:t>
                  </w:r>
                </w:p>
              </w:tc>
            </w:tr>
          </w:tbl>
          <w:p/>
          <w:p>
            <w:pPr>
              <w:spacing w:after="12" w:line="228" w:lineRule="auto"/>
            </w:pPr>
            <w:r>
              <w:rPr>
                <w:b w:val="0"/>
                <w:sz w:val="13"/>
              </w:rPr>
              <w:t>LR = taux de pret bancaire ; MR = taux de politique monetaire ou taux du marche monetaire ; X = controles macro/banque. φ = court terme ; β = pass-through de long terme ; λ = vitesse de retour vers l’equilibre (attendue negative et significative).</w:t>
            </w:r>
          </w:p>
          <w:p>
            <w:pPr>
              <w:spacing w:after="20" w:before="20"/>
            </w:pPr>
            <w:r>
              <w:rPr>
                <w:b/>
                <w:color w:val="17365D"/>
                <w:sz w:val="17"/>
              </w:rPr>
              <w:t>3. Donnees et selection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Recherche Google Scholar : ‘interest rate pass-through’ et ‘interest rate transmission’. Filtrage PRISMA + references des articles.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Inclusion : depuis 2017 ; coefficients long terme et/ou vitesse d’ajustement ; erreurs standards/statistiques disponibles ; taux exprimes en pourcentage, donc coefficients comparables.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Outliers retires apres analyse d’influence : 86 observations pour pass-through et 50 pour vitesse.</w:t>
            </w:r>
          </w:p>
        </w:tc>
        <w:tc>
          <w:tcPr>
            <w:tcW w:type="dxa" w:w="5367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/>
          </w:tcPr>
          <w:p>
            <w:r/>
          </w:p>
          <w:p>
            <w:pPr>
              <w:spacing w:after="20" w:before="20"/>
            </w:pPr>
            <w:r>
              <w:rPr>
                <w:b/>
                <w:color w:val="17365D"/>
                <w:sz w:val="17"/>
              </w:rPr>
              <w:t>4. Modeles utilises dans les etudes primaires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ARDL et NARDL : relations dynamiques court/long terme ; NARDL permet l’asymetrie.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ECM : modele central pour mesurer l’ajustement vers l’equilibre apres un choc de taux.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VAR / Factor-augmented VAR / TVP-VAR : interactions dynamiques et transmission changeante dans le temps.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PMG-ARDL et CS-ARDL : extensions pour panels, heterogeneite et dependance transversale.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Certaines etudes integrent les periodes ZLB, taux negatifs, QE et instruments non conventionnels.</w:t>
            </w:r>
          </w:p>
          <w:p>
            <w:pPr>
              <w:spacing w:after="20" w:before="20"/>
            </w:pPr>
            <w:r>
              <w:rPr>
                <w:b/>
                <w:color w:val="17365D"/>
                <w:sz w:val="17"/>
              </w:rPr>
              <w:t>5. Methode de la meta-analyse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Biais de publication : funnel plots, FAT-PET, PEESE, MAIVE, selection model, WAAP, top 10, kinked method.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Heterogeneite : meta-regression avec 45 variables pour le pass-through et 43 pour la vitesse.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Estimation principale : Bayesian Model Averaging (BMA), ponderee par l’inverse du nombre d’estimations par etude ; robustness check en OLS avec erreurs standards clusterisees par etude.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Variables codees : type de donnees, frequence, methode, taux monetaire utilise, type de pret, statut de publication, region, inflation, risque de credit, concentration bancaire, independance de la banque centrale, profondeur financiere.</w:t>
            </w:r>
          </w:p>
          <w:p>
            <w:pPr>
              <w:spacing w:after="20" w:before="20"/>
            </w:pPr>
            <w:r>
              <w:rPr>
                <w:b/>
                <w:color w:val="17365D"/>
                <w:sz w:val="17"/>
              </w:rPr>
              <w:t>6. Chiffres clefs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789"/>
              <w:gridCol w:w="1789"/>
              <w:gridCol w:w="1789"/>
            </w:tblGrid>
            <w:tr>
              <w:tc>
                <w:tcPr>
                  <w:tcW w:type="dxa" w:w="1789"/>
                  <w:shd w:fill="17365D"/>
                  <w:tcBorders>
                    <w:top w:val="single" w:sz="6" w:space="0" w:color="17365D"/>
                    <w:left w:val="single" w:sz="6" w:space="0" w:color="17365D"/>
                    <w:bottom w:val="single" w:sz="6" w:space="0" w:color="17365D"/>
                    <w:right w:val="single" w:sz="6" w:space="0" w:color="17365D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/>
                      <w:color w:val="FFFFFF"/>
                      <w:sz w:val="12"/>
                    </w:rPr>
                    <w:t>Indicateur</w:t>
                  </w:r>
                </w:p>
              </w:tc>
              <w:tc>
                <w:tcPr>
                  <w:tcW w:type="dxa" w:w="1789"/>
                  <w:shd w:fill="17365D"/>
                  <w:tcBorders>
                    <w:top w:val="single" w:sz="6" w:space="0" w:color="17365D"/>
                    <w:left w:val="single" w:sz="6" w:space="0" w:color="17365D"/>
                    <w:bottom w:val="single" w:sz="6" w:space="0" w:color="17365D"/>
                    <w:right w:val="single" w:sz="6" w:space="0" w:color="17365D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/>
                      <w:color w:val="FFFFFF"/>
                      <w:sz w:val="12"/>
                    </w:rPr>
                    <w:t>Chiffre</w:t>
                  </w:r>
                </w:p>
              </w:tc>
              <w:tc>
                <w:tcPr>
                  <w:tcW w:type="dxa" w:w="1789"/>
                  <w:shd w:fill="17365D"/>
                  <w:tcBorders>
                    <w:top w:val="single" w:sz="6" w:space="0" w:color="17365D"/>
                    <w:left w:val="single" w:sz="6" w:space="0" w:color="17365D"/>
                    <w:bottom w:val="single" w:sz="6" w:space="0" w:color="17365D"/>
                    <w:right w:val="single" w:sz="6" w:space="0" w:color="17365D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/>
                      <w:color w:val="FFFFFF"/>
                      <w:sz w:val="12"/>
                    </w:rPr>
                    <w:t>Lecture</w:t>
                  </w:r>
                </w:p>
              </w:tc>
            </w:tr>
            <w:tr>
              <w:tc>
                <w:tcPr>
                  <w:tcW w:type="dxa" w:w="1789"/>
                  <w:shd w:fill="F2F6FB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/>
                      <w:sz w:val="12"/>
                    </w:rPr>
                    <w:t>Pass-through global</w:t>
                  </w:r>
                </w:p>
              </w:tc>
              <w:tc>
                <w:tcPr>
                  <w:tcW w:type="dxa" w:w="1789"/>
                  <w:shd w:fill="F2F6FB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 w:val="0"/>
                      <w:sz w:val="12"/>
                    </w:rPr>
                    <w:t>0,648 ≈ 65%</w:t>
                  </w:r>
                </w:p>
              </w:tc>
              <w:tc>
                <w:tcPr>
                  <w:tcW w:type="dxa" w:w="1789"/>
                  <w:shd w:fill="F2F6FB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 w:val="0"/>
                      <w:sz w:val="12"/>
                    </w:rPr>
                    <w:t>important mais incomplet</w:t>
                  </w:r>
                </w:p>
              </w:tc>
            </w:tr>
            <w:tr>
              <w:tc>
                <w:tcPr>
                  <w:tcW w:type="dxa" w:w="1789"/>
                  <w:shd w:fill="FFFFFF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/>
                      <w:sz w:val="12"/>
                    </w:rPr>
                    <w:t>Pass-through sym.</w:t>
                  </w:r>
                </w:p>
              </w:tc>
              <w:tc>
                <w:tcPr>
                  <w:tcW w:type="dxa" w:w="1789"/>
                  <w:shd w:fill="FFFFFF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 w:val="0"/>
                      <w:sz w:val="12"/>
                    </w:rPr>
                    <w:t>0,694 ≈ 70%</w:t>
                  </w:r>
                </w:p>
              </w:tc>
              <w:tc>
                <w:tcPr>
                  <w:tcW w:type="dxa" w:w="1789"/>
                  <w:shd w:fill="FFFFFF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 w:val="0"/>
                      <w:sz w:val="12"/>
                    </w:rPr>
                    <w:t>plus eleve</w:t>
                  </w:r>
                </w:p>
              </w:tc>
            </w:tr>
            <w:tr>
              <w:tc>
                <w:tcPr>
                  <w:tcW w:type="dxa" w:w="1789"/>
                  <w:shd w:fill="F2F6FB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/>
                      <w:sz w:val="12"/>
                    </w:rPr>
                    <w:t>Pass-through asym.</w:t>
                  </w:r>
                </w:p>
              </w:tc>
              <w:tc>
                <w:tcPr>
                  <w:tcW w:type="dxa" w:w="1789"/>
                  <w:shd w:fill="F2F6FB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 w:val="0"/>
                      <w:sz w:val="12"/>
                    </w:rPr>
                    <w:t>0,363 ≈ 36%</w:t>
                  </w:r>
                </w:p>
              </w:tc>
              <w:tc>
                <w:tcPr>
                  <w:tcW w:type="dxa" w:w="1789"/>
                  <w:shd w:fill="F2F6FB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 w:val="0"/>
                      <w:sz w:val="12"/>
                    </w:rPr>
                    <w:t>forte rigidite/asymetrie</w:t>
                  </w:r>
                </w:p>
              </w:tc>
            </w:tr>
            <w:tr>
              <w:tc>
                <w:tcPr>
                  <w:tcW w:type="dxa" w:w="1789"/>
                  <w:shd w:fill="FFFFFF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/>
                      <w:sz w:val="12"/>
                    </w:rPr>
                    <w:t>Vitesse ajust.</w:t>
                  </w:r>
                </w:p>
              </w:tc>
              <w:tc>
                <w:tcPr>
                  <w:tcW w:type="dxa" w:w="1789"/>
                  <w:shd w:fill="FFFFFF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 w:val="0"/>
                      <w:sz w:val="12"/>
                    </w:rPr>
                    <w:t>−0,180 ≈ 18%</w:t>
                  </w:r>
                </w:p>
              </w:tc>
              <w:tc>
                <w:tcPr>
                  <w:tcW w:type="dxa" w:w="1789"/>
                  <w:shd w:fill="FFFFFF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 w:val="0"/>
                      <w:sz w:val="12"/>
                    </w:rPr>
                    <w:t>retour progressif</w:t>
                  </w:r>
                </w:p>
              </w:tc>
            </w:tr>
            <w:tr>
              <w:tc>
                <w:tcPr>
                  <w:tcW w:type="dxa" w:w="1789"/>
                  <w:shd w:fill="F2F6FB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/>
                      <w:sz w:val="12"/>
                    </w:rPr>
                    <w:t>Consumer loans</w:t>
                  </w:r>
                </w:p>
              </w:tc>
              <w:tc>
                <w:tcPr>
                  <w:tcW w:type="dxa" w:w="1789"/>
                  <w:shd w:fill="F2F6FB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 w:val="0"/>
                      <w:sz w:val="12"/>
                    </w:rPr>
                    <w:t>≈ −19%</w:t>
                  </w:r>
                </w:p>
              </w:tc>
              <w:tc>
                <w:tcPr>
                  <w:tcW w:type="dxa" w:w="1789"/>
                  <w:shd w:fill="F2F6FB"/>
                  <w:tcBorders>
                    <w:top w:val="single" w:sz="6" w:space="0" w:color="D9E2F3"/>
                    <w:left w:val="single" w:sz="6" w:space="0" w:color="D9E2F3"/>
                    <w:bottom w:val="single" w:sz="6" w:space="0" w:color="D9E2F3"/>
                    <w:right w:val="single" w:sz="6" w:space="0" w:color="D9E2F3"/>
                  </w:tcBorders>
                  <w:vAlign w:val="top"/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b w:val="0"/>
                      <w:sz w:val="12"/>
                    </w:rPr>
                    <w:t>transmission plus faible</w:t>
                  </w:r>
                </w:p>
              </w:tc>
            </w:tr>
          </w:tbl>
          <w:p/>
        </w:tc>
        <w:tc>
          <w:tcPr>
            <w:tcW w:type="dxa" w:w="5367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FFFFFF"/>
          </w:tcPr>
          <w:p>
            <w:r/>
          </w:p>
          <w:p>
            <w:pPr>
              <w:spacing w:after="20" w:before="20"/>
            </w:pPr>
            <w:r>
              <w:rPr>
                <w:b/>
                <w:color w:val="17365D"/>
                <w:sz w:val="17"/>
              </w:rPr>
              <w:t>7. Determinants empiriques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Pass-through plus fort avec micro-donnees, estimations multi-pays, ECM et specifications symetriques ; mais certains effets ne sont pas toujours robustes.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Les specifications symetriques donnent des coefficients plus eleves car elles masquent la moindre reaction des banques aux baisses de taux.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Taux de credit a la consommation : pass-through significativement plus faible (≈ −19%).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Etudes europeennes : estimations environ +24%, possiblement grace a l’integration financiere et au cadre BCE.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Risque de credit : affaiblit fortement la transmission, car les banques incorporent des primes de risque ou rationnent le credit.</w:t>
            </w:r>
          </w:p>
          <w:p>
            <w:pPr>
              <w:spacing w:after="4" w:line="221" w:lineRule="auto"/>
              <w:ind w:left="142" w:hanging="74"/>
            </w:pPr>
            <w:r>
              <w:rPr>
                <w:b/>
                <w:color w:val="17365D"/>
                <w:sz w:val="13"/>
              </w:rPr>
              <w:t xml:space="preserve">• </w:t>
            </w:r>
            <w:r>
              <w:rPr>
                <w:b w:val="0"/>
                <w:sz w:val="13"/>
              </w:rPr>
              <w:t>Vitesse : ECM donne des vitesses plus fortes ; panels/cross-country peuvent lisser les dynamiques nationales ; biais de publication plus marque que pour le pass-through.</w:t>
            </w:r>
          </w:p>
          <w:p>
            <w:pPr>
              <w:spacing w:after="20" w:before="20"/>
            </w:pPr>
            <w:r>
              <w:rPr>
                <w:b/>
                <w:color w:val="17365D"/>
                <w:sz w:val="17"/>
              </w:rPr>
              <w:t>8. Utilite pour ta literature review</w:t>
            </w:r>
          </w:p>
          <w:p>
            <w:pPr>
              <w:spacing w:after="12" w:line="228" w:lineRule="auto"/>
            </w:pPr>
            <w:r>
              <w:rPr>
                <w:b w:val="0"/>
                <w:sz w:val="13"/>
              </w:rPr>
              <w:t>L’article montre que le canal BCE -&gt; taux bancaires existe, mais qu’il n’est ni complet ni mecanique. Un pass-through autour de 65-70% signifie qu’une variation des taux directeurs ne se repercute pas integralement sur les taux de pret. L’ecart entre specifications symetriques (≈70%) et asymetriques (≈36%) est le resultat le plus utile pour discuter le comportement bancaire.</w:t>
            </w:r>
          </w:p>
          <w:p>
            <w:pPr>
              <w:spacing w:after="12" w:line="228" w:lineRule="auto"/>
            </w:pPr>
            <w:r>
              <w:rPr>
                <w:b w:val="0"/>
                <w:sz w:val="13"/>
              </w:rPr>
              <w:t>Pour les volumes de credit : l’effet des taux BCE passe d’abord par les taux bancaires effectivement ajustes, puis par la demande de credit, le risque percu, les marges bancaires et les contraintes de bilan/reglementaires. Il faut donc eviter une relation directe et automatique taux BCE -&gt; volume de credit.</w:t>
            </w:r>
          </w:p>
          <w:p>
            <w:pPr>
              <w:spacing w:after="20" w:before="20"/>
            </w:pPr>
            <w:r>
              <w:rPr>
                <w:b/>
                <w:color w:val="17365D"/>
                <w:sz w:val="17"/>
              </w:rPr>
              <w:t>Phrase prete a integrer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367"/>
            </w:tblGrid>
            <w:tr>
              <w:tc>
                <w:tcPr>
                  <w:tcW w:type="dxa" w:w="5367"/>
                  <w:shd w:fill="FFF2CC"/>
                  <w:tcBorders>
                    <w:top w:val="single" w:sz="6" w:space="0" w:color="E2C050"/>
                    <w:left w:val="single" w:sz="6" w:space="0" w:color="E2C050"/>
                    <w:bottom w:val="single" w:sz="6" w:space="0" w:color="E2C050"/>
                    <w:right w:val="single" w:sz="6" w:space="0" w:color="E2C050"/>
                  </w:tcBorders>
                </w:tcPr>
                <w:p>
                  <w:pPr>
                    <w:spacing w:after="0" w:line="221" w:lineRule="auto"/>
                  </w:pPr>
                  <w:r>
                    <w:rPr>
                      <w:b w:val="0"/>
                      <w:sz w:val="13"/>
                    </w:rPr>
                    <w:t>Zhemelko et Kocisova (2026) montrent, via une meta-analyse de 54 etudes recentes, que le pass-through des taux monetaires vers les taux bancaires est significatif mais incomplet : autour de 65-70% en moyenne, mais seulement 36% lorsque l’asymetrie est prise en compte. Cela suggere que les banques ne repercutent pas mecaniquement les decisions de la banque centrale, notamment en presence de rigidites a la baisse et de risque de credit.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6838" w:h="11906" w:orient="landscape"/>
      <w:pgMar w:top="369" w:right="369" w:bottom="312" w:left="36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666666"/>
        <w:sz w:val="12"/>
      </w:rPr>
      <w:t>Source : Zhemelko, K. &amp; Kocisova, K. (2026), “How Effective is Monetary Policy Transmission? A Meta-analysis on Interest Rate Pass-Through and Speed of Adjustment”.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