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E4057"/>
          <w:sz w:val="30"/>
          <w:szCs w:val="30"/>
        </w:rPr>
        <w:t xml:space="preserve">OPENCLAW — FEEDBACK MEMO</w:t>
      </w:r>
    </w:p>
    <w:p>
      <w:pPr>
        <w:pBdr>
          <w:bottom w:val="single" w:color="2E4057" w:sz="6" w:space="1"/>
        </w:pBdr>
        <w:spacing w:after="240"/>
      </w:pPr>
      <w:r>
        <w:rPr>
          <w:rFonts w:ascii="Arial" w:cs="Arial" w:eastAsia="Arial"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0F3F7" w:val="clear"/>
            <w:tcMar>
              <w:top w:type="dxa" w:w="80"/>
              <w:left w:type="dxa" w:w="120"/>
              <w:bottom w:type="dxa" w:w="80"/>
              <w:right w:type="dxa" w:w="120"/>
            </w:tcMar>
          </w:tcPr>
          <w:p>
            <w:r>
              <w:rPr>
                <w:rFonts w:ascii="Arial" w:cs="Arial" w:eastAsia="Arial" w:hAnsi="Arial"/>
                <w:b/>
                <w:bCs/>
                <w:color w:val="2E4057"/>
                <w:sz w:val="20"/>
                <w:szCs w:val="20"/>
              </w:rPr>
              <w:t xml:space="preserve">To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Workflow Overhaul Memo — author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From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Reviewer</w:t>
            </w:r>
          </w:p>
        </w:tc>
      </w:tr>
      <w:tr>
        <w:tc>
          <w:tcPr>
            <w:tcW w:type="dxa" w:w="2600"/>
            <w:tcBorders>
              <w:top w:val="single" w:color="CCCCCC" w:sz="1"/>
              <w:left w:val="single" w:color="CCCCCC" w:sz="1"/>
              <w:bottom w:val="single" w:color="CCCCCC" w:sz="1"/>
              <w:right w:val="single" w:color="CCCCCC" w:sz="1"/>
            </w:tcBorders>
            <w:shd w:fill="F0F3F7" w:val="clear"/>
            <w:tcMar>
              <w:top w:type="dxa" w:w="80"/>
              <w:left w:type="dxa" w:w="120"/>
              <w:bottom w:type="dxa" w:w="80"/>
              <w:right w:type="dxa" w:w="120"/>
            </w:tcMar>
          </w:tcPr>
          <w:p>
            <w:r>
              <w:rPr>
                <w:rFonts w:ascii="Arial" w:cs="Arial" w:eastAsia="Arial" w:hAnsi="Arial"/>
                <w:b/>
                <w:bCs/>
                <w:color w:val="2E4057"/>
                <w:sz w:val="20"/>
                <w:szCs w:val="20"/>
              </w:rPr>
              <w:t xml:space="preserve">Date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2026-06-06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4057"/>
                <w:sz w:val="20"/>
                <w:szCs w:val="20"/>
              </w:rPr>
              <w:t xml:space="preserve">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Suggested Workflow Overhaul — Feedback for Revision</w:t>
            </w:r>
          </w:p>
        </w:tc>
      </w:tr>
    </w:tbl>
    <w:p>
      <w:pPr>
        <w:spacing w:after="280"/>
      </w:pPr>
      <w:r>
        <w:rPr>
          <w:rFonts w:ascii="Arial" w:cs="Arial" w:eastAsia="Arial" w:hAnsi="Arial"/>
          <w:sz w:val="4"/>
          <w:szCs w:val="4"/>
        </w:rPr>
        <w:t xml:space="preserve"/>
      </w:r>
    </w:p>
    <w:p>
      <w:pPr>
        <w:spacing w:after="200"/>
      </w:pPr>
      <w:r>
        <w:rPr>
          <w:rFonts w:ascii="Arial" w:cs="Arial" w:eastAsia="Arial" w:hAnsi="Arial"/>
          <w:i w:val="false"/>
          <w:iCs w:val="false"/>
          <w:color w:val="333333"/>
          <w:sz w:val="22"/>
          <w:szCs w:val="22"/>
        </w:rPr>
        <w:t xml:space="preserve">The memo is strong. The five-layer framework is the right conceptual model, the diagnosis is correct, and the governance rules in Section 9 are clear and actionable. The following six points should be addressed before the memo is finalized and used as the basis for implementation.</w:t>
      </w:r>
    </w:p>
    <w:p>
      <w:pPr>
        <w:spacing w:after="120" w:before="320"/>
      </w:pPr>
      <w:r>
        <w:rPr>
          <w:rFonts w:ascii="Arial" w:cs="Arial" w:eastAsia="Arial" w:hAnsi="Arial"/>
          <w:b/>
          <w:bCs/>
          <w:color w:val="2E4057"/>
          <w:sz w:val="24"/>
          <w:szCs w:val="24"/>
        </w:rPr>
        <w:t xml:space="preserve">1.  Gate streak — the most consequential decision in the memo is underspecified</w:t>
      </w:r>
    </w:p>
    <w:p>
      <w:pPr>
        <w:spacing w:after="120"/>
      </w:pPr>
      <w:r>
        <w:rPr>
          <w:rFonts w:ascii="Arial" w:cs="Arial" w:eastAsia="Arial" w:hAnsi="Arial"/>
          <w:i w:val="false"/>
          <w:iCs w:val="false"/>
          <w:color w:val="333333"/>
          <w:sz w:val="22"/>
          <w:szCs w:val="22"/>
        </w:rPr>
        <w:t xml:space="preserve">Section 5A states that a delivery should count as clean only if the operator confirms claim support and usefulness — not merely because the validator passed. That is the right call. However, the memo does not say what happens to the current gate streak, which stands at 3 of 10.</w:t>
      </w:r>
    </w:p>
    <w:p>
      <w:pPr>
        <w:spacing w:after="120"/>
      </w:pPr>
      <w:r>
        <w:rPr>
          <w:rFonts w:ascii="Arial" w:cs="Arial" w:eastAsia="Arial" w:hAnsi="Arial"/>
          <w:i w:val="false"/>
          <w:iCs w:val="false"/>
          <w:color w:val="333333"/>
          <w:sz w:val="22"/>
          <w:szCs w:val="22"/>
        </w:rPr>
        <w:t xml:space="preserve">Before this memo is circulated, one of the following positions should be stated explicitly:</w:t>
      </w:r>
    </w:p>
    <w:p>
      <w:pPr>
        <w:pStyle w:val="ListParagraph"/>
        <w:numPr>
          <w:ilvl w:val="0"/>
          <w:numId w:val="2"/>
        </w:numPr>
        <w:spacing w:after="80"/>
      </w:pPr>
      <w:r>
        <w:rPr>
          <w:rFonts w:ascii="Arial" w:cs="Arial" w:eastAsia="Arial" w:hAnsi="Arial"/>
          <w:color w:val="333333"/>
          <w:sz w:val="22"/>
          <w:szCs w:val="22"/>
        </w:rPr>
        <w:t xml:space="preserve">The streak resets to zero and restarts under the new definition.</w:t>
      </w:r>
    </w:p>
    <w:p>
      <w:pPr>
        <w:pStyle w:val="ListParagraph"/>
        <w:numPr>
          <w:ilvl w:val="0"/>
          <w:numId w:val="2"/>
        </w:numPr>
        <w:spacing w:after="80"/>
      </w:pPr>
      <w:r>
        <w:rPr>
          <w:rFonts w:ascii="Arial" w:cs="Arial" w:eastAsia="Arial" w:hAnsi="Arial"/>
          <w:color w:val="333333"/>
          <w:sz w:val="22"/>
          <w:szCs w:val="22"/>
        </w:rPr>
        <w:t xml:space="preserve">The streak holds at 3 and continues under the new definition from the next delivery forward.</w:t>
      </w:r>
    </w:p>
    <w:p>
      <w:pPr>
        <w:pStyle w:val="ListParagraph"/>
        <w:numPr>
          <w:ilvl w:val="0"/>
          <w:numId w:val="2"/>
        </w:numPr>
        <w:spacing w:after="80"/>
      </w:pPr>
      <w:r>
        <w:rPr>
          <w:rFonts w:ascii="Arial" w:cs="Arial" w:eastAsia="Arial" w:hAnsi="Arial"/>
          <w:color w:val="333333"/>
          <w:sz w:val="22"/>
          <w:szCs w:val="22"/>
        </w:rPr>
        <w:t xml:space="preserve">The streak is suspended pending review of D13–D15 against the new standard.</w:t>
      </w:r>
    </w:p>
    <w:p>
      <w:pPr>
        <w:spacing w:after="120"/>
      </w:pPr>
      <w:r>
        <w:rPr>
          <w:rFonts w:ascii="Arial" w:cs="Arial" w:eastAsia="Arial" w:hAnsi="Arial"/>
          <w:i/>
          <w:iCs/>
          <w:color w:val="666666"/>
          <w:sz w:val="22"/>
          <w:szCs w:val="22"/>
        </w:rPr>
        <w:t xml:space="preserve">Leaving this implicit will create ambiguity when D18 is reviewed.</w:t>
      </w:r>
    </w:p>
    <w:p>
      <w:pPr>
        <w:spacing w:after="120" w:before="320"/>
      </w:pPr>
      <w:r>
        <w:rPr>
          <w:rFonts w:ascii="Arial" w:cs="Arial" w:eastAsia="Arial" w:hAnsi="Arial"/>
          <w:b/>
          <w:bCs/>
          <w:color w:val="2E4057"/>
          <w:sz w:val="24"/>
          <w:szCs w:val="24"/>
        </w:rPr>
        <w:t xml:space="preserve">2.  Layer 4 is ADV-015 — reference it explicitly</w:t>
      </w:r>
    </w:p>
    <w:p>
      <w:pPr>
        <w:spacing w:after="120"/>
      </w:pPr>
      <w:r>
        <w:rPr>
          <w:rFonts w:ascii="Arial" w:cs="Arial" w:eastAsia="Arial" w:hAnsi="Arial"/>
          <w:i w:val="false"/>
          <w:iCs w:val="false"/>
          <w:color w:val="333333"/>
          <w:sz w:val="22"/>
          <w:szCs w:val="22"/>
        </w:rPr>
        <w:t xml:space="preserve">The Claim Support Check described in Layer 4 and Step 4 is the problem that ADV-015 was raised to address. Option D (manual spot-check) is already active. Option B (automated alignment check) spec is pending.</w:t>
      </w:r>
    </w:p>
    <w:p>
      <w:pPr>
        <w:spacing w:after="120"/>
      </w:pPr>
      <w:r>
        <w:rPr>
          <w:rFonts w:ascii="Arial" w:cs="Arial" w:eastAsia="Arial" w:hAnsi="Arial"/>
          <w:i w:val="false"/>
          <w:iCs w:val="false"/>
          <w:color w:val="333333"/>
          <w:sz w:val="22"/>
          <w:szCs w:val="22"/>
        </w:rPr>
        <w:t xml:space="preserve">The memo should reference ADV-015 so that readers understand this layer already has an advisory, an approved manual control, and an automation spec in progress. Without that reference, the memo implies the work is entirely new — risking re-derivation rather than completion of the existing spec.</w:t>
      </w:r>
    </w:p>
    <w:p>
      <w:pPr>
        <w:spacing w:after="120" w:before="320"/>
      </w:pPr>
      <w:r>
        <w:rPr>
          <w:rFonts w:ascii="Arial" w:cs="Arial" w:eastAsia="Arial" w:hAnsi="Arial"/>
          <w:b/>
          <w:bCs/>
          <w:color w:val="2E4057"/>
          <w:sz w:val="24"/>
          <w:szCs w:val="24"/>
        </w:rPr>
        <w:t xml:space="preserve">3.  Layer 3 overlaps with existing deployed work — acknowledge it</w:t>
      </w:r>
    </w:p>
    <w:p>
      <w:pPr>
        <w:spacing w:after="120"/>
      </w:pPr>
      <w:r>
        <w:rPr>
          <w:rFonts w:ascii="Arial" w:cs="Arial" w:eastAsia="Arial" w:hAnsi="Arial"/>
          <w:i w:val="false"/>
          <w:iCs w:val="false"/>
          <w:color w:val="333333"/>
          <w:sz w:val="22"/>
          <w:szCs w:val="22"/>
        </w:rPr>
        <w:t xml:space="preserve">The Source Quality Check in Layer 3 overlaps with two bodies of work already in place:</w:t>
      </w:r>
    </w:p>
    <w:p>
      <w:pPr>
        <w:pStyle w:val="ListParagraph"/>
        <w:numPr>
          <w:ilvl w:val="0"/>
          <w:numId w:val="2"/>
        </w:numPr>
        <w:spacing w:after="80"/>
      </w:pPr>
      <w:r>
        <w:rPr>
          <w:rFonts w:ascii="Arial" w:cs="Arial" w:eastAsia="Arial" w:hAnsi="Arial"/>
          <w:b/>
          <w:bCs/>
          <w:color w:val="333333"/>
          <w:sz w:val="22"/>
          <w:szCs w:val="22"/>
        </w:rPr>
        <w:t xml:space="preserve">ADV-014: </w:t>
      </w:r>
      <w:r>
        <w:rPr>
          <w:rFonts w:ascii="Arial" w:cs="Arial" w:eastAsia="Arial" w:hAnsi="Arial"/>
          <w:color w:val="333333"/>
          <w:sz w:val="22"/>
          <w:szCs w:val="22"/>
        </w:rPr>
        <w:t xml:space="preserve">ADV-014 (domain exclusion and snippet quality floor) — Layer 1 deployed; Layer 2 approved this session.</w:t>
      </w:r>
    </w:p>
    <w:p>
      <w:pPr>
        <w:pStyle w:val="ListParagraph"/>
        <w:numPr>
          <w:ilvl w:val="0"/>
          <w:numId w:val="2"/>
        </w:numPr>
        <w:spacing w:after="80"/>
      </w:pPr>
      <w:r>
        <w:rPr>
          <w:rFonts w:ascii="Arial" w:cs="Arial" w:eastAsia="Arial" w:hAnsi="Arial"/>
          <w:b/>
          <w:bCs/>
          <w:color w:val="333333"/>
          <w:sz w:val="22"/>
          <w:szCs w:val="22"/>
        </w:rPr>
        <w:t xml:space="preserve">CP-020: </w:t>
      </w:r>
      <w:r>
        <w:rPr>
          <w:rFonts w:ascii="Arial" w:cs="Arial" w:eastAsia="Arial" w:hAnsi="Arial"/>
          <w:color w:val="333333"/>
          <w:sz w:val="22"/>
          <w:szCs w:val="22"/>
        </w:rPr>
        <w:t xml:space="preserve">CP-020 (source taxonomy and freshness labels) — deployed in build_agent_input_slim.py.</w:t>
      </w:r>
    </w:p>
    <w:p>
      <w:pPr>
        <w:spacing w:after="120"/>
      </w:pPr>
      <w:r>
        <w:rPr>
          <w:rFonts w:ascii="Arial" w:cs="Arial" w:eastAsia="Arial" w:hAnsi="Arial"/>
          <w:i w:val="false"/>
          <w:iCs w:val="false"/>
          <w:color w:val="333333"/>
          <w:sz w:val="22"/>
          <w:szCs w:val="22"/>
        </w:rPr>
        <w:t xml:space="preserve">The memo should clarify that Layer 3 builds on this existing work rather than replacing it, and that the source category definitions proposed should be reconciled with the CP-020 taxonomy already in use.</w:t>
      </w:r>
    </w:p>
    <w:p>
      <w:pPr>
        <w:spacing w:after="120" w:before="320"/>
      </w:pPr>
      <w:r>
        <w:rPr>
          <w:rFonts w:ascii="Arial" w:cs="Arial" w:eastAsia="Arial" w:hAnsi="Arial"/>
          <w:b/>
          <w:bCs/>
          <w:color w:val="2E4057"/>
          <w:sz w:val="24"/>
          <w:szCs w:val="24"/>
        </w:rPr>
        <w:t xml:space="preserve">4.  Section 5C changes the Browser Phase 1 objective — state the change</w:t>
      </w:r>
    </w:p>
    <w:p>
      <w:pPr>
        <w:spacing w:after="120"/>
      </w:pPr>
      <w:r>
        <w:rPr>
          <w:rFonts w:ascii="Arial" w:cs="Arial" w:eastAsia="Arial" w:hAnsi="Arial"/>
          <w:i w:val="false"/>
          <w:iCs w:val="false"/>
          <w:color w:val="333333"/>
          <w:sz w:val="22"/>
          <w:szCs w:val="22"/>
        </w:rPr>
        <w:t xml:space="preserve">The memo redirects Full Article Retrieval from its original mandate (signal-widening research track, authorized 2026-05-20) to a trust verification support role. That is a sensible reorientation.</w:t>
      </w:r>
    </w:p>
    <w:p>
      <w:pPr>
        <w:spacing w:after="120"/>
      </w:pPr>
      <w:r>
        <w:rPr>
          <w:rFonts w:ascii="Arial" w:cs="Arial" w:eastAsia="Arial" w:hAnsi="Arial"/>
          <w:i w:val="false"/>
          <w:iCs w:val="false"/>
          <w:color w:val="333333"/>
          <w:sz w:val="22"/>
          <w:szCs w:val="22"/>
        </w:rPr>
        <w:t xml:space="preserve">However, the memo does not acknowledge that this changes the objective. The Days 8–11 scope — CCTV networkidle re-test, Reuters/Bloomberg stealth UA attempt — was designed for the signal-widening mandate. If the objective is now claim verification support, the remaining Phase 1 work should be re-scoped accordingly. The memo should state this explicitly rather than leaving the scope change implicit.</w:t>
      </w:r>
    </w:p>
    <w:p>
      <w:pPr>
        <w:spacing w:after="120" w:before="320"/>
      </w:pPr>
      <w:r>
        <w:rPr>
          <w:rFonts w:ascii="Arial" w:cs="Arial" w:eastAsia="Arial" w:hAnsi="Arial"/>
          <w:b/>
          <w:bCs/>
          <w:color w:val="2E4057"/>
          <w:sz w:val="24"/>
          <w:szCs w:val="24"/>
        </w:rPr>
        <w:t xml:space="preserve">5.  Dashboard redesign — clarify scope</w:t>
      </w:r>
    </w:p>
    <w:p>
      <w:pPr>
        <w:spacing w:after="120"/>
      </w:pPr>
      <w:r>
        <w:rPr>
          <w:rFonts w:ascii="Arial" w:cs="Arial" w:eastAsia="Arial" w:hAnsi="Arial"/>
          <w:i w:val="false"/>
          <w:iCs w:val="false"/>
          <w:color w:val="333333"/>
          <w:sz w:val="22"/>
          <w:szCs w:val="22"/>
        </w:rPr>
        <w:t xml:space="preserve">Section 6 proposes a dashboard reorganized around operator decisions. The Board Dashboard (OPENCLAW_Board_Dashboard.html) was created 2026-06-02 and is the current live document.</w:t>
      </w:r>
    </w:p>
    <w:p>
      <w:pPr>
        <w:spacing w:after="120"/>
      </w:pPr>
      <w:r>
        <w:rPr>
          <w:rFonts w:ascii="Arial" w:cs="Arial" w:eastAsia="Arial" w:hAnsi="Arial"/>
          <w:i w:val="false"/>
          <w:iCs w:val="false"/>
          <w:color w:val="333333"/>
          <w:sz w:val="22"/>
          <w:szCs w:val="22"/>
        </w:rPr>
        <w:t xml:space="preserve">The memo should clarify whether Section 6 proposes an evolution of that document or a replacement. If a replacement, the new sections (Where We Stand, Today's Trust Status, Workstream Status, etc.) should be mapped to a change packet so Claude Code can implement them in a defined session.</w:t>
      </w:r>
    </w:p>
    <w:p>
      <w:pPr>
        <w:spacing w:after="120" w:before="320"/>
      </w:pPr>
      <w:r>
        <w:rPr>
          <w:rFonts w:ascii="Arial" w:cs="Arial" w:eastAsia="Arial" w:hAnsi="Arial"/>
          <w:b/>
          <w:bCs/>
          <w:color w:val="2E4057"/>
          <w:sz w:val="24"/>
          <w:szCs w:val="24"/>
        </w:rPr>
        <w:t xml:space="preserve">6.  The memo needs a document ID to carry governing authority</w:t>
      </w:r>
    </w:p>
    <w:p>
      <w:pPr>
        <w:spacing w:after="120"/>
      </w:pPr>
      <w:r>
        <w:rPr>
          <w:rFonts w:ascii="Arial" w:cs="Arial" w:eastAsia="Arial" w:hAnsi="Arial"/>
          <w:i w:val="false"/>
          <w:iCs w:val="false"/>
          <w:color w:val="333333"/>
          <w:sz w:val="22"/>
          <w:szCs w:val="22"/>
        </w:rPr>
        <w:t xml:space="preserve">The memo is directionally correct and CEO-level in scope, but it currently has no document ID. That means it sits outside the project's governing structure and could be bypassed in a technical session that references only advisories and change packets.</w:t>
      </w:r>
    </w:p>
    <w:p>
      <w:pPr>
        <w:spacing w:after="120"/>
      </w:pPr>
      <w:r>
        <w:rPr>
          <w:rFonts w:ascii="Arial" w:cs="Arial" w:eastAsia="Arial" w:hAnsi="Arial"/>
          <w:i w:val="false"/>
          <w:iCs w:val="false"/>
          <w:color w:val="333333"/>
          <w:sz w:val="22"/>
          <w:szCs w:val="22"/>
        </w:rPr>
        <w:t xml:space="preserve">Recommended: issue as ADV-016, or trigger an Operating Protocol update (v2.8) that incorporates the five-layer model and new clean-delivery definition as governing standards. Either path gives the memo binding authority over the workflow.</w:t>
      </w:r>
    </w:p>
    <w:p>
      <w:pPr>
        <w:spacing w:after="200"/>
      </w:pPr>
      <w:r>
        <w:rPr>
          <w:rFonts w:ascii="Arial" w:cs="Arial" w:eastAsia="Arial" w:hAnsi="Arial"/>
          <w:sz w:val="4"/>
          <w:szCs w:val="4"/>
        </w:rPr>
        <w:t xml:space="preserve"/>
      </w:r>
    </w:p>
    <w:p>
      <w:pPr>
        <w:pBdr>
          <w:top w:val="single" w:color="CCCCCC" w:sz="4" w:space="1"/>
        </w:pBdr>
        <w:spacing w:after="160" w:before="160"/>
      </w:pPr>
      <w:r>
        <w:rPr>
          <w:rFonts w:ascii="Arial" w:cs="Arial" w:eastAsia="Arial" w:hAnsi="Arial"/>
          <w:sz w:val="4"/>
          <w:szCs w:val="4"/>
        </w:rPr>
        <w:t xml:space="preserve"/>
      </w:r>
    </w:p>
    <w:p>
      <w:pPr>
        <w:spacing w:after="120"/>
      </w:pPr>
      <w:r>
        <w:rPr>
          <w:rFonts w:ascii="Arial" w:cs="Arial" w:eastAsia="Arial" w:hAnsi="Arial"/>
          <w:i/>
          <w:iCs/>
          <w:color w:val="666666"/>
          <w:sz w:val="22"/>
          <w:szCs w:val="22"/>
        </w:rPr>
        <w:t xml:space="preserve">None of the above changes the core recommendation. The memo should be revised on these six points and issued with a document ID. Implementation can begin once the gate streak decision (Point 1) and the ADV-015/Layer 4 mapping (Point 2) are confirmed in the final version.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2026-06-06T06:26:31.731Z</dcterms:created>
  <dcterms:modified xsi:type="dcterms:W3CDTF">2026-06-06T06:26:31.731Z</dcterms:modified>
</cp:coreProperties>
</file>

<file path=docProps/custom.xml><?xml version="1.0" encoding="utf-8"?>
<Properties xmlns="http://schemas.openxmlformats.org/officeDocument/2006/custom-properties" xmlns:vt="http://schemas.openxmlformats.org/officeDocument/2006/docPropsVTypes"/>
</file>