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aps/>
                <w:color w:val="C5D5E8"/>
                <w:sz w:val="16"/>
                <w:szCs w:val="16"/>
              </w:rPr>
              <w:t xml:space="preserve">CONFIDENTIAL — OPERATOR USE ONLY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OPENCLAW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5D5E8"/>
                <w:sz w:val="32"/>
                <w:szCs w:val="32"/>
              </w:rPr>
              <w:t xml:space="preserve">Advisory Memorandum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EAF0F8"/>
                <w:sz w:val="24"/>
                <w:szCs w:val="24"/>
              </w:rPr>
              <w:t xml:space="preserve">Project Status &amp; Phase 7 Execution Roadmap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8A" w:val="clear"/>
            <w:tcMar>
              <w:top w:type="dxa" w:w="160"/>
              <w:left w:type="dxa" w:w="600"/>
              <w:bottom w:type="dxa" w:w="160"/>
              <w:right w:type="dxa" w:w="6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DATE: May 8, 2026     TO: OpenClaw Project Operator     FROM: Claude CoWork     REF: OPENCLAW-ADV-002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6"/>
                <w:szCs w:val="16"/>
              </w:rPr>
              <w:t xml:space="preserve">System Status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8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6"/>
                <w:szCs w:val="16"/>
              </w:rPr>
              <w:t xml:space="preserve">Open Issues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6"/>
                <w:szCs w:val="16"/>
              </w:rPr>
              <w:t xml:space="preserve">Current Phase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→ 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22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6"/>
                <w:szCs w:val="16"/>
              </w:rPr>
              <w:t xml:space="preserve">Fabrication Rate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0%</w:t>
            </w:r>
          </w:p>
        </w:tc>
      </w:tr>
    </w:tbl>
    <w:p>
      <w:pPr>
        <w:spacing w:after="32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 Executive Summary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OpenClaw has completed the full Phase 6 Soft Layer (Phases 6.1 through 6.8) as of May 7, 2026. The pipeline is operational, deterministic, and delivering cited intelligence to Lark on a daily automated schedule. All open issues are resolved. Agent citation fabrication has been eliminated — down from a 48% baseline to 0%. The system is ready to advance.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memo sets out where the project stands, what has been built, and a simplified sequential roadmap through Phase 7 to first paid client and beyond. The roadmap has been linearised for a solo operator. There are no parallel tracks — each step is completed before the next begins.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path to first revenue is approximately two months from today. The full platform — multi-client, document intelligence, Brain Full — is approximately eight to ten months out.</w:t>
      </w:r>
    </w:p>
    <w:p>
      <w:pPr>
        <w:spacing w:after="8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 Current System Status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8,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 Soft Layer complete — Phase 7 entry pending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Last cron run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2026-05-08 06:32 Shanghai — clean delivery confirmed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Validator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PASS — 23/23 citations matched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Fabrication rate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0% (reduced from 48% baseline at Phase 6.3)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Open issues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Issues #43 and #44 both resolved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Providers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Brave + Baidu — both operational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substitutions_made=23, missing_ids=0, HTTP 200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2026-05-08 delivery included 3 Executive Take bullets and 5 Advisory Layer bullets across 6 distinct publishers, including multiple Sina Finance and finance.sina.cn entries. Chinese-language sources are now surfacing reliably — the core deliverable of Phase 6.8.</w:t>
      </w:r>
    </w:p>
    <w:p>
      <w:pPr>
        <w:spacing w:after="8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 What Phase 6 Built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6 transformed OpenClaw from a prototype that occasionally delivered unreliable output into a citation-enforced, validator-gated, deterministic intelligence pipeline. The following are now in production:</w:t>
      </w:r>
    </w:p>
    <w:p>
      <w:pPr>
        <w:spacing w:after="60" w:before="0"/>
      </w:pP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Locked citation architecture — agent cites source numbers; resolver maps to verified result_ids; scrubber removes any invalid IDs before delivery.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Uncited claim removal — any bullet in Executive Take or Advisory Layer without a verified citation is removed; delivery blocked if Executive Take runs empty.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Citation substitution — result_id tokens replaced with human-readable publisher and date strings in delivered output; result_ids retained in logs for full traceability.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Conflict detection — three-tier classification (factual / directional / numeric) extracted per run, logged, and injected into delivery when present.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Dual-provider retrieval — Brave and Baidu both operational; Chinese-language sources verified in delivery.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Validator enforcement — every citation traced to a verified source before the delivery gate opens. No fabricated citation has reached a subscriber since Phase 6.8.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capabilities are the foundation Phase 7 builds on. They do not need to be revisited. Phase 7 adds the intelligence layer, client configuration, and scale.</w:t>
      </w:r>
    </w:p>
    <w:p>
      <w:pPr>
        <w:spacing w:after="8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 Execution Roadmap — Sequential Steps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Ten steps, in order. No step begins until the previous one is confirmed complete and operator-approved. Steps 1–5 are planning and infrastructure — no pipeline changes. Steps 6–7 are the first real build work. Step 8 is the revenue milestone.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NEXT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Close Phase A Gate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Passive — 2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 cron runs on 2026-05-09 and 2026-05-10. Three clean runs confirmed so far. Two more close the five-consecutive-run trust gate required before any pilot client engagement begins.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NEXT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VPS Directory Structure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/root/openclaw_docs/ and /root/openclaw_cowork/ on the VPS. Migrate all system documents. Initialise a git repository. No changes to runtime scripts or cron.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8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UPCOMING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Client Config Schema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 and approve client_config.yaml. The full field set is already defined in the Phase 7 plan. One review session to confirm. This also addresses the editorial quality items: topic focus, report template, and region scoping are all config fields.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8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UPCOMING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CoWork Daily Report Format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 the 11-field daily post-run report template. Once VPS access is configured this replaces the manual per-session analysis with an automated daily artifact written to /root/openclaw_cowork/reports/.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8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UPCOMING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Multi-Client Test Harness Design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Specify how a synthetic second client runs through the pipeline without touching the live client’s artifact namespace. Design document only — no implementation at this step.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✓  Steps 1–5 complete: Phase B closed. Infrastructure ready for build phase. No pipeline changes made.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LATER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Brain Lite Implementation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2–3 weeks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the run summary store (14-field JSON per delivery) and seven-day digest injection into the agent input, token-budgeted at 1,200 tokens. Confirm non-disruptive across five consecutive runs before advancing.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LATER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Client Configuration Implementation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1–2 weeks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the config loader. Namespace all artifacts by client ID. Run a synthetic second client end-to-end. Confirm zero cross-client contamination across all artifact types before advancing.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✓  Steps 6–7 complete: Phase C closed. System ready for first external client.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LATER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Controlled Pilot — First Paid Client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4–6 weeks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real client. China-focused monitoring brief. Operator review gate on every delivery for the first two weeks or ten deliveries. Ten consecutive clean external deliveries with client confirmation = first revenue.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A00"/>
                <w:sz w:val="22"/>
                <w:szCs w:val="22"/>
              </w:rPr>
              <w:t xml:space="preserve">★  Step 8 complete: First Revenue. Target: approximately Month 3 from today (August 2026).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LATER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Document Intelligence Lab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3–4 months (after Step 8 stable)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development track only. Document ingestion, passage-level citation enforcement, document scrubber and validator. Not client-facing until ten consecutive zero-uncited-claim internal test reports are confirmed.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8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FFFFFF"/>
                <w:sz w:val="12"/>
                <w:szCs w:val="12"/>
              </w:rPr>
              <w:t xml:space="preserve">LATER</w:t>
            </w:r>
          </w:p>
        </w:tc>
        <w:tc>
          <w:tcPr>
            <w:tcW w:type="dxa" w:w="8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Full Platform 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Month 8–10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Brain Full activation. Multi-client scaling. Document intelligence client-facing. Operator dashboard across all active clients. Commercial launch of OpenClaw as a multi-client business intelligence platform.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7A00"/>
                <w:sz w:val="22"/>
                <w:szCs w:val="22"/>
              </w:rPr>
              <w:t xml:space="preserve">★  Step 10 complete: Full Platform Operational. Target: approximately Month 8–10.</w:t>
            </w:r>
          </w:p>
        </w:tc>
      </w:tr>
    </w:tbl>
    <w:p>
      <w:pPr>
        <w:spacing w:after="16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 Content Quality — Editorial Improvements Ahead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6 focused entirely on citation integrity and pipeline reliability. The pipeline now delivers what it claims. The next editorial layer — which begins at Step 3 and matures through Steps 6 and 7 — addresses the quality of what is delivered, not just the integrity of its citations.</w:t>
      </w:r>
    </w:p>
    <w:p>
      <w:pPr>
        <w:spacing w:after="60" w:before="0"/>
      </w:pP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Freshness signalling — distinguish 24-hour precision material from 7-day recall context. Addressable through report template and agent prompt at Step 3.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Source authority calibration — frame claims differently for official sources, established financial press, and platform/contributor content. Addressable through client config and scoring in Steps 6–7.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Chinese-source diversity — expand coverage across official, state media, financial press, and sector-specific Chinese outlets. Addressable through source expansion and client config.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Advisory language tone — match claim strength to the evidence base. Remove ‘must immediately’ and ‘unprecedented’ framing unless directly supported. Addressable through agent prompt at Step 6.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Middle East anchoring — Middle East coverage should connect to China exposure or China-linked conditions. Addressable through topic focus configuration at Step 3.</w:t>
      </w:r>
    </w:p>
    <w:p>
      <w:pPr>
        <w:spacing w:after="16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 Key Risks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60"/>
        <w:gridCol w:w="8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Lite scope creep extends Phase 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 set locked at 14 fields. Any addition requires a formal phase decision.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Multi-client artifact isolation failure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Isolation is a Phase C exit criterion. No real client goes live until confirmed clean.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 exposed during VPS co-location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Phase B gated on secrets isolation and filesystem permissions enforced structurally.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Operator review gate erodes under time pressure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gate is a protocol requirement. Lifting it requires a formal decision.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intelligence quality below standard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E requires 10 consecutive zero-uncited-claim internal test reports before any client exposure.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A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 Governing Rules — Unchanged Across All Phases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rules apply across every phase and cannot be changed by a phase-level decision. They require a formal revision to the Operating Protocol with operator approval.</w:t>
      </w:r>
    </w:p>
    <w:p>
      <w:pPr>
        <w:spacing w:after="60" w:before="0"/>
      </w:pP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pipeline is deterministic. CoWork is not placed inside the live delivery pipeline under any circumstances.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Only one production layer may be modified at a time. All other work is held as proposals or design until operator approval.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client onboarding begins before the Phase A five-consecutive-run gate is confirmed.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Client namespace isolation is a non-negotiable exit criterion for all multi-client phases.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Document intelligence is not client-facing until the document scrubber, validator, and ten-run exit criterion are all confirmed.</w:t>
      </w:r>
    </w:p>
    <w:p>
      <w:pPr>
        <w:spacing w:after="100" w:before="0"/>
        <w:ind w:left="360" w:hanging="240"/>
      </w:pPr>
      <w:r>
        <w:rPr>
          <w:rFonts w:ascii="Arial" w:cs="Arial" w:eastAsia="Arial" w:hAnsi="Arial"/>
          <w:color w:val="2E5B8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document update takes effect without explicit operator approval.</w:t>
      </w:r>
    </w:p>
    <w:p>
      <w:pPr>
        <w:spacing w:after="160" w:before="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 Immediate Actions</w:t>
      </w:r>
    </w:p>
    <w:p>
      <w:pPr>
        <w:pBdr>
          <w:bottom w:val="single" w:color="C5D5E8" w:sz="6" w:space="1"/>
        </w:pBdr>
        <w:spacing w:after="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 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 2026-05-09 and 2026-05-10 cron runs and share logs. Closes Phase A gate.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 2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find command on VPS to verify scrubber_report.json path (T-06 — low urgency).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 3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this memo and confirm: proceed to Step 2 (VPS directory structure).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 4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Operating Protocol phase lock to reflect current state once phase direction confirmed.</w:t>
            </w:r>
          </w:p>
        </w:tc>
      </w:tr>
    </w:tbl>
    <w:p>
      <w:pPr>
        <w:spacing w:after="200" w:before="0"/>
      </w:pPr>
    </w:p>
    <w:p>
      <w:pPr>
        <w:pBdr>
          <w:bottom w:val="single" w:color="C5D5E8" w:sz="4" w:space="1"/>
        </w:pBdr>
        <w:spacing w:after="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This memo is advisory. No system changes, pipeline modifications, or phase advancements take effect without explicit operator approval.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OPENCLAW-ADV-002  |  Claude CoWork  |  May 8,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4" w:space="6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OPENCLAW — CONFIDENTIAL   |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2026-05-08T09:33:27.613Z</dcterms:created>
  <dcterms:modified xsi:type="dcterms:W3CDTF">2026-05-08T09:33:27.613Z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