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right"/>
      </w:pPr>
      <w:r>
        <w:rPr>
          <w:rFonts w:ascii="Arial" w:cs="Arial" w:eastAsia="Arial" w:hAnsi="Arial"/>
          <w:b/>
          <w:bCs/>
          <w:color w:val="1F3864"/>
          <w:sz w:val="18"/>
          <w:szCs w:val="18"/>
        </w:rPr>
        <w:t xml:space="preserve">CONFIDENTIAL</w:t>
      </w:r>
    </w:p>
    <w:p>
      <w:pPr>
        <w:spacing w:after="40" w:before="0"/>
        <w:jc w:val="left"/>
      </w:pPr>
      <w:r>
        <w:rPr>
          <w:rFonts w:ascii="Arial" w:cs="Arial" w:eastAsia="Arial" w:hAnsi="Arial"/>
          <w:b/>
          <w:bCs/>
          <w:color w:val="1F3864"/>
          <w:sz w:val="40"/>
          <w:szCs w:val="40"/>
        </w:rPr>
        <w:t xml:space="preserve">ADVISORY MEMORANDUM</w:t>
      </w:r>
    </w:p>
    <w:p>
      <w:pPr>
        <w:pBdr>
          <w:bottom w:val="single" w:color="1F3864" w:sz="12" w:space="1"/>
        </w:pBdr>
        <w:spacing w:after="200" w:before="0"/>
      </w:pPr>
      <w:r>
        <w:t xml:space="preserve"/>
      </w:r>
    </w:p>
    <w:p>
      <w:pPr>
        <w:spacing w:after="100" w:before="0"/>
        <w:jc w:val="left"/>
      </w:pPr>
      <w:r>
        <w:rPr>
          <w:rFonts w:ascii="Arial" w:cs="Arial" w:eastAsia="Arial" w:hAnsi="Arial"/>
          <w:b/>
          <w:bCs/>
          <w:color w:val="1F3864"/>
          <w:sz w:val="22"/>
          <w:szCs w:val="22"/>
        </w:rPr>
        <w:t xml:space="preserve">TO:</w:t>
      </w:r>
      <w:r>
        <w:rPr>
          <w:rFonts w:ascii="Arial" w:cs="Arial" w:eastAsia="Arial" w:hAnsi="Arial"/>
          <w:b w:val="false"/>
          <w:bCs w:val="false"/>
          <w:color w:val="3C3C3C"/>
          <w:sz w:val="22"/>
          <w:szCs w:val="22"/>
        </w:rPr>
        <w:t xml:space="preserve">     Outside Consultant — OpenClaw Project Review</w:t>
      </w:r>
    </w:p>
    <w:p>
      <w:pPr>
        <w:spacing w:after="100" w:before="0"/>
        <w:jc w:val="left"/>
      </w:pPr>
      <w:r>
        <w:rPr>
          <w:rFonts w:ascii="Arial" w:cs="Arial" w:eastAsia="Arial" w:hAnsi="Arial"/>
          <w:b/>
          <w:bCs/>
          <w:color w:val="1F3864"/>
          <w:sz w:val="22"/>
          <w:szCs w:val="22"/>
        </w:rPr>
        <w:t xml:space="preserve">FROM:</w:t>
      </w:r>
      <w:r>
        <w:rPr>
          <w:rFonts w:ascii="Arial" w:cs="Arial" w:eastAsia="Arial" w:hAnsi="Arial"/>
          <w:b w:val="false"/>
          <w:bCs w:val="false"/>
          <w:color w:val="3C3C3C"/>
          <w:sz w:val="22"/>
          <w:szCs w:val="22"/>
        </w:rPr>
        <w:t xml:space="preserve">  OpenClaw Project Operator</w:t>
      </w:r>
    </w:p>
    <w:p>
      <w:pPr>
        <w:spacing w:after="100" w:before="0"/>
        <w:jc w:val="left"/>
      </w:pPr>
      <w:r>
        <w:rPr>
          <w:rFonts w:ascii="Arial" w:cs="Arial" w:eastAsia="Arial" w:hAnsi="Arial"/>
          <w:b/>
          <w:bCs/>
          <w:color w:val="1F3864"/>
          <w:sz w:val="22"/>
          <w:szCs w:val="22"/>
        </w:rPr>
        <w:t xml:space="preserve">DATE:</w:t>
      </w:r>
      <w:r>
        <w:rPr>
          <w:rFonts w:ascii="Arial" w:cs="Arial" w:eastAsia="Arial" w:hAnsi="Arial"/>
          <w:b w:val="false"/>
          <w:bCs w:val="false"/>
          <w:color w:val="3C3C3C"/>
          <w:sz w:val="22"/>
          <w:szCs w:val="22"/>
        </w:rPr>
        <w:t xml:space="preserve">  May 7, 2026</w:t>
      </w:r>
    </w:p>
    <w:p>
      <w:pPr>
        <w:spacing w:after="160" w:before="0"/>
        <w:jc w:val="left"/>
      </w:pPr>
      <w:r>
        <w:rPr>
          <w:rFonts w:ascii="Arial" w:cs="Arial" w:eastAsia="Arial" w:hAnsi="Arial"/>
          <w:b/>
          <w:bCs/>
          <w:color w:val="1F3864"/>
          <w:sz w:val="22"/>
          <w:szCs w:val="22"/>
        </w:rPr>
        <w:t xml:space="preserve">RE:</w:t>
      </w:r>
      <w:r>
        <w:rPr>
          <w:rFonts w:ascii="Arial" w:cs="Arial" w:eastAsia="Arial" w:hAnsi="Arial"/>
          <w:b w:val="false"/>
          <w:bCs w:val="false"/>
          <w:color w:val="3C3C3C"/>
          <w:sz w:val="22"/>
          <w:szCs w:val="22"/>
        </w:rPr>
        <w:t xml:space="preserve">     OpenClaw Intelligence Platform — Phase 6 Status and Phase 7 Expansion Plan</w:t>
      </w:r>
    </w:p>
    <w:p>
      <w:pPr>
        <w:pBdr>
          <w:bottom w:val="single" w:color="1F3864" w:sz="6" w:space="1"/>
        </w:pBdr>
        <w:spacing w:after="200" w:before="0"/>
      </w:pPr>
      <w:r>
        <w:t xml:space="preserve"/>
      </w:r>
    </w:p>
    <w:p>
      <w:pPr>
        <w:pStyle w:val="Heading1"/>
        <w:spacing w:after="200" w:before="360"/>
      </w:pPr>
      <w:r>
        <w:rPr>
          <w:rFonts w:ascii="Arial" w:cs="Arial" w:eastAsia="Arial" w:hAnsi="Arial"/>
          <w:b/>
          <w:bCs/>
          <w:color w:val="1F3864"/>
          <w:sz w:val="32"/>
          <w:szCs w:val="32"/>
        </w:rPr>
        <w:t xml:space="preserve">1.  Executive Summary</w:t>
      </w:r>
    </w:p>
    <w:p>
      <w:pPr>
        <w:spacing w:after="180" w:before="0"/>
        <w:jc w:val="both"/>
      </w:pPr>
      <w:r>
        <w:rPr>
          <w:rFonts w:ascii="Arial" w:cs="Arial" w:eastAsia="Arial" w:hAnsi="Arial"/>
          <w:b w:val="false"/>
          <w:bCs w:val="false"/>
          <w:color w:val="3C3C3C"/>
          <w:sz w:val="22"/>
          <w:szCs w:val="22"/>
        </w:rPr>
        <w:t xml:space="preserve">OpenClaw is an automated business intelligence pipeline currently in active daily operation. The system retrieves geopolitical, economic, and market signals from multiple sources, processes them through a citation-enforced quality chain, and delivers structured intelligence briefs to subscribers each morning at 06:30 Shanghai time. The platform currently serves a China-focused monitoring use case, with dual-provider retrieval — Western and Chinese-language — and delivery via Lark.</w:t>
      </w:r>
    </w:p>
    <w:p>
      <w:pPr>
        <w:spacing w:after="180" w:before="0"/>
        <w:jc w:val="both"/>
      </w:pPr>
      <w:r>
        <w:rPr>
          <w:rFonts w:ascii="Arial" w:cs="Arial" w:eastAsia="Arial" w:hAnsi="Arial"/>
          <w:b w:val="false"/>
          <w:bCs w:val="false"/>
          <w:color w:val="3C3C3C"/>
          <w:sz w:val="22"/>
          <w:szCs w:val="22"/>
        </w:rPr>
        <w:t xml:space="preserve">Phase 6, the Trust and Validation Layer, is substantially complete. The pipeline is stable, validated, and delivering daily. Two targeted quality improvements remain in progress (Phases 6.7 and 6.8) and are projected to complete within one to two weeks. The remainder of Phase 6 (6.9 through 6.11) covers model optimization, source expansion, and channel expansion, adding a further four to six weeks.</w:t>
      </w:r>
    </w:p>
    <w:p>
      <w:pPr>
        <w:spacing w:after="180" w:before="0"/>
        <w:jc w:val="both"/>
      </w:pPr>
      <w:r>
        <w:rPr>
          <w:rFonts w:ascii="Arial" w:cs="Arial" w:eastAsia="Arial" w:hAnsi="Arial"/>
          <w:b w:val="false"/>
          <w:bCs w:val="false"/>
          <w:color w:val="3C3C3C"/>
          <w:sz w:val="22"/>
          <w:szCs w:val="22"/>
        </w:rPr>
        <w:t xml:space="preserve">This memorandum presents a full proposal for Phase 7 — the transformation of OpenClaw from a single-client monitoring tool into a multi-client business intelligence platform for PR firms. The proposal encompasses three strategic capabilities: a persistent intelligence layer (the Brain), a multi-client monitoring platform, and a document intelligence service.</w:t>
      </w:r>
    </w:p>
    <w:p>
      <w:pPr>
        <w:spacing w:after="180" w:before="0"/>
        <w:jc w:val="both"/>
      </w:pPr>
      <w:r>
        <w:rPr>
          <w:rFonts w:ascii="Arial" w:cs="Arial" w:eastAsia="Arial" w:hAnsi="Arial"/>
          <w:b w:val="false"/>
          <w:bCs w:val="false"/>
          <w:color w:val="3C3C3C"/>
          <w:sz w:val="22"/>
          <w:szCs w:val="22"/>
        </w:rPr>
        <w:t xml:space="preserve">The feasibility assessment concludes that both major expansion pillars are achievable on the foundation Phase 6 has established. First client revenue is projected within four to five months of Phase 7 start. Full platform operational capability is projected at ten to twelve months from Phase 7 start, or approximately twelve to fourteen months from today including Phase 6 completion.</w:t>
      </w:r>
    </w:p>
    <w:p>
      <w:pPr>
        <w:pStyle w:val="Heading1"/>
        <w:spacing w:after="200" w:before="360"/>
      </w:pPr>
      <w:r>
        <w:rPr>
          <w:rFonts w:ascii="Arial" w:cs="Arial" w:eastAsia="Arial" w:hAnsi="Arial"/>
          <w:b/>
          <w:bCs/>
          <w:color w:val="1F3864"/>
          <w:sz w:val="32"/>
          <w:szCs w:val="32"/>
        </w:rPr>
        <w:t xml:space="preserve">2.  Current System — OpenClaw Phase 6</w:t>
      </w:r>
    </w:p>
    <w:p>
      <w:pPr>
        <w:pStyle w:val="Heading2"/>
        <w:spacing w:after="140" w:before="260"/>
      </w:pPr>
      <w:r>
        <w:rPr>
          <w:rFonts w:ascii="Arial" w:cs="Arial" w:eastAsia="Arial" w:hAnsi="Arial"/>
          <w:b/>
          <w:bCs/>
          <w:color w:val="2E75B6"/>
          <w:sz w:val="26"/>
          <w:szCs w:val="26"/>
        </w:rPr>
        <w:t xml:space="preserve">2.1   Pipeline Architecture</w:t>
      </w:r>
    </w:p>
    <w:p>
      <w:pPr>
        <w:spacing w:after="180" w:before="0"/>
        <w:jc w:val="both"/>
      </w:pPr>
      <w:r>
        <w:rPr>
          <w:rFonts w:ascii="Arial" w:cs="Arial" w:eastAsia="Arial" w:hAnsi="Arial"/>
          <w:b w:val="false"/>
          <w:bCs w:val="false"/>
          <w:color w:val="3C3C3C"/>
          <w:sz w:val="22"/>
          <w:szCs w:val="22"/>
        </w:rPr>
        <w:t xml:space="preserve">The OpenClaw pipeline operates as a deterministic, sequential execution chain. Each stage is governed by strict input and output contracts. Claude CoWork operates exclusively as a post-run analysis and advisory layer and has no presence within the pipeline itself.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Stage</w:t>
            </w:r>
          </w:p>
        </w:tc>
        <w:tc>
          <w:tcPr>
            <w:tcW w:type="dxa" w:w="77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Function</w:t>
            </w:r>
          </w:p>
        </w:tc>
      </w:tr>
      <w:tr>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Trigger</w:t>
            </w:r>
          </w:p>
        </w:tc>
        <w:tc>
          <w:tcPr>
            <w:tcW w:type="dxa" w:w="7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Scheduled cron at 06:30 Shanghai; manual invocation available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Retrieval</w:t>
            </w:r>
          </w:p>
        </w:tc>
        <w:tc>
          <w:tcPr>
            <w:tcW w:type="dxa" w:w="7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Dual-provider fetch: Brave Search (Western) + Baidu via SerpAPI (Chinese-language). Six queries per run across US-China, Europe, and Middle East regions.</w:t>
            </w:r>
          </w:p>
        </w:tc>
      </w:tr>
      <w:tr>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Orchestrator</w:t>
            </w:r>
          </w:p>
        </w:tc>
        <w:tc>
          <w:tcPr>
            <w:tcW w:type="dxa" w:w="7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Deduplication, normalization, freshness filtering, and scoring. Produces retrieval_package.json with VALID_RESULT_IDS.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Agent</w:t>
            </w:r>
          </w:p>
        </w:tc>
        <w:tc>
          <w:tcPr>
            <w:tcW w:type="dxa" w:w="7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AI agent generates structured brief (Executive Take, Advisory Layer, LinkedIn Draft, Regional Source List) citing only from VALID_RESULT_IDS.</w:t>
            </w:r>
          </w:p>
        </w:tc>
      </w:tr>
      <w:tr>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Scrubber</w:t>
            </w:r>
          </w:p>
        </w:tc>
        <w:tc>
          <w:tcPr>
            <w:tcW w:type="dxa" w:w="7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Removes fabricated or invalid source citations. Extracts conflict data. Writes scrubber_report.json and conflict_log.json.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Validator</w:t>
            </w:r>
          </w:p>
        </w:tc>
        <w:tc>
          <w:tcPr>
            <w:tcW w:type="dxa" w:w="7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Confirms all citations in scrubbed output map to verified retrieved sources. Returns GREEN PASS, WARN, or FAIL. FAIL blocks delivery.</w:t>
            </w:r>
          </w:p>
        </w:tc>
      </w:tr>
      <w:tr>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Delivery</w:t>
            </w:r>
          </w:p>
        </w:tc>
        <w:tc>
          <w:tcPr>
            <w:tcW w:type="dxa" w:w="7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Pushes final output to Lark channel. Injects conflict flags when conflict_count &gt; 0. Applies citation substitution (publisher/date format).</w:t>
            </w:r>
          </w:p>
        </w:tc>
      </w:tr>
    </w:tbl>
    <w:p>
      <w:pPr>
        <w:spacing w:after="160" w:before="0"/>
      </w:pPr>
      <w:r>
        <w:t xml:space="preserve"/>
      </w:r>
    </w:p>
    <w:p>
      <w:pPr>
        <w:pStyle w:val="Heading2"/>
        <w:spacing w:after="140" w:before="260"/>
      </w:pPr>
      <w:r>
        <w:rPr>
          <w:rFonts w:ascii="Arial" w:cs="Arial" w:eastAsia="Arial" w:hAnsi="Arial"/>
          <w:b/>
          <w:bCs/>
          <w:color w:val="2E75B6"/>
          <w:sz w:val="26"/>
          <w:szCs w:val="26"/>
        </w:rPr>
        <w:t xml:space="preserve">2.2   Quality Enforcement Chain</w:t>
      </w:r>
    </w:p>
    <w:p>
      <w:pPr>
        <w:spacing w:after="180" w:before="0"/>
        <w:jc w:val="both"/>
      </w:pPr>
      <w:r>
        <w:rPr>
          <w:rFonts w:ascii="Arial" w:cs="Arial" w:eastAsia="Arial" w:hAnsi="Arial"/>
          <w:b w:val="false"/>
          <w:bCs w:val="false"/>
          <w:color w:val="3C3C3C"/>
          <w:sz w:val="22"/>
          <w:szCs w:val="22"/>
        </w:rPr>
        <w:t xml:space="preserve">A three-layer enforcement chain ensures no fabricated citation or unverified claim reaches delivery. The scrubber removes invalid source identifiers before validation. The validator confirms traceability of every remaining citation. The delivery gate blocks output on validation failure. This chain operates on every run without exception.</w:t>
      </w:r>
    </w:p>
    <w:p>
      <w:pPr>
        <w:spacing w:after="180" w:before="0"/>
        <w:jc w:val="both"/>
      </w:pPr>
      <w:r>
        <w:rPr>
          <w:rFonts w:ascii="Arial" w:cs="Arial" w:eastAsia="Arial" w:hAnsi="Arial"/>
          <w:b w:val="false"/>
          <w:bCs w:val="false"/>
          <w:color w:val="3C3C3C"/>
          <w:sz w:val="22"/>
          <w:szCs w:val="22"/>
        </w:rPr>
        <w:t xml:space="preserve">Phase 6.6, completed on May 6, 2026, added citation substitution: result_id tokens used internally for traceability are replaced with human-readable publisher and date strings in all client-facing output. Internal log artifacts retain result_ids for full post-run verification.</w:t>
      </w:r>
    </w:p>
    <w:p>
      <w:pPr>
        <w:pStyle w:val="Heading2"/>
        <w:spacing w:after="140" w:before="260"/>
      </w:pPr>
      <w:r>
        <w:rPr>
          <w:rFonts w:ascii="Arial" w:cs="Arial" w:eastAsia="Arial" w:hAnsi="Arial"/>
          <w:b/>
          <w:bCs/>
          <w:color w:val="2E75B6"/>
          <w:sz w:val="26"/>
          <w:szCs w:val="26"/>
        </w:rPr>
        <w:t xml:space="preserve">2.3   Operational Status</w:t>
      </w:r>
    </w:p>
    <w:p>
      <w:pPr>
        <w:spacing w:after="180" w:before="0"/>
        <w:jc w:val="both"/>
      </w:pPr>
      <w:r>
        <w:rPr>
          <w:rFonts w:ascii="Arial" w:cs="Arial" w:eastAsia="Arial" w:hAnsi="Arial"/>
          <w:b w:val="false"/>
          <w:bCs w:val="false"/>
          <w:color w:val="3C3C3C"/>
          <w:sz w:val="22"/>
          <w:szCs w:val="22"/>
        </w:rPr>
        <w:t xml:space="preserve">System stability is HIGH. The pipeline has delivered on schedule across all recent runs without manual intervention. Dual-provider retrieval is operational following resolution of a SerpAPI configuration issue (Issue #42, resolved May 6, 2026). The validator is returning GREEN PASS on all runs. Conflict detection is confirmed across both zero-conflict and non-zero conflict paths.</w:t>
      </w:r>
    </w:p>
    <w:p>
      <w:pPr>
        <w:pStyle w:val="Heading2"/>
        <w:spacing w:after="140" w:before="260"/>
      </w:pPr>
      <w:r>
        <w:rPr>
          <w:rFonts w:ascii="Arial" w:cs="Arial" w:eastAsia="Arial" w:hAnsi="Arial"/>
          <w:b/>
          <w:bCs/>
          <w:color w:val="2E75B6"/>
          <w:sz w:val="26"/>
          <w:szCs w:val="26"/>
        </w:rPr>
        <w:t xml:space="preserve">2.4   Outstanding Quality Issues</w:t>
      </w:r>
    </w:p>
    <w:p>
      <w:pPr>
        <w:spacing w:after="180" w:before="0"/>
        <w:jc w:val="both"/>
      </w:pPr>
      <w:r>
        <w:rPr>
          <w:rFonts w:ascii="Arial" w:cs="Arial" w:eastAsia="Arial" w:hAnsi="Arial"/>
          <w:b w:val="false"/>
          <w:bCs w:val="false"/>
          <w:color w:val="3C3C3C"/>
          <w:sz w:val="22"/>
          <w:szCs w:val="22"/>
        </w:rPr>
        <w:t xml:space="preserve">Two open issues are under active resolution as the immediate next work items.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960"/>
        <w:gridCol w:w="1400"/>
      </w:tblGrid>
      <w:tr>
        <w:tc>
          <w:tcPr>
            <w:tcW w:type="dxa" w:w="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Issue</w:t>
            </w:r>
          </w:p>
        </w:tc>
        <w:tc>
          <w:tcPr>
            <w:tcW w:type="dxa" w:w="5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Description</w:t>
            </w:r>
          </w:p>
        </w:tc>
        <w:tc>
          <w:tcPr>
            <w:tcW w:type="dxa" w:w="1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Impact</w:t>
            </w:r>
          </w:p>
        </w:tc>
        <w:tc>
          <w:tcPr>
            <w:tcW w:type="dxa" w:w="1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Resolution Phase</w:t>
            </w:r>
          </w:p>
        </w:tc>
      </w:tr>
      <w:tr>
        <w:tc>
          <w:tcPr>
            <w:tcW w:type="dxa" w:w="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#43</w:t>
            </w:r>
          </w:p>
        </w:tc>
        <w:tc>
          <w:tcPr>
            <w:tcW w:type="dxa" w:w="5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Agent citation fabrication rate elevated (~48%). The AI agent generates plausible-looking source identifiers rather than copying exact codes from the approved list. The scrubber correctly removes all fabricated IDs before delivery.</w:t>
            </w:r>
          </w:p>
        </w:tc>
        <w:tc>
          <w:tcPr>
            <w:tcW w:type="dxa" w:w="1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Claims in Executive Take and Advisory Layer delivered without source attribution</w:t>
            </w:r>
          </w:p>
        </w:tc>
        <w:tc>
          <w:tcPr>
            <w:tcW w:type="dxa" w:w="1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6.8</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#44</w:t>
            </w:r>
          </w:p>
        </w:tc>
        <w:tc>
          <w:tcPr>
            <w:tcW w:type="dxa" w:w="5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 retrieved sources not surfacing in delivered output. Chinese-language sources confirmed in the retrieval package — including Sina Finance — are absent from analytical bullets, likely due to fabricated IDs being scrubbed.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 signal in system does not reach client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6.8</w:t>
            </w:r>
          </w:p>
        </w:tc>
      </w:tr>
    </w:tbl>
    <w:p>
      <w:pPr>
        <w:spacing w:after="100" w:before="0"/>
      </w:pPr>
      <w:r>
        <w:t xml:space="preserve"/>
      </w:r>
    </w:p>
    <w:p>
      <w:pPr>
        <w:spacing w:after="180" w:before="0"/>
        <w:jc w:val="both"/>
      </w:pPr>
      <w:r>
        <w:rPr>
          <w:rFonts w:ascii="Arial" w:cs="Arial" w:eastAsia="Arial" w:hAnsi="Arial"/>
          <w:b w:val="false"/>
          <w:bCs w:val="false"/>
          <w:color w:val="888888"/>
          <w:sz w:val="22"/>
          <w:szCs w:val="22"/>
        </w:rPr>
        <w:t xml:space="preserve">These issues do not represent pipeline failures — the enforcement chain is functioning correctly. The consequence is a coverage and attribution gap in delivered output. Both are addressed in the near-term roadmap below.</w:t>
      </w:r>
    </w:p>
    <w:p>
      <w:pPr>
        <w:pStyle w:val="Heading1"/>
        <w:spacing w:after="200" w:before="360"/>
      </w:pPr>
      <w:r>
        <w:rPr>
          <w:rFonts w:ascii="Arial" w:cs="Arial" w:eastAsia="Arial" w:hAnsi="Arial"/>
          <w:b/>
          <w:bCs/>
          <w:color w:val="1F3864"/>
          <w:sz w:val="32"/>
          <w:szCs w:val="32"/>
        </w:rPr>
        <w:t xml:space="preserve">3.  Phase 6 Completion Roadmap</w:t>
      </w:r>
    </w:p>
    <w:p>
      <w:pPr>
        <w:spacing w:after="180" w:before="0"/>
        <w:jc w:val="both"/>
      </w:pPr>
      <w:r>
        <w:rPr>
          <w:rFonts w:ascii="Arial" w:cs="Arial" w:eastAsia="Arial" w:hAnsi="Arial"/>
          <w:b w:val="false"/>
          <w:bCs w:val="false"/>
          <w:color w:val="3C3C3C"/>
          <w:sz w:val="22"/>
          <w:szCs w:val="22"/>
        </w:rPr>
        <w:t xml:space="preserve">Five sub-phases remain before Phase 6 is formally closed and Phase 7 begins. Phases 6.7 and 6.8 are single-layer, single-file changes following the same implementation pattern as preceding phases; their duration is determined primarily by the 06:30 cron observation cycle. Phases 6.9 through 6.11 involve integration with new providers and delivery channels and carry higher implementation uncertainty.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360"/>
        <w:gridCol w:w="1800"/>
      </w:tblGrid>
      <w:tr>
        <w:tc>
          <w:tcPr>
            <w:tcW w:type="dxa" w:w="1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Phase</w:t>
            </w:r>
          </w:p>
        </w:tc>
        <w:tc>
          <w:tcPr>
            <w:tcW w:type="dxa" w:w="3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Scope</w:t>
            </w:r>
          </w:p>
        </w:tc>
        <w:tc>
          <w:tcPr>
            <w:tcW w:type="dxa" w:w="3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Key Deliverable</w:t>
            </w:r>
          </w:p>
        </w:tc>
        <w:tc>
          <w:tcPr>
            <w:tcW w:type="dxa" w:w="1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Est. Duration</w:t>
            </w:r>
          </w:p>
        </w:tc>
      </w:tr>
      <w:tr>
        <w:tc>
          <w:tcPr>
            <w:tcW w:type="dxa" w:w="1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6.7</w:t>
            </w:r>
          </w:p>
        </w:tc>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Uncited Claim Removal — scrubber updated to drop any bullet in Executive Take or Advisory Layer that carries no verified citation after scrubbing. Empty Executive Take triggers delivery block.</w:t>
            </w:r>
          </w:p>
        </w:tc>
        <w:tc>
          <w:tcPr>
            <w:tcW w:type="dxa" w:w="3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No uncited claim reaches delivery; claim credibility guarantee restored</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1–2 days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6.8</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Agent Citation Precision — agent prompt strengthened with explicit character-for-character copy instruction, fabrication prohibition, and negative example. Target: ids_removed rate below 15% (from current ~48%).</w:t>
            </w:r>
          </w:p>
        </w:tc>
        <w:tc>
          <w:tcPr>
            <w:tcW w:type="dxa" w:w="3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Valid sources surface in delivered output; uncited claim rate near zero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 week</w:t>
            </w:r>
          </w:p>
        </w:tc>
      </w:tr>
      <w:tr>
        <w:tc>
          <w:tcPr>
            <w:tcW w:type="dxa" w:w="1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6.9</w:t>
            </w:r>
          </w:p>
        </w:tc>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Model Architecture Optimization — formal evaluation of current AI model for quality, cost, and reliability at scale. Decision on whether to adjust model path before multi-client operation.</w:t>
            </w:r>
          </w:p>
        </w:tc>
        <w:tc>
          <w:tcPr>
            <w:tcW w:type="dxa" w:w="3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Optimized model configuration confirmed for platform scale</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2–3 weeks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6.10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Source Expansion — integration of additional retrieval providers. Sogou identified as near-term candidate. Broadens Chinese-language and regional coverage.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Expanded source pool operational; retrieval package coverage increased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2–3 weeks</w:t>
            </w:r>
          </w:p>
        </w:tc>
      </w:tr>
      <w:tr>
        <w:tc>
          <w:tcPr>
            <w:tcW w:type="dxa" w:w="1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6.11</w:t>
            </w:r>
          </w:p>
        </w:tc>
        <w:tc>
          <w:tcPr>
            <w:tcW w:type="dxa" w:w="3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Channel Expansion — delivery pipeline extended to additional platforms beyond Lark. Candidates include Discord and WeChat, subject to operator decision.</w:t>
            </w:r>
          </w:p>
        </w:tc>
        <w:tc>
          <w:tcPr>
            <w:tcW w:type="dxa" w:w="3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Multi-channel delivery operational</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2–3 weeks</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2"/>
                <w:szCs w:val="22"/>
              </w:rPr>
              <w:t xml:space="preserve">Total Phase 6 Completion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2"/>
                <w:szCs w:val="22"/>
              </w:rPr>
              <w:t xml:space="preserve">Full quality and expansion layer complete; platform ready for Phase 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2"/>
                <w:szCs w:val="22"/>
              </w:rPr>
              <w:t xml:space="preserve">~7–9 weeks</w:t>
            </w:r>
          </w:p>
        </w:tc>
      </w:tr>
    </w:tbl>
    <w:p>
      <w:pPr>
        <w:pStyle w:val="Heading1"/>
        <w:spacing w:after="200" w:before="360"/>
      </w:pPr>
      <w:r>
        <w:rPr>
          <w:rFonts w:ascii="Arial" w:cs="Arial" w:eastAsia="Arial" w:hAnsi="Arial"/>
          <w:b/>
          <w:bCs/>
          <w:color w:val="1F3864"/>
          <w:sz w:val="32"/>
          <w:szCs w:val="32"/>
        </w:rPr>
        <w:t xml:space="preserve">4.  Feasibility Assessment</w:t>
      </w:r>
    </w:p>
    <w:p>
      <w:pPr>
        <w:pStyle w:val="Heading2"/>
        <w:spacing w:after="140" w:before="260"/>
      </w:pPr>
      <w:r>
        <w:rPr>
          <w:rFonts w:ascii="Arial" w:cs="Arial" w:eastAsia="Arial" w:hAnsi="Arial"/>
          <w:b/>
          <w:bCs/>
          <w:color w:val="2E75B6"/>
          <w:sz w:val="26"/>
          <w:szCs w:val="26"/>
        </w:rPr>
        <w:t xml:space="preserve">4.1   Pillar 1 — Multi-Client Monitoring Platform</w:t>
      </w:r>
    </w:p>
    <w:p>
      <w:pPr>
        <w:spacing w:after="180" w:before="0"/>
        <w:jc w:val="both"/>
      </w:pPr>
      <w:r>
        <w:rPr>
          <w:rFonts w:ascii="Arial" w:cs="Arial" w:eastAsia="Arial" w:hAnsi="Arial"/>
          <w:b w:val="false"/>
          <w:bCs w:val="false"/>
          <w:color w:val="3C3C3C"/>
          <w:sz w:val="22"/>
          <w:szCs w:val="22"/>
        </w:rPr>
        <w:t xml:space="preserve">Assessment: HIGH feasibility.</w:t>
      </w:r>
    </w:p>
    <w:p>
      <w:pPr>
        <w:spacing w:after="180" w:before="0"/>
        <w:jc w:val="both"/>
      </w:pPr>
      <w:r>
        <w:rPr>
          <w:rFonts w:ascii="Arial" w:cs="Arial" w:eastAsia="Arial" w:hAnsi="Arial"/>
          <w:b w:val="false"/>
          <w:bCs w:val="false"/>
          <w:color w:val="3C3C3C"/>
          <w:sz w:val="22"/>
          <w:szCs w:val="22"/>
        </w:rPr>
        <w:t xml:space="preserve">The core pipeline — retrieval, orchestration, agent, scrubber, validator, delivery — is built, tested, and stable. The work required to serve multiple clients is not a rebuild; it is an abstraction. Client-specific topics, query templates, report formats, and delivery channels must become parameters rather than hardcoded values. The enforcement chain does not change. The architecture supports this without structural modification. The primary engineering challenge is configuration management and orchestration reliability at scale, both of which are well-understood problems.</w:t>
      </w:r>
    </w:p>
    <w:p>
      <w:pPr>
        <w:pStyle w:val="Heading2"/>
        <w:spacing w:after="140" w:before="260"/>
      </w:pPr>
      <w:r>
        <w:rPr>
          <w:rFonts w:ascii="Arial" w:cs="Arial" w:eastAsia="Arial" w:hAnsi="Arial"/>
          <w:b/>
          <w:bCs/>
          <w:color w:val="2E75B6"/>
          <w:sz w:val="26"/>
          <w:szCs w:val="26"/>
        </w:rPr>
        <w:t xml:space="preserve">4.2   Pillar 2 — Document Intelligence Platform</w:t>
      </w:r>
    </w:p>
    <w:p>
      <w:pPr>
        <w:spacing w:after="180" w:before="0"/>
        <w:jc w:val="both"/>
      </w:pPr>
      <w:r>
        <w:rPr>
          <w:rFonts w:ascii="Arial" w:cs="Arial" w:eastAsia="Arial" w:hAnsi="Arial"/>
          <w:b w:val="false"/>
          <w:bCs w:val="false"/>
          <w:color w:val="3C3C3C"/>
          <w:sz w:val="22"/>
          <w:szCs w:val="22"/>
        </w:rPr>
        <w:t xml:space="preserve">Assessment: HIGH feasibility.</w:t>
      </w:r>
    </w:p>
    <w:p>
      <w:pPr>
        <w:spacing w:after="180" w:before="0"/>
        <w:jc w:val="both"/>
      </w:pPr>
      <w:r>
        <w:rPr>
          <w:rFonts w:ascii="Arial" w:cs="Arial" w:eastAsia="Arial" w:hAnsi="Arial"/>
          <w:b w:val="false"/>
          <w:bCs w:val="false"/>
          <w:color w:val="3C3C3C"/>
          <w:sz w:val="22"/>
          <w:szCs w:val="22"/>
        </w:rPr>
        <w:t xml:space="preserve">Retrieval-augmented generation over private document corpora is mature, widely deployed technology with strong tooling support. Vector databases, document parsing pipelines, and embedding infrastructure are proven components. The challenge is not whether the capability can be built, but whether the output quality and citation discipline meet the credibility standard OpenClaw has established. That is a design and validation problem, not a feasibility problem. The Phase 6 citation enforcement architecture provides the quality template.</w:t>
      </w:r>
    </w:p>
    <w:p>
      <w:pPr>
        <w:pStyle w:val="Heading2"/>
        <w:spacing w:after="140" w:before="260"/>
      </w:pPr>
      <w:r>
        <w:rPr>
          <w:rFonts w:ascii="Arial" w:cs="Arial" w:eastAsia="Arial" w:hAnsi="Arial"/>
          <w:b/>
          <w:bCs/>
          <w:color w:val="2E75B6"/>
          <w:sz w:val="26"/>
          <w:szCs w:val="26"/>
        </w:rPr>
        <w:t xml:space="preserve">4.3   Prerequisites and Sequencing Constraints</w:t>
      </w:r>
    </w:p>
    <w:p>
      <w:pPr>
        <w:pStyle w:val="ListParagraph"/>
        <w:numPr>
          <w:ilvl w:val="0"/>
          <w:numId w:val="2"/>
        </w:numPr>
        <w:spacing w:after="100" w:before="0"/>
      </w:pPr>
      <w:r>
        <w:rPr>
          <w:rFonts w:ascii="Arial" w:cs="Arial" w:eastAsia="Arial" w:hAnsi="Arial"/>
          <w:b w:val="false"/>
          <w:bCs w:val="false"/>
          <w:color w:val="3C3C3C"/>
          <w:sz w:val="22"/>
          <w:szCs w:val="22"/>
        </w:rPr>
        <w:t xml:space="preserve">Phase 6 quality work (6.7 and 6.8) must be confirmed stable before client onboarding begins. Scaling a system with a 48% citation fabrication rate to paying clients is a credibility risk that outweighs any speed advantage.</w:t>
      </w:r>
    </w:p>
    <w:p>
      <w:pPr>
        <w:pStyle w:val="ListParagraph"/>
        <w:numPr>
          <w:ilvl w:val="0"/>
          <w:numId w:val="2"/>
        </w:numPr>
        <w:spacing w:after="100" w:before="0"/>
      </w:pPr>
      <w:r>
        <w:rPr>
          <w:rFonts w:ascii="Arial" w:cs="Arial" w:eastAsia="Arial" w:hAnsi="Arial"/>
          <w:b w:val="false"/>
          <w:bCs w:val="false"/>
          <w:color w:val="3C3C3C"/>
          <w:sz w:val="22"/>
          <w:szCs w:val="22"/>
        </w:rPr>
        <w:t xml:space="preserve">VPS infrastructure consolidation (see Section 7) is foundational for multi-client operation and should be completed during Phase 6.9–6.11.</w:t>
      </w:r>
    </w:p>
    <w:p>
      <w:pPr>
        <w:pStyle w:val="ListParagraph"/>
        <w:numPr>
          <w:ilvl w:val="0"/>
          <w:numId w:val="2"/>
        </w:numPr>
        <w:spacing w:after="100" w:before="0"/>
      </w:pPr>
      <w:r>
        <w:rPr>
          <w:rFonts w:ascii="Arial" w:cs="Arial" w:eastAsia="Arial" w:hAnsi="Arial"/>
          <w:b w:val="false"/>
          <w:bCs w:val="false"/>
          <w:color w:val="3C3C3C"/>
          <w:sz w:val="22"/>
          <w:szCs w:val="22"/>
        </w:rPr>
        <w:t xml:space="preserve">The Brain layer (Phase 7.0) should precede multi-client build. A persistent intelligence layer designed for single-client operation is simpler to validate; extension to multiple clients is then natural rather than retrofitted.</w:t>
      </w:r>
    </w:p>
    <w:p>
      <w:pPr>
        <w:pStyle w:val="ListParagraph"/>
        <w:numPr>
          <w:ilvl w:val="0"/>
          <w:numId w:val="2"/>
        </w:numPr>
        <w:spacing w:after="100" w:before="0"/>
      </w:pPr>
      <w:r>
        <w:rPr>
          <w:rFonts w:ascii="Arial" w:cs="Arial" w:eastAsia="Arial" w:hAnsi="Arial"/>
          <w:b w:val="false"/>
          <w:bCs w:val="false"/>
          <w:color w:val="3C3C3C"/>
          <w:sz w:val="22"/>
          <w:szCs w:val="22"/>
        </w:rPr>
        <w:t xml:space="preserve">Document intelligence (Phase 7.4–7.6) can run in parallel with the multi-client monitoring build after Phase 7.0 is stable, compressing overall timeline.</w:t>
      </w:r>
    </w:p>
    <w:p>
      <w:pPr>
        <w:spacing w:after="80" w:before="0"/>
      </w:pPr>
      <w:r>
        <w:t xml:space="preserve"/>
      </w:r>
    </w:p>
    <w:p>
      <w:pPr>
        <w:pStyle w:val="Heading2"/>
        <w:spacing w:after="140" w:before="260"/>
      </w:pPr>
      <w:r>
        <w:rPr>
          <w:rFonts w:ascii="Arial" w:cs="Arial" w:eastAsia="Arial" w:hAnsi="Arial"/>
          <w:b/>
          <w:bCs/>
          <w:color w:val="2E75B6"/>
          <w:sz w:val="26"/>
          <w:szCs w:val="26"/>
        </w:rPr>
        <w:t xml:space="preserve">4.4   Overall Verdict</w:t>
      </w:r>
    </w:p>
    <w:p>
      <w:pPr>
        <w:spacing w:after="180" w:before="0"/>
        <w:jc w:val="both"/>
      </w:pPr>
      <w:r>
        <w:rPr>
          <w:rFonts w:ascii="Arial" w:cs="Arial" w:eastAsia="Arial" w:hAnsi="Arial"/>
          <w:b w:val="false"/>
          <w:bCs w:val="false"/>
          <w:color w:val="3C3C3C"/>
          <w:sz w:val="22"/>
          <w:szCs w:val="22"/>
        </w:rPr>
        <w:t xml:space="preserve">Both pillars are achievable within the proposed timeline. The existing pipeline infrastructure, governance architecture, and document discipline are assets that most comparable platform builds must construct from scratch. The sequencing constraints are real but manageable. The primary risk is quality — the fabrication issue must be closed before scaling — and that risk is already in active resolution.</w:t>
      </w:r>
    </w:p>
    <w:p>
      <w:pPr>
        <w:pStyle w:val="Heading1"/>
        <w:spacing w:after="200" w:before="360"/>
      </w:pPr>
      <w:r>
        <w:rPr>
          <w:rFonts w:ascii="Arial" w:cs="Arial" w:eastAsia="Arial" w:hAnsi="Arial"/>
          <w:b/>
          <w:bCs/>
          <w:color w:val="1F3864"/>
          <w:sz w:val="32"/>
          <w:szCs w:val="32"/>
        </w:rPr>
        <w:t xml:space="preserve">5.  Phase 7 Strategic Vision</w:t>
      </w:r>
    </w:p>
    <w:p>
      <w:pPr>
        <w:spacing w:after="180" w:before="0"/>
        <w:jc w:val="both"/>
      </w:pPr>
      <w:r>
        <w:rPr>
          <w:rFonts w:ascii="Arial" w:cs="Arial" w:eastAsia="Arial" w:hAnsi="Arial"/>
          <w:b w:val="false"/>
          <w:bCs w:val="false"/>
          <w:color w:val="3C3C3C"/>
          <w:sz w:val="22"/>
          <w:szCs w:val="22"/>
        </w:rPr>
        <w:t xml:space="preserve">OpenClaw becomes a client-grade business intelligence platform purpose-built for PR firms. The platform delivers two integrated services under a common quality infrastructure.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Service</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Continuous Monitoring Intelligence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Daily tailored intelligence briefs delivered per client, each configured for their specific topic focus, regional emphasis, source preferences, and report format. The system monitors geopolitical, economic, and market developments relevant to each client's portfolio and delivers structured, cited analysis each morning.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Document Intelligence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On-demand processing of uploaded document sets — research reports, regulatory filings, transcripts, competitor analysis — into structured, cited intelligence outputs against client-specified report formats. Every claim in generated output traces to a specific passage in a specific uploaded document.</w:t>
            </w:r>
          </w:p>
        </w:tc>
      </w:tr>
    </w:tbl>
    <w:p>
      <w:pPr>
        <w:spacing w:after="160" w:before="0"/>
      </w:pPr>
      <w:r>
        <w:t xml:space="preserve"/>
      </w:r>
    </w:p>
    <w:p>
      <w:pPr>
        <w:spacing w:after="180" w:before="0"/>
        <w:jc w:val="both"/>
      </w:pPr>
      <w:r>
        <w:rPr>
          <w:rFonts w:ascii="Arial" w:cs="Arial" w:eastAsia="Arial" w:hAnsi="Arial"/>
          <w:b w:val="false"/>
          <w:bCs w:val="false"/>
          <w:color w:val="3C3C3C"/>
          <w:sz w:val="22"/>
          <w:szCs w:val="22"/>
        </w:rPr>
        <w:t xml:space="preserve">Both services share a common quality infrastructure: citation enforcement, conflict detection, validation gates, and the persistent intelligence layer (the Brain) that accumulates institutional knowledge across runs and clients. This shared infrastructure is what differentiates the platform from generic AI summarization tools and justifies a premium positioning with PR firm clients.</w:t>
      </w:r>
    </w:p>
    <w:p>
      <w:pPr>
        <w:spacing w:after="180" w:before="0"/>
        <w:jc w:val="both"/>
      </w:pPr>
      <w:r>
        <w:rPr>
          <w:rFonts w:ascii="Arial" w:cs="Arial" w:eastAsia="Arial" w:hAnsi="Arial"/>
          <w:b w:val="false"/>
          <w:bCs w:val="false"/>
          <w:color w:val="3C3C3C"/>
          <w:sz w:val="22"/>
          <w:szCs w:val="22"/>
        </w:rPr>
        <w:t xml:space="preserve">The strategic value proposition rests on a single principle: in the PR industry, a single unsourced or fabricated claim in a client deliverable is a reputational event. OpenClaw enforces citation traceability at the infrastructure level, not the editorial level. That is not a feature — it is the architecture.</w:t>
      </w:r>
    </w:p>
    <w:p>
      <w:pPr>
        <w:pStyle w:val="Heading1"/>
        <w:spacing w:after="200" w:before="360"/>
      </w:pPr>
      <w:r>
        <w:rPr>
          <w:rFonts w:ascii="Arial" w:cs="Arial" w:eastAsia="Arial" w:hAnsi="Arial"/>
          <w:b/>
          <w:bCs/>
          <w:color w:val="1F3864"/>
          <w:sz w:val="32"/>
          <w:szCs w:val="32"/>
        </w:rPr>
        <w:t xml:space="preserve">6.  Phase 7 — Detailed Implementation Plan</w:t>
      </w:r>
    </w:p>
    <w:p>
      <w:pPr>
        <w:pStyle w:val="Heading2"/>
        <w:spacing w:after="140" w:before="260"/>
      </w:pPr>
      <w:r>
        <w:rPr>
          <w:rFonts w:ascii="Arial" w:cs="Arial" w:eastAsia="Arial" w:hAnsi="Arial"/>
          <w:b/>
          <w:bCs/>
          <w:color w:val="2E75B6"/>
          <w:sz w:val="26"/>
          <w:szCs w:val="26"/>
        </w:rPr>
        <w:t xml:space="preserve">6.1   Phase 7.0 — The Brain: Persistent Intelligence Layer</w:t>
      </w:r>
    </w:p>
    <w:p>
      <w:pPr>
        <w:spacing w:after="180" w:before="0"/>
        <w:jc w:val="both"/>
      </w:pPr>
      <w:r>
        <w:rPr>
          <w:rFonts w:ascii="Arial" w:cs="Arial" w:eastAsia="Arial" w:hAnsi="Arial"/>
          <w:b w:val="false"/>
          <w:bCs w:val="false"/>
          <w:color w:val="3C3C3C"/>
          <w:sz w:val="22"/>
          <w:szCs w:val="22"/>
        </w:rPr>
        <w:t xml:space="preserve">The Brain is the foundational capability that transforms OpenClaw from a daily pipeline into a growing intelligence system. Currently, the pipeline has no memory: every run starts from zero. The agent has no knowledge of what it reported yesterday, which sources have been reliable over time, or which story threads are developing. The Brain breaks this ceiling.</w:t>
      </w:r>
    </w:p>
    <w:p>
      <w:pPr>
        <w:spacing w:after="80" w:before="0"/>
      </w:pPr>
      <w:r>
        <w:t xml:space="preserve"/>
      </w:r>
    </w:p>
    <w:p>
      <w:pPr>
        <w:pStyle w:val="Heading3"/>
        <w:spacing w:after="100" w:before="200"/>
      </w:pPr>
      <w:r>
        <w:rPr>
          <w:rFonts w:ascii="Arial" w:cs="Arial" w:eastAsia="Arial" w:hAnsi="Arial"/>
          <w:b/>
          <w:bCs/>
          <w:color w:val="3C3C3C"/>
          <w:sz w:val="23"/>
          <w:szCs w:val="23"/>
        </w:rPr>
        <w:t xml:space="preserve">What the Brain does</w:t>
      </w:r>
    </w:p>
    <w:p>
      <w:pPr>
        <w:pStyle w:val="ListParagraph"/>
        <w:numPr>
          <w:ilvl w:val="0"/>
          <w:numId w:val="2"/>
        </w:numPr>
        <w:spacing w:after="100" w:before="0"/>
      </w:pPr>
      <w:r>
        <w:rPr>
          <w:rFonts w:ascii="Arial" w:cs="Arial" w:eastAsia="Arial" w:hAnsi="Arial"/>
          <w:b w:val="false"/>
          <w:bCs w:val="false"/>
          <w:color w:val="3C3C3C"/>
          <w:sz w:val="22"/>
          <w:szCs w:val="22"/>
        </w:rPr>
        <w:t xml:space="preserve">Run Memory: after each delivery, a structured summary is written to a persistent store — topics covered, sources contributing valid citations, conflicts flagged, claims delivered. Before the next run, the agent receives a digest of recent history covering the prior seven days.</w:t>
      </w:r>
    </w:p>
    <w:p>
      <w:pPr>
        <w:pStyle w:val="ListParagraph"/>
        <w:numPr>
          <w:ilvl w:val="0"/>
          <w:numId w:val="2"/>
        </w:numPr>
        <w:spacing w:after="100" w:before="0"/>
      </w:pPr>
      <w:r>
        <w:rPr>
          <w:rFonts w:ascii="Arial" w:cs="Arial" w:eastAsia="Arial" w:hAnsi="Arial"/>
          <w:b w:val="false"/>
          <w:bCs w:val="false"/>
          <w:color w:val="3C3C3C"/>
          <w:sz w:val="22"/>
          <w:szCs w:val="22"/>
        </w:rPr>
        <w:t xml:space="preserve">Source Intelligence: the system builds a reliability profile for each source over time — citation validity rate, topic relevance, geographic coverage. Retrieval weighting shifts accordingly, favouring historically high-signal sources.</w:t>
      </w:r>
    </w:p>
    <w:p>
      <w:pPr>
        <w:pStyle w:val="ListParagraph"/>
        <w:numPr>
          <w:ilvl w:val="0"/>
          <w:numId w:val="2"/>
        </w:numPr>
        <w:spacing w:after="100" w:before="0"/>
      </w:pPr>
      <w:r>
        <w:rPr>
          <w:rFonts w:ascii="Arial" w:cs="Arial" w:eastAsia="Arial" w:hAnsi="Arial"/>
          <w:b w:val="false"/>
          <w:bCs w:val="false"/>
          <w:color w:val="3C3C3C"/>
          <w:sz w:val="22"/>
          <w:szCs w:val="22"/>
        </w:rPr>
        <w:t xml:space="preserve">Narrative Continuity: the brief tracks how situations evolve across runs. Developing stories are framed in context rather than reported as if they emerged from nothing. This is the difference between a newsfeed and an intelligence product.</w:t>
      </w:r>
    </w:p>
    <w:p>
      <w:pPr>
        <w:spacing w:after="100" w:before="0"/>
      </w:pPr>
      <w:r>
        <w:t xml:space="preserve"/>
      </w:r>
    </w:p>
    <w:p>
      <w:pPr>
        <w:pStyle w:val="Heading3"/>
        <w:spacing w:after="100" w:before="200"/>
      </w:pPr>
      <w:r>
        <w:rPr>
          <w:rFonts w:ascii="Arial" w:cs="Arial" w:eastAsia="Arial" w:hAnsi="Arial"/>
          <w:b/>
          <w:bCs/>
          <w:color w:val="3C3C3C"/>
          <w:sz w:val="23"/>
          <w:szCs w:val="23"/>
        </w:rPr>
        <w:t xml:space="preserve">Integration approach</w:t>
      </w:r>
    </w:p>
    <w:p>
      <w:pPr>
        <w:spacing w:after="180" w:before="0"/>
        <w:jc w:val="both"/>
      </w:pPr>
      <w:r>
        <w:rPr>
          <w:rFonts w:ascii="Arial" w:cs="Arial" w:eastAsia="Arial" w:hAnsi="Arial"/>
          <w:b w:val="false"/>
          <w:bCs w:val="false"/>
          <w:color w:val="3C3C3C"/>
          <w:sz w:val="22"/>
          <w:szCs w:val="22"/>
        </w:rPr>
        <w:t xml:space="preserve">The Brain injects context at the agent input stage — the same point where VALID_RESULT_IDS is currently injected. It provides reference material, not instructions. The scrubber, validator, and delivery gate operate identically regardless of memory content. The enforcement chain does not change. The pipeline remains deterministic at every enforcement layer; the Brain is an input enrichment layer only.</w:t>
      </w:r>
    </w:p>
    <w:p>
      <w:pPr>
        <w:spacing w:after="100" w:before="0"/>
      </w:pPr>
      <w:r>
        <w:t xml:space="preserve"/>
      </w:r>
    </w:p>
    <w:p>
      <w:pPr>
        <w:pStyle w:val="Heading3"/>
        <w:spacing w:after="100" w:before="200"/>
      </w:pPr>
      <w:r>
        <w:rPr>
          <w:rFonts w:ascii="Arial" w:cs="Arial" w:eastAsia="Arial" w:hAnsi="Arial"/>
          <w:b/>
          <w:bCs/>
          <w:color w:val="3C3C3C"/>
          <w:sz w:val="23"/>
          <w:szCs w:val="23"/>
        </w:rPr>
        <w:t xml:space="preserve">Extension to multi-client</w:t>
      </w:r>
    </w:p>
    <w:p>
      <w:pPr>
        <w:spacing w:after="180" w:before="0"/>
        <w:jc w:val="both"/>
      </w:pPr>
      <w:r>
        <w:rPr>
          <w:rFonts w:ascii="Arial" w:cs="Arial" w:eastAsia="Arial" w:hAnsi="Arial"/>
          <w:b w:val="false"/>
          <w:bCs w:val="false"/>
          <w:color w:val="3C3C3C"/>
          <w:sz w:val="22"/>
          <w:szCs w:val="22"/>
        </w:rPr>
        <w:t xml:space="preserve">When the Brain is extended to multi-client operation, each client maintains an independent memory namespace. Cross-client intelligence (source reliability trends, global story tracking) can be maintained at the platform level separately from per-client institutional knowledge. Designing this separation at Phase 7.0 is significantly cleaner than retrofitting it later.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Item</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Detail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Scope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Persistent run artifact store, structured summary schema, embedding and index layer, context injection at build_agent_input_slim.py, feedback loop post-scrubbing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Layer</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Agent input enrichment only. No changes to scrubber, validator, delivery gate, or retrieval.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Estimated Duration</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4–6 weeks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Gate to Next Phase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confirmed stable across 5+ consecutive runs; context injection producing measurable narrative improvement; single-client memory validated before multi-client extension.</w:t>
            </w:r>
          </w:p>
        </w:tc>
      </w:tr>
    </w:tbl>
    <w:p>
      <w:pPr>
        <w:spacing w:after="160" w:before="0"/>
      </w:pPr>
      <w:r>
        <w:t xml:space="preserve"/>
      </w:r>
    </w:p>
    <w:p>
      <w:pPr>
        <w:pStyle w:val="Heading2"/>
        <w:spacing w:after="140" w:before="260"/>
      </w:pPr>
      <w:r>
        <w:rPr>
          <w:rFonts w:ascii="Arial" w:cs="Arial" w:eastAsia="Arial" w:hAnsi="Arial"/>
          <w:b/>
          <w:bCs/>
          <w:color w:val="2E75B6"/>
          <w:sz w:val="26"/>
          <w:szCs w:val="26"/>
        </w:rPr>
        <w:t xml:space="preserve">6.2   Phase 7.1 — Platform Abstraction</w:t>
      </w:r>
    </w:p>
    <w:p>
      <w:pPr>
        <w:spacing w:after="180" w:before="0"/>
        <w:jc w:val="both"/>
      </w:pPr>
      <w:r>
        <w:rPr>
          <w:rFonts w:ascii="Arial" w:cs="Arial" w:eastAsia="Arial" w:hAnsi="Arial"/>
          <w:b w:val="false"/>
          <w:bCs w:val="false"/>
          <w:color w:val="3C3C3C"/>
          <w:sz w:val="22"/>
          <w:szCs w:val="22"/>
        </w:rPr>
        <w:t xml:space="preserve">The current pipeline runs one configuration: one client, one topic, one delivery channel, one schedule. Phase 7.1 introduces a client configuration layer that stores per-client parameters. The orchestrator reads a client's configuration at runtime and constructs the agent input accordingly. Everything downstream operates identically regardless of which client is running.</w:t>
      </w:r>
    </w:p>
    <w:p>
      <w:pPr>
        <w:pStyle w:val="ListParagraph"/>
        <w:numPr>
          <w:ilvl w:val="0"/>
          <w:numId w:val="2"/>
        </w:numPr>
        <w:spacing w:after="100" w:before="0"/>
      </w:pPr>
      <w:r>
        <w:rPr>
          <w:rFonts w:ascii="Arial" w:cs="Arial" w:eastAsia="Arial" w:hAnsi="Arial"/>
          <w:b w:val="false"/>
          <w:bCs w:val="false"/>
          <w:color w:val="3C3C3C"/>
          <w:sz w:val="22"/>
          <w:szCs w:val="22"/>
        </w:rPr>
        <w:t xml:space="preserve">Client configuration schema: topic focus, regional emphasis, query templates, report format template, delivery channel credentials, schedule.</w:t>
      </w:r>
    </w:p>
    <w:p>
      <w:pPr>
        <w:pStyle w:val="ListParagraph"/>
        <w:numPr>
          <w:ilvl w:val="0"/>
          <w:numId w:val="2"/>
        </w:numPr>
        <w:spacing w:after="100" w:before="0"/>
      </w:pPr>
      <w:r>
        <w:rPr>
          <w:rFonts w:ascii="Arial" w:cs="Arial" w:eastAsia="Arial" w:hAnsi="Arial"/>
          <w:b w:val="false"/>
          <w:bCs w:val="false"/>
          <w:color w:val="3C3C3C"/>
          <w:sz w:val="22"/>
          <w:szCs w:val="22"/>
        </w:rPr>
        <w:t xml:space="preserve">Configuration management: versioned, operator-controlled, isolated per client.</w:t>
      </w:r>
    </w:p>
    <w:p>
      <w:pPr>
        <w:pStyle w:val="ListParagraph"/>
        <w:numPr>
          <w:ilvl w:val="0"/>
          <w:numId w:val="2"/>
        </w:numPr>
        <w:spacing w:after="100" w:before="0"/>
      </w:pPr>
      <w:r>
        <w:rPr>
          <w:rFonts w:ascii="Arial" w:cs="Arial" w:eastAsia="Arial" w:hAnsi="Arial"/>
          <w:b w:val="false"/>
          <w:bCs w:val="false"/>
          <w:color w:val="3C3C3C"/>
          <w:sz w:val="22"/>
          <w:szCs w:val="22"/>
        </w:rPr>
        <w:t xml:space="preserve">End-to-end test with a second client profile (synthetic initially) before live deployment.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Item</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Detail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Scope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config schema, config loader in orchestrator, parameterized agent input construction, per-client delivery routing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Estimated Duration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Gate to Next Phase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Second client profile confirmed running end-to-end with correct isolation; no cross-client data contamination.</w:t>
            </w:r>
          </w:p>
        </w:tc>
      </w:tr>
    </w:tbl>
    <w:p>
      <w:pPr>
        <w:spacing w:after="160" w:before="0"/>
      </w:pPr>
      <w:r>
        <w:t xml:space="preserve"/>
      </w:r>
    </w:p>
    <w:p>
      <w:pPr>
        <w:pStyle w:val="Heading2"/>
        <w:spacing w:after="140" w:before="260"/>
      </w:pPr>
      <w:r>
        <w:rPr>
          <w:rFonts w:ascii="Arial" w:cs="Arial" w:eastAsia="Arial" w:hAnsi="Arial"/>
          <w:b/>
          <w:bCs/>
          <w:color w:val="2E75B6"/>
          <w:sz w:val="26"/>
          <w:szCs w:val="26"/>
        </w:rPr>
        <w:t xml:space="preserve">6.3   Phase 7.2 — Multi-Client Orchestration</w:t>
      </w:r>
    </w:p>
    <w:p>
      <w:pPr>
        <w:spacing w:after="180" w:before="0"/>
        <w:jc w:val="both"/>
      </w:pPr>
      <w:r>
        <w:rPr>
          <w:rFonts w:ascii="Arial" w:cs="Arial" w:eastAsia="Arial" w:hAnsi="Arial"/>
          <w:b w:val="false"/>
          <w:bCs w:val="false"/>
          <w:color w:val="3C3C3C"/>
          <w:sz w:val="22"/>
          <w:szCs w:val="22"/>
        </w:rPr>
        <w:t xml:space="preserve">Phase 7.2 operationalizes reliable parallel or sequential pipeline execution across multiple client configurations. The operator gains visibility into pipeline health across all clients in a single view.</w:t>
      </w:r>
    </w:p>
    <w:p>
      <w:pPr>
        <w:pStyle w:val="ListParagraph"/>
        <w:numPr>
          <w:ilvl w:val="0"/>
          <w:numId w:val="2"/>
        </w:numPr>
        <w:spacing w:after="100" w:before="0"/>
      </w:pPr>
      <w:r>
        <w:rPr>
          <w:rFonts w:ascii="Arial" w:cs="Arial" w:eastAsia="Arial" w:hAnsi="Arial"/>
          <w:b w:val="false"/>
          <w:bCs w:val="false"/>
          <w:color w:val="3C3C3C"/>
          <w:sz w:val="22"/>
          <w:szCs w:val="22"/>
        </w:rPr>
        <w:t xml:space="preserve">Parallel or scheduled-sequential execution across client configurations.</w:t>
      </w:r>
    </w:p>
    <w:p>
      <w:pPr>
        <w:pStyle w:val="ListParagraph"/>
        <w:numPr>
          <w:ilvl w:val="0"/>
          <w:numId w:val="2"/>
        </w:numPr>
        <w:spacing w:after="100" w:before="0"/>
      </w:pPr>
      <w:r>
        <w:rPr>
          <w:rFonts w:ascii="Arial" w:cs="Arial" w:eastAsia="Arial" w:hAnsi="Arial"/>
          <w:b w:val="false"/>
          <w:bCs w:val="false"/>
          <w:color w:val="3C3C3C"/>
          <w:sz w:val="22"/>
          <w:szCs w:val="22"/>
        </w:rPr>
        <w:t xml:space="preserve">Per-client logging: separate retrieval packages, scrubber reports, validator results, conflict logs.</w:t>
      </w:r>
    </w:p>
    <w:p>
      <w:pPr>
        <w:pStyle w:val="ListParagraph"/>
        <w:numPr>
          <w:ilvl w:val="0"/>
          <w:numId w:val="2"/>
        </w:numPr>
        <w:spacing w:after="100" w:before="0"/>
      </w:pPr>
      <w:r>
        <w:rPr>
          <w:rFonts w:ascii="Arial" w:cs="Arial" w:eastAsia="Arial" w:hAnsi="Arial"/>
          <w:b w:val="false"/>
          <w:bCs w:val="false"/>
          <w:color w:val="3C3C3C"/>
          <w:sz w:val="22"/>
          <w:szCs w:val="22"/>
        </w:rPr>
        <w:t xml:space="preserve">Per-client delivery: each client receives only their own output.</w:t>
      </w:r>
    </w:p>
    <w:p>
      <w:pPr>
        <w:pStyle w:val="ListParagraph"/>
        <w:numPr>
          <w:ilvl w:val="0"/>
          <w:numId w:val="2"/>
        </w:numPr>
        <w:spacing w:after="100" w:before="0"/>
      </w:pPr>
      <w:r>
        <w:rPr>
          <w:rFonts w:ascii="Arial" w:cs="Arial" w:eastAsia="Arial" w:hAnsi="Arial"/>
          <w:b w:val="false"/>
          <w:bCs w:val="false"/>
          <w:color w:val="3C3C3C"/>
          <w:sz w:val="22"/>
          <w:szCs w:val="22"/>
        </w:rPr>
        <w:t xml:space="preserve">Cross-client health dashboard: delivery status, validator results, citation rates per client per run.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Item</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Detail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Scope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orchestration loop, per-client artifact namespacing, cross-client health reporting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Estimated Duration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Gate to Next Phase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Three or more client configurations running reliably across five consecutive days; per-client isolation confirmed; no delivery failures.</w:t>
            </w:r>
          </w:p>
        </w:tc>
      </w:tr>
    </w:tbl>
    <w:p>
      <w:pPr>
        <w:spacing w:after="160" w:before="0"/>
      </w:pPr>
      <w:r>
        <w:t xml:space="preserve"/>
      </w:r>
    </w:p>
    <w:p>
      <w:pPr>
        <w:pStyle w:val="Heading2"/>
        <w:spacing w:after="140" w:before="260"/>
      </w:pPr>
      <w:r>
        <w:rPr>
          <w:rFonts w:ascii="Arial" w:cs="Arial" w:eastAsia="Arial" w:hAnsi="Arial"/>
          <w:b/>
          <w:bCs/>
          <w:color w:val="2E75B6"/>
          <w:sz w:val="26"/>
          <w:szCs w:val="26"/>
        </w:rPr>
        <w:t xml:space="preserve">6.4   Phase 7.3 — Client Onboarding Framework</w:t>
      </w:r>
    </w:p>
    <w:p>
      <w:pPr>
        <w:spacing w:after="180" w:before="0"/>
        <w:jc w:val="both"/>
      </w:pPr>
      <w:r>
        <w:rPr>
          <w:rFonts w:ascii="Arial" w:cs="Arial" w:eastAsia="Arial" w:hAnsi="Arial"/>
          <w:b w:val="false"/>
          <w:bCs w:val="false"/>
          <w:color w:val="3C3C3C"/>
          <w:sz w:val="22"/>
          <w:szCs w:val="22"/>
        </w:rPr>
        <w:t xml:space="preserve">Phase 7.3 defines and implements the repeatable process for bringing a new PR firm client onto the platform. This is as much an operational design as a technical one.</w:t>
      </w:r>
    </w:p>
    <w:p>
      <w:pPr>
        <w:pStyle w:val="ListParagraph"/>
        <w:numPr>
          <w:ilvl w:val="0"/>
          <w:numId w:val="2"/>
        </w:numPr>
        <w:spacing w:after="100" w:before="0"/>
      </w:pPr>
      <w:r>
        <w:rPr>
          <w:rFonts w:ascii="Arial" w:cs="Arial" w:eastAsia="Arial" w:hAnsi="Arial"/>
          <w:b w:val="false"/>
          <w:bCs w:val="false"/>
          <w:color w:val="3C3C3C"/>
          <w:sz w:val="22"/>
          <w:szCs w:val="22"/>
        </w:rPr>
        <w:t xml:space="preserve">Client intake: structured questionnaire covering topic focus, geographic scope, key sources, preferred report format, delivery schedule, and channel.</w:t>
      </w:r>
    </w:p>
    <w:p>
      <w:pPr>
        <w:pStyle w:val="ListParagraph"/>
        <w:numPr>
          <w:ilvl w:val="0"/>
          <w:numId w:val="2"/>
        </w:numPr>
        <w:spacing w:after="100" w:before="0"/>
      </w:pPr>
      <w:r>
        <w:rPr>
          <w:rFonts w:ascii="Arial" w:cs="Arial" w:eastAsia="Arial" w:hAnsi="Arial"/>
          <w:b w:val="false"/>
          <w:bCs w:val="false"/>
          <w:color w:val="3C3C3C"/>
          <w:sz w:val="22"/>
          <w:szCs w:val="22"/>
        </w:rPr>
        <w:t xml:space="preserve">Configuration build: operator constructs client configuration from intake; test run cycle before live delivery begins.</w:t>
      </w:r>
    </w:p>
    <w:p>
      <w:pPr>
        <w:pStyle w:val="ListParagraph"/>
        <w:numPr>
          <w:ilvl w:val="0"/>
          <w:numId w:val="2"/>
        </w:numPr>
        <w:spacing w:after="100" w:before="0"/>
      </w:pPr>
      <w:r>
        <w:rPr>
          <w:rFonts w:ascii="Arial" w:cs="Arial" w:eastAsia="Arial" w:hAnsi="Arial"/>
          <w:b w:val="false"/>
          <w:bCs w:val="false"/>
          <w:color w:val="3C3C3C"/>
          <w:sz w:val="22"/>
          <w:szCs w:val="22"/>
        </w:rPr>
        <w:t xml:space="preserve">Approval gate: operator confirms output quality meets client standard before live delivery is enabled.</w:t>
      </w:r>
    </w:p>
    <w:p>
      <w:pPr>
        <w:pStyle w:val="ListParagraph"/>
        <w:numPr>
          <w:ilvl w:val="0"/>
          <w:numId w:val="2"/>
        </w:numPr>
        <w:spacing w:after="100" w:before="0"/>
      </w:pPr>
      <w:r>
        <w:rPr>
          <w:rFonts w:ascii="Arial" w:cs="Arial" w:eastAsia="Arial" w:hAnsi="Arial"/>
          <w:b w:val="false"/>
          <w:bCs w:val="false"/>
          <w:color w:val="3C3C3C"/>
          <w:sz w:val="22"/>
          <w:szCs w:val="22"/>
        </w:rPr>
        <w:t xml:space="preserve">Client documentation: each client receives a written specification of their configured brief format and source coverage.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Item</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Detail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Scope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Intake questionnaire, configuration build process, test run protocol, approval gate, client specification template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Estimated Duration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 weeks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Revenue Gate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First paying client onboarding possible upon Phase 7.3 completion. Estimated: 4–5 months from Phase 7 start.</w:t>
            </w:r>
          </w:p>
        </w:tc>
      </w:tr>
    </w:tbl>
    <w:p>
      <w:pPr>
        <w:spacing w:after="160" w:before="0"/>
      </w:pPr>
      <w:r>
        <w:t xml:space="preserve"/>
      </w:r>
    </w:p>
    <w:p>
      <w:pPr>
        <w:pStyle w:val="Heading2"/>
        <w:spacing w:after="140" w:before="260"/>
      </w:pPr>
      <w:r>
        <w:rPr>
          <w:rFonts w:ascii="Arial" w:cs="Arial" w:eastAsia="Arial" w:hAnsi="Arial"/>
          <w:b/>
          <w:bCs/>
          <w:color w:val="2E75B6"/>
          <w:sz w:val="26"/>
          <w:szCs w:val="26"/>
        </w:rPr>
        <w:t xml:space="preserve">6.5   Phase 7.4 — Document Ingestion Pipeline</w:t>
      </w:r>
    </w:p>
    <w:p>
      <w:pPr>
        <w:spacing w:after="180" w:before="0"/>
        <w:jc w:val="both"/>
      </w:pPr>
      <w:r>
        <w:rPr>
          <w:rFonts w:ascii="Arial" w:cs="Arial" w:eastAsia="Arial" w:hAnsi="Arial"/>
          <w:b w:val="false"/>
          <w:bCs w:val="false"/>
          <w:color w:val="3C3C3C"/>
          <w:sz w:val="22"/>
          <w:szCs w:val="22"/>
        </w:rPr>
        <w:t xml:space="preserve">Phase 7.4 begins the second platform pillar: document intelligence. This phase builds the infrastructure for accepting, parsing, and indexing uploaded document sets. It runs in parallel with the multi-client monitoring build after Phase 7.0 is confirmed stable.</w:t>
      </w:r>
    </w:p>
    <w:p>
      <w:pPr>
        <w:pStyle w:val="ListParagraph"/>
        <w:numPr>
          <w:ilvl w:val="0"/>
          <w:numId w:val="2"/>
        </w:numPr>
        <w:spacing w:after="100" w:before="0"/>
      </w:pPr>
      <w:r>
        <w:rPr>
          <w:rFonts w:ascii="Arial" w:cs="Arial" w:eastAsia="Arial" w:hAnsi="Arial"/>
          <w:b w:val="false"/>
          <w:bCs w:val="false"/>
          <w:color w:val="3C3C3C"/>
          <w:sz w:val="22"/>
          <w:szCs w:val="22"/>
        </w:rPr>
        <w:t xml:space="preserve">Document ingestion: accepts PDF, Word, and plain text formats; handles batch upload.</w:t>
      </w:r>
    </w:p>
    <w:p>
      <w:pPr>
        <w:pStyle w:val="ListParagraph"/>
        <w:numPr>
          <w:ilvl w:val="0"/>
          <w:numId w:val="2"/>
        </w:numPr>
        <w:spacing w:after="100" w:before="0"/>
      </w:pPr>
      <w:r>
        <w:rPr>
          <w:rFonts w:ascii="Arial" w:cs="Arial" w:eastAsia="Arial" w:hAnsi="Arial"/>
          <w:b w:val="false"/>
          <w:bCs w:val="false"/>
          <w:color w:val="3C3C3C"/>
          <w:sz w:val="22"/>
          <w:szCs w:val="22"/>
        </w:rPr>
        <w:t xml:space="preserve">Parsing and chunking: extracts structured text; segments into retrievable chunks with document and passage metadata.</w:t>
      </w:r>
    </w:p>
    <w:p>
      <w:pPr>
        <w:pStyle w:val="ListParagraph"/>
        <w:numPr>
          <w:ilvl w:val="0"/>
          <w:numId w:val="2"/>
        </w:numPr>
        <w:spacing w:after="100" w:before="0"/>
      </w:pPr>
      <w:r>
        <w:rPr>
          <w:rFonts w:ascii="Arial" w:cs="Arial" w:eastAsia="Arial" w:hAnsi="Arial"/>
          <w:b w:val="false"/>
          <w:bCs w:val="false"/>
          <w:color w:val="3C3C3C"/>
          <w:sz w:val="22"/>
          <w:szCs w:val="22"/>
        </w:rPr>
        <w:t xml:space="preserve">Embedding: encodes chunks into vector representations for semantic retrieval.</w:t>
      </w:r>
    </w:p>
    <w:p>
      <w:pPr>
        <w:pStyle w:val="ListParagraph"/>
        <w:numPr>
          <w:ilvl w:val="0"/>
          <w:numId w:val="2"/>
        </w:numPr>
        <w:spacing w:after="100" w:before="0"/>
      </w:pPr>
      <w:r>
        <w:rPr>
          <w:rFonts w:ascii="Arial" w:cs="Arial" w:eastAsia="Arial" w:hAnsi="Arial"/>
          <w:b w:val="false"/>
          <w:bCs w:val="false"/>
          <w:color w:val="3C3C3C"/>
          <w:sz w:val="22"/>
          <w:szCs w:val="22"/>
        </w:rPr>
        <w:t xml:space="preserve">Index management: per-client document namespacing; version tracking for document sets.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Item</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Detail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Scope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Upload API, parser, chunker, embedding pipeline, vector index, per-client namespace management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Estimated Duration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 (parallel track, starts after Phase 7.0)</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Gate to Next Phase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corpus of 50+ documents ingested, indexed, and retrievable with correct namespace isolation.</w:t>
            </w:r>
          </w:p>
        </w:tc>
      </w:tr>
    </w:tbl>
    <w:p>
      <w:pPr>
        <w:spacing w:after="160" w:before="0"/>
      </w:pPr>
      <w:r>
        <w:t xml:space="preserve"/>
      </w:r>
    </w:p>
    <w:p>
      <w:pPr>
        <w:pStyle w:val="Heading2"/>
        <w:spacing w:after="140" w:before="260"/>
      </w:pPr>
      <w:r>
        <w:rPr>
          <w:rFonts w:ascii="Arial" w:cs="Arial" w:eastAsia="Arial" w:hAnsi="Arial"/>
          <w:b/>
          <w:bCs/>
          <w:color w:val="2E75B6"/>
          <w:sz w:val="26"/>
          <w:szCs w:val="26"/>
        </w:rPr>
        <w:t xml:space="preserve">6.6   Phase 7.5 — Document Query and Report Generation</w:t>
      </w:r>
    </w:p>
    <w:p>
      <w:pPr>
        <w:spacing w:after="180" w:before="0"/>
        <w:jc w:val="both"/>
      </w:pPr>
      <w:r>
        <w:rPr>
          <w:rFonts w:ascii="Arial" w:cs="Arial" w:eastAsia="Arial" w:hAnsi="Arial"/>
          <w:b w:val="false"/>
          <w:bCs w:val="false"/>
          <w:color w:val="3C3C3C"/>
          <w:sz w:val="22"/>
          <w:szCs w:val="22"/>
        </w:rPr>
        <w:t xml:space="preserve">Phase 7.5 connects the ingestion layer to the agent and builds the first templated output formats for PR use cases. The agent generates structured reports from retrieved document passages rather than live web results.</w:t>
      </w:r>
    </w:p>
    <w:p>
      <w:pPr>
        <w:pStyle w:val="ListParagraph"/>
        <w:numPr>
          <w:ilvl w:val="0"/>
          <w:numId w:val="2"/>
        </w:numPr>
        <w:spacing w:after="100" w:before="0"/>
      </w:pPr>
      <w:r>
        <w:rPr>
          <w:rFonts w:ascii="Arial" w:cs="Arial" w:eastAsia="Arial" w:hAnsi="Arial"/>
          <w:b w:val="false"/>
          <w:bCs w:val="false"/>
          <w:color w:val="3C3C3C"/>
          <w:sz w:val="22"/>
          <w:szCs w:val="22"/>
        </w:rPr>
        <w:t xml:space="preserve">Query interface: client specifies a question or report type; system retrieves relevant passages from indexed document corpus.</w:t>
      </w:r>
    </w:p>
    <w:p>
      <w:pPr>
        <w:pStyle w:val="ListParagraph"/>
        <w:numPr>
          <w:ilvl w:val="0"/>
          <w:numId w:val="2"/>
        </w:numPr>
        <w:spacing w:after="100" w:before="0"/>
      </w:pPr>
      <w:r>
        <w:rPr>
          <w:rFonts w:ascii="Arial" w:cs="Arial" w:eastAsia="Arial" w:hAnsi="Arial"/>
          <w:b w:val="false"/>
          <w:bCs w:val="false"/>
          <w:color w:val="3C3C3C"/>
          <w:sz w:val="22"/>
          <w:szCs w:val="22"/>
        </w:rPr>
        <w:t xml:space="preserve">Report templates: competitive landscape summary, media coverage analysis, regulatory environment briefing, executive summary — initial template set defined with operator input.</w:t>
      </w:r>
    </w:p>
    <w:p>
      <w:pPr>
        <w:pStyle w:val="ListParagraph"/>
        <w:numPr>
          <w:ilvl w:val="0"/>
          <w:numId w:val="2"/>
        </w:numPr>
        <w:spacing w:after="100" w:before="0"/>
      </w:pPr>
      <w:r>
        <w:rPr>
          <w:rFonts w:ascii="Arial" w:cs="Arial" w:eastAsia="Arial" w:hAnsi="Arial"/>
          <w:b w:val="false"/>
          <w:bCs w:val="false"/>
          <w:color w:val="3C3C3C"/>
          <w:sz w:val="22"/>
          <w:szCs w:val="22"/>
        </w:rPr>
        <w:t xml:space="preserve">Output structure: consistent with the monitoring brief format — Executive Take, Advisory Layer, source attribution — adapted for document-sourced content.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Item</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Detail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Scope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Query interface, passage retrieval, agent prompt adaptation for document context, initial report template set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Estimated Duration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Gate to Next Phase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Three or more report templates producing structured output against a real document corpus; quality reviewed by operator.</w:t>
            </w:r>
          </w:p>
        </w:tc>
      </w:tr>
    </w:tbl>
    <w:p>
      <w:pPr>
        <w:spacing w:after="160" w:before="0"/>
      </w:pPr>
      <w:r>
        <w:t xml:space="preserve"/>
      </w:r>
    </w:p>
    <w:p>
      <w:pPr>
        <w:pStyle w:val="Heading2"/>
        <w:spacing w:after="140" w:before="260"/>
      </w:pPr>
      <w:r>
        <w:rPr>
          <w:rFonts w:ascii="Arial" w:cs="Arial" w:eastAsia="Arial" w:hAnsi="Arial"/>
          <w:b/>
          <w:bCs/>
          <w:color w:val="2E75B6"/>
          <w:sz w:val="26"/>
          <w:szCs w:val="26"/>
        </w:rPr>
        <w:t xml:space="preserve">6.7   Phase 7.6 — Document Citation Enforcement</w:t>
      </w:r>
    </w:p>
    <w:p>
      <w:pPr>
        <w:spacing w:after="180" w:before="0"/>
        <w:jc w:val="both"/>
      </w:pPr>
      <w:r>
        <w:rPr>
          <w:rFonts w:ascii="Arial" w:cs="Arial" w:eastAsia="Arial" w:hAnsi="Arial"/>
          <w:b w:val="false"/>
          <w:bCs w:val="false"/>
          <w:color w:val="3C3C3C"/>
          <w:sz w:val="22"/>
          <w:szCs w:val="22"/>
        </w:rPr>
        <w:t xml:space="preserve">Phase 7.6 applies OpenClaw's citation discipline to document-sourced output. This is the quality gate that separates the platform from generic document summarization. Every claim in a generated report must trace to a specific passage in a specific uploaded document.</w:t>
      </w:r>
    </w:p>
    <w:p>
      <w:pPr>
        <w:pStyle w:val="ListParagraph"/>
        <w:numPr>
          <w:ilvl w:val="0"/>
          <w:numId w:val="2"/>
        </w:numPr>
        <w:spacing w:after="100" w:before="0"/>
      </w:pPr>
      <w:r>
        <w:rPr>
          <w:rFonts w:ascii="Arial" w:cs="Arial" w:eastAsia="Arial" w:hAnsi="Arial"/>
          <w:b w:val="false"/>
          <w:bCs w:val="false"/>
          <w:color w:val="3C3C3C"/>
          <w:sz w:val="22"/>
          <w:szCs w:val="22"/>
        </w:rPr>
        <w:t xml:space="preserve">Document citation format: analogous to result_id citations in monitoring briefs — each claim tagged with document identifier and passage reference.</w:t>
      </w:r>
    </w:p>
    <w:p>
      <w:pPr>
        <w:pStyle w:val="ListParagraph"/>
        <w:numPr>
          <w:ilvl w:val="0"/>
          <w:numId w:val="2"/>
        </w:numPr>
        <w:spacing w:after="100" w:before="0"/>
      </w:pPr>
      <w:r>
        <w:rPr>
          <w:rFonts w:ascii="Arial" w:cs="Arial" w:eastAsia="Arial" w:hAnsi="Arial"/>
          <w:b w:val="false"/>
          <w:bCs w:val="false"/>
          <w:color w:val="3C3C3C"/>
          <w:sz w:val="22"/>
          <w:szCs w:val="22"/>
        </w:rPr>
        <w:t xml:space="preserve">Scrubber adaptation: removes claims that cannot be traced to a retrieved passage.</w:t>
      </w:r>
    </w:p>
    <w:p>
      <w:pPr>
        <w:pStyle w:val="ListParagraph"/>
        <w:numPr>
          <w:ilvl w:val="0"/>
          <w:numId w:val="2"/>
        </w:numPr>
        <w:spacing w:after="100" w:before="0"/>
      </w:pPr>
      <w:r>
        <w:rPr>
          <w:rFonts w:ascii="Arial" w:cs="Arial" w:eastAsia="Arial" w:hAnsi="Arial"/>
          <w:b w:val="false"/>
          <w:bCs w:val="false"/>
          <w:color w:val="3C3C3C"/>
          <w:sz w:val="22"/>
          <w:szCs w:val="22"/>
        </w:rPr>
        <w:t xml:space="preserve">Validator adaptation: confirms all citations in output map to documents in the client's indexed corpus.</w:t>
      </w:r>
    </w:p>
    <w:p>
      <w:pPr>
        <w:pStyle w:val="ListParagraph"/>
        <w:numPr>
          <w:ilvl w:val="0"/>
          <w:numId w:val="2"/>
        </w:numPr>
        <w:spacing w:after="100" w:before="0"/>
      </w:pPr>
      <w:r>
        <w:rPr>
          <w:rFonts w:ascii="Arial" w:cs="Arial" w:eastAsia="Arial" w:hAnsi="Arial"/>
          <w:b w:val="false"/>
          <w:bCs w:val="false"/>
          <w:color w:val="3C3C3C"/>
          <w:sz w:val="22"/>
          <w:szCs w:val="22"/>
        </w:rPr>
        <w:t xml:space="preserve">Traceability audit trail: per-report log of source passages supporting each delivered claim.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Item</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Detail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Scope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citation schema, scrubber adaptation, validator adaptation, per-report traceability log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Estimated Duration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4–6 weeks</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Gate to Next Phase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Zero uncited claims in document-sourced output across five consecutive reports; all citations traceable to indexed passages.</w:t>
            </w:r>
          </w:p>
        </w:tc>
      </w:tr>
    </w:tbl>
    <w:p>
      <w:pPr>
        <w:spacing w:after="160" w:before="0"/>
      </w:pPr>
      <w:r>
        <w:t xml:space="preserve"/>
      </w:r>
    </w:p>
    <w:p>
      <w:pPr>
        <w:pStyle w:val="Heading2"/>
        <w:spacing w:after="140" w:before="260"/>
      </w:pPr>
      <w:r>
        <w:rPr>
          <w:rFonts w:ascii="Arial" w:cs="Arial" w:eastAsia="Arial" w:hAnsi="Arial"/>
          <w:b/>
          <w:bCs/>
          <w:color w:val="2E75B6"/>
          <w:sz w:val="26"/>
          <w:szCs w:val="26"/>
        </w:rPr>
        <w:t xml:space="preserve">6.8   Platform Integration</w:t>
      </w:r>
    </w:p>
    <w:p>
      <w:pPr>
        <w:spacing w:after="180" w:before="0"/>
        <w:jc w:val="both"/>
      </w:pPr>
      <w:r>
        <w:rPr>
          <w:rFonts w:ascii="Arial" w:cs="Arial" w:eastAsia="Arial" w:hAnsi="Arial"/>
          <w:b w:val="false"/>
          <w:bCs w:val="false"/>
          <w:color w:val="3C3C3C"/>
          <w:sz w:val="22"/>
          <w:szCs w:val="22"/>
        </w:rPr>
        <w:t xml:space="preserve">The final Phase 7 step integrates both pillars into a unified client experience and prepares the platform for broader commercial deployment.</w:t>
      </w:r>
    </w:p>
    <w:p>
      <w:pPr>
        <w:pStyle w:val="ListParagraph"/>
        <w:numPr>
          <w:ilvl w:val="0"/>
          <w:numId w:val="2"/>
        </w:numPr>
        <w:spacing w:after="100" w:before="0"/>
      </w:pPr>
      <w:r>
        <w:rPr>
          <w:rFonts w:ascii="Arial" w:cs="Arial" w:eastAsia="Arial" w:hAnsi="Arial"/>
          <w:b w:val="false"/>
          <w:bCs w:val="false"/>
          <w:color w:val="3C3C3C"/>
          <w:sz w:val="22"/>
          <w:szCs w:val="22"/>
        </w:rPr>
        <w:t xml:space="preserve">Unified delivery interface: monitoring briefs and document reports delivered through the same per-client channel, with consistent formatting and citation standards.</w:t>
      </w:r>
    </w:p>
    <w:p>
      <w:pPr>
        <w:pStyle w:val="ListParagraph"/>
        <w:numPr>
          <w:ilvl w:val="0"/>
          <w:numId w:val="2"/>
        </w:numPr>
        <w:spacing w:after="100" w:before="0"/>
      </w:pPr>
      <w:r>
        <w:rPr>
          <w:rFonts w:ascii="Arial" w:cs="Arial" w:eastAsia="Arial" w:hAnsi="Arial"/>
          <w:b w:val="false"/>
          <w:bCs w:val="false"/>
          <w:color w:val="3C3C3C"/>
          <w:sz w:val="22"/>
          <w:szCs w:val="22"/>
        </w:rPr>
        <w:t xml:space="preserve">Cross-pillar intelligence: Brain layer extended to incorporate document corpus knowledge alongside run memory, enabling the agent to reference uploaded documents when generating monitoring briefs if relevant.</w:t>
      </w:r>
    </w:p>
    <w:p>
      <w:pPr>
        <w:pStyle w:val="ListParagraph"/>
        <w:numPr>
          <w:ilvl w:val="0"/>
          <w:numId w:val="2"/>
        </w:numPr>
        <w:spacing w:after="100" w:before="0"/>
      </w:pPr>
      <w:r>
        <w:rPr>
          <w:rFonts w:ascii="Arial" w:cs="Arial" w:eastAsia="Arial" w:hAnsi="Arial"/>
          <w:b w:val="false"/>
          <w:bCs w:val="false"/>
          <w:color w:val="3C3C3C"/>
          <w:sz w:val="22"/>
          <w:szCs w:val="22"/>
        </w:rPr>
        <w:t xml:space="preserve">Operator dashboard: unified view of all clients, all pipeline health metrics, and all document processing jobs.</w:t>
      </w:r>
    </w:p>
    <w:p>
      <w:pPr>
        <w:pStyle w:val="ListParagraph"/>
        <w:numPr>
          <w:ilvl w:val="0"/>
          <w:numId w:val="2"/>
        </w:numPr>
        <w:spacing w:after="100" w:before="0"/>
      </w:pPr>
      <w:r>
        <w:rPr>
          <w:rFonts w:ascii="Arial" w:cs="Arial" w:eastAsia="Arial" w:hAnsi="Arial"/>
          <w:b w:val="false"/>
          <w:bCs w:val="false"/>
          <w:color w:val="3C3C3C"/>
          <w:sz w:val="22"/>
          <w:szCs w:val="22"/>
        </w:rPr>
        <w:t xml:space="preserve">Commercial readiness: billing model, service level definitions, and client reporting package finalized.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Item</w:t>
            </w:r>
          </w:p>
        </w:tc>
        <w:tc>
          <w:tcPr>
            <w:tcW w:type="dxa" w:w="69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Detail</w:t>
            </w:r>
          </w:p>
        </w:tc>
      </w:tr>
      <w:tr>
        <w:tc>
          <w:tcPr>
            <w:tcW w:type="dxa" w:w="24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Estimated Duration</w:t>
            </w:r>
          </w:p>
        </w:tc>
        <w:tc>
          <w:tcPr>
            <w:tcW w:type="dxa" w:w="69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4–6 weeks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Outcome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Fully integrated platform operational across both pillars; ready for commercial client onboarding at scale.</w:t>
            </w:r>
          </w:p>
        </w:tc>
      </w:tr>
    </w:tbl>
    <w:p>
      <w:pPr>
        <w:pStyle w:val="Heading1"/>
        <w:spacing w:after="200" w:before="360"/>
      </w:pPr>
      <w:r>
        <w:rPr>
          <w:rFonts w:ascii="Arial" w:cs="Arial" w:eastAsia="Arial" w:hAnsi="Arial"/>
          <w:b/>
          <w:bCs/>
          <w:color w:val="1F3864"/>
          <w:sz w:val="32"/>
          <w:szCs w:val="32"/>
        </w:rPr>
        <w:t xml:space="preserve">7.  Infrastructure Prerequisites — VPS Consolidation</w:t>
      </w:r>
    </w:p>
    <w:p>
      <w:pPr>
        <w:spacing w:after="180" w:before="0"/>
        <w:jc w:val="both"/>
      </w:pPr>
      <w:r>
        <w:rPr>
          <w:rFonts w:ascii="Arial" w:cs="Arial" w:eastAsia="Arial" w:hAnsi="Arial"/>
          <w:b w:val="false"/>
          <w:bCs w:val="false"/>
          <w:color w:val="3C3C3C"/>
          <w:sz w:val="22"/>
          <w:szCs w:val="22"/>
        </w:rPr>
        <w:t xml:space="preserve">A structural change to the development workflow is under consideration and recommended for implementation during Phase 6.9–6.11. The current architecture separates project documentation, planning, and AI-assisted analysis (on the operator's laptop) from the live pipeline runtime (on the VPS). This separation creates operational friction — manual log relay, documentation drift risk, and slower debugging cycles — that becomes more costly at Phase 7 scale.</w:t>
      </w:r>
    </w:p>
    <w:p>
      <w:pPr>
        <w:spacing w:after="180" w:before="0"/>
        <w:jc w:val="both"/>
      </w:pPr>
      <w:r>
        <w:rPr>
          <w:rFonts w:ascii="Arial" w:cs="Arial" w:eastAsia="Arial" w:hAnsi="Arial"/>
          <w:b w:val="false"/>
          <w:bCs w:val="false"/>
          <w:color w:val="3C3C3C"/>
          <w:sz w:val="22"/>
          <w:szCs w:val="22"/>
        </w:rPr>
        <w:t xml:space="preserve">The proposed consolidation moves system documentation, architecture documents, issue logs, and phase plans onto the VPS alongside the live environment, and runs Claude CoWork within a controlled VPS environment with direct read access to logs, validation outputs, and runtime artifacts.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1360"/>
      </w:tblGrid>
      <w:tr>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Phase</w:t>
            </w:r>
          </w:p>
        </w:tc>
        <w:tc>
          <w:tcPr>
            <w:tcW w:type="dxa" w:w="50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Scope</w:t>
            </w:r>
          </w:p>
        </w:tc>
        <w:tc>
          <w:tcPr>
            <w:tcW w:type="dxa" w:w="1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Timing</w:t>
            </w:r>
          </w:p>
        </w:tc>
        <w:tc>
          <w:tcPr>
            <w:tcW w:type="dxa" w:w="1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Gate</w:t>
            </w:r>
          </w:p>
        </w:tc>
      </w:tr>
      <w:tr>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Phase 1</w:t>
            </w:r>
          </w:p>
        </w:tc>
        <w:tc>
          <w:tcPr>
            <w:tcW w:type="dxa" w:w="5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Move system documentation onto VPS. Establish git version discipline. Organize runtime + docs directory structure.</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During Phase 6.9–6.11</w:t>
            </w:r>
          </w:p>
        </w:tc>
        <w:tc>
          <w:tcPr>
            <w:tcW w:type="dxa" w:w="1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Low-risk; proceed immediately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Phase 2</w:t>
            </w:r>
          </w:p>
        </w:tc>
        <w:tc>
          <w:tcPr>
            <w:tcW w:type="dxa" w:w="5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Run Claude CoWork within controlled VPS environment. Enable direct log read, validation output inspection, and in-place debugging workflows.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Before Phase 7.1</w:t>
            </w:r>
          </w:p>
        </w:tc>
        <w:tc>
          <w:tcPr>
            <w:tcW w:type="dxa" w:w="1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Requires written access control model and secrets isolation before proceeding</w:t>
            </w:r>
          </w:p>
        </w:tc>
      </w:tr>
      <w:tr>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Phase 3</w:t>
            </w:r>
          </w:p>
        </w:tc>
        <w:tc>
          <w:tcPr>
            <w:tcW w:type="dxa" w:w="50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Expand into AI-assisted diagnostics and operational tooling. Integrated observability dashboards and workflow coordination.</w:t>
            </w:r>
          </w:p>
        </w:tc>
        <w:tc>
          <w:tcPr>
            <w:tcW w:type="dxa" w:w="1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7.2+</w:t>
            </w:r>
          </w:p>
        </w:tc>
        <w:tc>
          <w:tcPr>
            <w:tcW w:type="dxa" w:w="1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Evaluate after Phase 2 is stable</w:t>
            </w:r>
          </w:p>
        </w:tc>
      </w:tr>
    </w:tbl>
    <w:p>
      <w:pPr>
        <w:spacing w:after="120" w:before="0"/>
      </w:pPr>
      <w:r>
        <w:t xml:space="preserve"/>
      </w:r>
    </w:p>
    <w:p>
      <w:pPr>
        <w:spacing w:after="180" w:before="0"/>
        <w:jc w:val="both"/>
      </w:pPr>
      <w:r>
        <w:rPr>
          <w:rFonts w:ascii="Arial" w:cs="Arial" w:eastAsia="Arial" w:hAnsi="Arial"/>
          <w:b w:val="false"/>
          <w:bCs w:val="false"/>
          <w:color w:val="3C3C3C"/>
          <w:sz w:val="22"/>
          <w:szCs w:val="22"/>
        </w:rPr>
        <w:t xml:space="preserve">Three structural safeguards are required before Phase 2 proceeds: (1) secrets isolation — API keys must be moved out of script files readable by the Claude user; (2) a written access control model specifying exactly what the Claude environment can read and write by filesystem permission; and (3) an updated operating protocol entry defining the operator approval requirements under the co-located model. The benefits of co-location — faster debugging, lower documentation drift, stronger architectural coherence — are real and meaningful at Phase 7 scale. The safeguard design is the prerequisite, not the decision.</w:t>
      </w:r>
    </w:p>
    <w:p>
      <w:pPr>
        <w:pStyle w:val="Heading1"/>
        <w:spacing w:after="200" w:before="360"/>
      </w:pPr>
      <w:r>
        <w:rPr>
          <w:rFonts w:ascii="Arial" w:cs="Arial" w:eastAsia="Arial" w:hAnsi="Arial"/>
          <w:b/>
          <w:bCs/>
          <w:color w:val="1F3864"/>
          <w:sz w:val="32"/>
          <w:szCs w:val="32"/>
        </w:rPr>
        <w:t xml:space="preserve">8.  Master Timeline</w:t>
      </w:r>
    </w:p>
    <w:p>
      <w:pPr>
        <w:spacing w:after="180" w:before="0"/>
        <w:jc w:val="both"/>
      </w:pPr>
      <w:r>
        <w:rPr>
          <w:rFonts w:ascii="Arial" w:cs="Arial" w:eastAsia="Arial" w:hAnsi="Arial"/>
          <w:b w:val="false"/>
          <w:bCs w:val="false"/>
          <w:color w:val="3C3C3C"/>
          <w:sz w:val="22"/>
          <w:szCs w:val="22"/>
        </w:rPr>
        <w:t xml:space="preserve">All durations are estimates based on the observed implementation cadence of Phase 6. Phases 7.4 through 7.6 (document intelligence) run in parallel with Phases 7.1 through 7.3 (multi-client monitoring) after Phase 7.0 is stable, compressing the overall timeline. Phase 7 start is contingent on Phase 6 formal close.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560"/>
        <w:gridCol w:w="1600"/>
        <w:gridCol w:w="800"/>
      </w:tblGrid>
      <w:tr>
        <w:tc>
          <w:tcPr>
            <w:tcW w:type="dxa" w:w="11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Phase</w:t>
            </w:r>
          </w:p>
        </w:tc>
        <w:tc>
          <w:tcPr>
            <w:tcW w:type="dxa" w:w="43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Scope</w:t>
            </w:r>
          </w:p>
        </w:tc>
        <w:tc>
          <w:tcPr>
            <w:tcW w:type="dxa" w:w="15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Duration</w:t>
            </w:r>
          </w:p>
        </w:tc>
        <w:tc>
          <w:tcPr>
            <w:tcW w:type="dxa" w:w="1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From Today</w:t>
            </w:r>
          </w:p>
        </w:tc>
        <w:tc>
          <w:tcPr>
            <w:tcW w:type="dxa" w:w="8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Milestone</w:t>
            </w:r>
          </w:p>
        </w:tc>
      </w:tr>
      <w:tr>
        <w:tc>
          <w:tcPr>
            <w:tcW w:type="dxa" w:w="11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6.7</w:t>
            </w:r>
          </w:p>
        </w:tc>
        <w:tc>
          <w:tcPr>
            <w:tcW w:type="dxa" w:w="4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Uncited Claim Removal</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1–2 days</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1</w:t>
            </w:r>
          </w:p>
        </w:tc>
        <w:tc>
          <w:tcPr>
            <w:tcW w:type="dxa" w:w="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6.8</w:t>
            </w:r>
          </w:p>
        </w:tc>
        <w:tc>
          <w:tcPr>
            <w:tcW w:type="dxa" w:w="4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Agent Citation Precision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~1 week</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2</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11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6.9</w:t>
            </w:r>
          </w:p>
        </w:tc>
        <w:tc>
          <w:tcPr>
            <w:tcW w:type="dxa" w:w="4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Model Architecture Optimization</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2–3 weeks</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4–5</w:t>
            </w:r>
          </w:p>
        </w:tc>
        <w:tc>
          <w:tcPr>
            <w:tcW w:type="dxa" w:w="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6.10</w:t>
            </w:r>
          </w:p>
        </w:tc>
        <w:tc>
          <w:tcPr>
            <w:tcW w:type="dxa" w:w="4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Source Expansion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2–3 weeks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6–7</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11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2E75B6"/>
                <w:sz w:val="20"/>
                <w:szCs w:val="20"/>
              </w:rPr>
              <w:t xml:space="preserve">6.11</w:t>
            </w:r>
          </w:p>
        </w:tc>
        <w:tc>
          <w:tcPr>
            <w:tcW w:type="dxa" w:w="4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Channel Expansion</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2–3 weeks</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Week 8–9</w:t>
            </w:r>
          </w:p>
        </w:tc>
        <w:tc>
          <w:tcPr>
            <w:tcW w:type="dxa" w:w="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5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2"/>
                <w:szCs w:val="22"/>
              </w:rPr>
              <w:t xml:space="preserve">Phase 7 Start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2"/>
                <w:szCs w:val="22"/>
              </w:rPr>
              <w:t xml:space="preserve">VPS Phase 1 complete; Phase 6 formally closed; quality confirmed stable</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2"/>
                <w:szCs w:val="22"/>
              </w:rPr>
              <w:t xml:space="preserve">Months 2–3</w:t>
            </w:r>
          </w:p>
        </w:tc>
      </w:tr>
      <w:tr>
        <w:tc>
          <w:tcPr>
            <w:tcW w:type="dxa" w:w="11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7.0</w:t>
            </w:r>
          </w:p>
        </w:tc>
        <w:tc>
          <w:tcPr>
            <w:tcW w:type="dxa" w:w="4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The Brain — Persistent Intelligence Layer</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4–6 weeks</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3–4</w:t>
            </w:r>
          </w:p>
        </w:tc>
        <w:tc>
          <w:tcPr>
            <w:tcW w:type="dxa" w:w="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7.1</w:t>
            </w:r>
          </w:p>
        </w:tc>
        <w:tc>
          <w:tcPr>
            <w:tcW w:type="dxa" w:w="4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Platform Abstraction — client configuration layer (parallel: 7.4 begins)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4–6</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11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7.2</w:t>
            </w:r>
          </w:p>
        </w:tc>
        <w:tc>
          <w:tcPr>
            <w:tcW w:type="dxa" w:w="4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Orchestration</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6–7</w:t>
            </w:r>
          </w:p>
        </w:tc>
        <w:tc>
          <w:tcPr>
            <w:tcW w:type="dxa" w:w="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7.3</w:t>
            </w:r>
          </w:p>
        </w:tc>
        <w:tc>
          <w:tcPr>
            <w:tcW w:type="dxa" w:w="4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Client Onboarding Framework</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 weeks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7–8</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2"/>
                <w:szCs w:val="22"/>
              </w:rPr>
              <w:t xml:space="preserve">★ First Revenue</w:t>
            </w:r>
          </w:p>
        </w:tc>
      </w:tr>
      <w:tr>
        <w:tc>
          <w:tcPr>
            <w:tcW w:type="dxa" w:w="11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7.4</w:t>
            </w:r>
          </w:p>
        </w:tc>
        <w:tc>
          <w:tcPr>
            <w:tcW w:type="dxa" w:w="4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Ingestion Pipeline (parallel track)</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5–6</w:t>
            </w:r>
          </w:p>
        </w:tc>
        <w:tc>
          <w:tcPr>
            <w:tcW w:type="dxa" w:w="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7.5</w:t>
            </w:r>
          </w:p>
        </w:tc>
        <w:tc>
          <w:tcPr>
            <w:tcW w:type="dxa" w:w="4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Query and Report Generation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6–8 weeks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7–8</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11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7.6</w:t>
            </w:r>
          </w:p>
        </w:tc>
        <w:tc>
          <w:tcPr>
            <w:tcW w:type="dxa" w:w="43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Citation Enforcement</w:t>
            </w:r>
          </w:p>
        </w:tc>
        <w:tc>
          <w:tcPr>
            <w:tcW w:type="dxa" w:w="15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4–6 weeks</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9–10</w:t>
            </w:r>
          </w:p>
        </w:tc>
        <w:tc>
          <w:tcPr>
            <w:tcW w:type="dxa" w:w="8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1F3864"/>
                <w:sz w:val="20"/>
                <w:szCs w:val="20"/>
              </w:rPr>
              <w:t xml:space="preserve">Int.</w:t>
            </w:r>
          </w:p>
        </w:tc>
        <w:tc>
          <w:tcPr>
            <w:tcW w:type="dxa" w:w="43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Platform Integration — unified delivery, cross-pillar intelligence, operator dashboard</w:t>
            </w:r>
          </w:p>
        </w:tc>
        <w:tc>
          <w:tcPr>
            <w:tcW w:type="dxa" w:w="15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4–6 weeks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Month 11–12</w:t>
            </w:r>
          </w:p>
        </w:tc>
        <w:tc>
          <w:tcPr>
            <w:tcW w:type="dxa" w:w="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2E75B6"/>
                <w:sz w:val="22"/>
                <w:szCs w:val="22"/>
              </w:rPr>
              <w:t xml:space="preserve">★ Full Platform</w:t>
            </w:r>
          </w:p>
        </w:tc>
      </w:tr>
    </w:tbl>
    <w:p>
      <w:pPr>
        <w:pStyle w:val="Heading1"/>
        <w:spacing w:after="200" w:before="360"/>
      </w:pPr>
      <w:r>
        <w:rPr>
          <w:rFonts w:ascii="Arial" w:cs="Arial" w:eastAsia="Arial" w:hAnsi="Arial"/>
          <w:b/>
          <w:bCs/>
          <w:color w:val="1F3864"/>
          <w:sz w:val="32"/>
          <w:szCs w:val="32"/>
        </w:rPr>
        <w:t xml:space="preserve">9.  Strategic Positioning</w:t>
      </w:r>
    </w:p>
    <w:p>
      <w:pPr>
        <w:spacing w:after="180" w:before="0"/>
        <w:jc w:val="both"/>
      </w:pPr>
      <w:r>
        <w:rPr>
          <w:rFonts w:ascii="Arial" w:cs="Arial" w:eastAsia="Arial" w:hAnsi="Arial"/>
          <w:b w:val="false"/>
          <w:bCs w:val="false"/>
          <w:color w:val="3C3C3C"/>
          <w:sz w:val="22"/>
          <w:szCs w:val="22"/>
        </w:rPr>
        <w:t xml:space="preserve">The PR industry operates under a simple risk model: a single unsourced or fabricated claim in a client deliverable is a reputational event. The market for AI-generated intelligence in this sector has been held back not by lack of capability but by lack of credibility. Most AI intelligence tools produce plausible output without enforceable traceability.</w:t>
      </w:r>
    </w:p>
    <w:p>
      <w:pPr>
        <w:spacing w:after="180" w:before="0"/>
        <w:jc w:val="both"/>
      </w:pPr>
      <w:r>
        <w:rPr>
          <w:rFonts w:ascii="Arial" w:cs="Arial" w:eastAsia="Arial" w:hAnsi="Arial"/>
          <w:b w:val="false"/>
          <w:bCs w:val="false"/>
          <w:color w:val="3C3C3C"/>
          <w:sz w:val="22"/>
          <w:szCs w:val="22"/>
        </w:rPr>
        <w:t xml:space="preserve">OpenClaw's competitive differentiation is structural. Citation traceability is enforced at the infrastructure level — the scrubber, the validator, and the delivery gate together ensure that nothing reaches a client that cannot be traced to a verified source. This is not an editorial discipline that depends on human review. It is an architectural property. That distinction is meaningful to PR firm buyers evaluating intelligence tools for client-facing use.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Dimension</w:t>
            </w:r>
          </w:p>
        </w:tc>
        <w:tc>
          <w:tcPr>
            <w:tcW w:type="dxa" w:w="67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OpenClaw Position</w:t>
            </w:r>
          </w:p>
        </w:tc>
      </w:tr>
      <w:tr>
        <w:tc>
          <w:tcPr>
            <w:tcW w:type="dxa" w:w="2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Citation Model</w:t>
            </w:r>
          </w:p>
        </w:tc>
        <w:tc>
          <w:tcPr>
            <w:tcW w:type="dxa" w:w="6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Every delivered claim traces to a verified retrieved source or is not delivered. Enforced by scrubber and validator on every run without exception.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Source Coverage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Dual-provider retrieval covering Western and Chinese-language sources. Phase 6.10 expands to additional providers. Phase 7.4–7.6 adds private document corpus capability.</w:t>
            </w:r>
          </w:p>
        </w:tc>
      </w:tr>
      <w:tr>
        <w:tc>
          <w:tcPr>
            <w:tcW w:type="dxa" w:w="2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Conflict Detection</w:t>
            </w:r>
          </w:p>
        </w:tc>
        <w:tc>
          <w:tcPr>
            <w:tcW w:type="dxa" w:w="6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Source conflicts are surfaced and classified — not suppressed. Clients receive intelligence that acknowledges contradictions rather than smoothing them over.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Institutional Memory</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The Brain layer enables story continuity and source reliability tracking across runs. Intelligence output improves over time as the system accumulates context.</w:t>
            </w:r>
          </w:p>
        </w:tc>
      </w:tr>
      <w:tr>
        <w:tc>
          <w:tcPr>
            <w:tcW w:type="dxa" w:w="2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Target Client</w:t>
            </w:r>
          </w:p>
        </w:tc>
        <w:tc>
          <w:tcPr>
            <w:tcW w:type="dxa" w:w="67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PR firms requiring credible, source-attributed intelligence for client briefings, media monitoring, regulatory tracking, and competitive landscape analysis.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bCs/>
                <w:color w:val="3C3C3C"/>
                <w:sz w:val="20"/>
                <w:szCs w:val="20"/>
              </w:rPr>
              <w:t xml:space="preserve">Pricing Position</w:t>
            </w:r>
          </w:p>
        </w:tc>
        <w:tc>
          <w:tcPr>
            <w:tcW w:type="dxa" w:w="67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Premium. The citation enforcement architecture and document intelligence capability justify a materially higher price point than generic AI summarization tools.</w:t>
            </w:r>
          </w:p>
        </w:tc>
      </w:tr>
    </w:tbl>
    <w:p>
      <w:pPr>
        <w:pStyle w:val="Heading1"/>
        <w:spacing w:after="200" w:before="360"/>
      </w:pPr>
      <w:r>
        <w:rPr>
          <w:rFonts w:ascii="Arial" w:cs="Arial" w:eastAsia="Arial" w:hAnsi="Arial"/>
          <w:b/>
          <w:bCs/>
          <w:color w:val="1F3864"/>
          <w:sz w:val="32"/>
          <w:szCs w:val="32"/>
        </w:rPr>
        <w:t xml:space="preserve">10.  Key Risks and Mitigations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Risk</w:t>
            </w:r>
          </w:p>
        </w:tc>
        <w:tc>
          <w:tcPr>
            <w:tcW w:type="dxa" w:w="16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Impact</w:t>
            </w:r>
          </w:p>
        </w:tc>
        <w:tc>
          <w:tcPr>
            <w:tcW w:type="dxa" w:w="120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Likelihood</w:t>
            </w:r>
          </w:p>
        </w:tc>
        <w:tc>
          <w:tcPr>
            <w:tcW w:type="dxa" w:w="4360"/>
            <w:gridSpan w:val="1"/>
            <w:tcBorders>
              <w:top w:val="single" w:color="BBBBBB" w:sz="1"/>
              <w:left w:val="single" w:color="BBBBBB" w:sz="1"/>
              <w:bottom w:val="single" w:color="BBBBBB" w:sz="1"/>
              <w:right w:val="single" w:color="BBBBBB" w:sz="1"/>
            </w:tcBorders>
            <w:shd w:fill="1F3864" w:val="clear"/>
            <w:tcMar>
              <w:top w:type="dxa" w:w="100"/>
              <w:left w:type="dxa" w:w="160"/>
              <w:bottom w:type="dxa" w:w="100"/>
              <w:right w:type="dxa" w:w="16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2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 quality issues persist at scale</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Uncited claims delivered to paying clients; credibility damage</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4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 formal close is a hard gate before client onboarding. Phase 6.7 and 6.8 must both confirm stable across consecutive runs before Phase 7.3 opens.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Multi-tenancy data isolation failure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One client receives another client's intelligence; severe contractual and reputational risk</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 (with correct design)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Per-client artifact namespacing designed into Phase 7.1. Isolation confirmed as a Phase 7.2 exit criterion. No client goes live until isolation is verified.</w:t>
            </w:r>
          </w:p>
        </w:tc>
      </w:tr>
      <w:tr>
        <w:tc>
          <w:tcPr>
            <w:tcW w:type="dxa" w:w="2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citation quality below standard</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Document reports delivered with uncited claims; undermines platform credibility guarantee</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Medium</w:t>
            </w:r>
          </w:p>
        </w:tc>
        <w:tc>
          <w:tcPr>
            <w:tcW w:type="dxa" w:w="4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7.6 (document citation enforcement) is a required gate before document intelligence is offered to clients. Same scrubber/validator architecture applied to document-sourced output.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VPS migration introduces runtime instability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Pipeline disruption during infrastructure transition; missed deliveries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Low-Medium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Phased migration: documentation first, no runtime changes until Phase 2 access model is defined and tested. Migration runs in parallel with Phase 6.9–6.11, not during Phase 7 active development.</w:t>
            </w:r>
          </w:p>
        </w:tc>
      </w:tr>
      <w:tr>
        <w:tc>
          <w:tcPr>
            <w:tcW w:type="dxa" w:w="2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layer introduces non-determinism into pipeline</w:t>
            </w:r>
          </w:p>
        </w:tc>
        <w:tc>
          <w:tcPr>
            <w:tcW w:type="dxa" w:w="16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Inconsistent output quality; traceability concerns</w:t>
            </w:r>
          </w:p>
        </w:tc>
        <w:tc>
          <w:tcPr>
            <w:tcW w:type="dxa" w:w="120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 (with correct design)</w:t>
            </w:r>
          </w:p>
        </w:tc>
        <w:tc>
          <w:tcPr>
            <w:tcW w:type="dxa" w:w="4360"/>
            <w:tcBorders>
              <w:top w:val="single" w:color="BBBBBB" w:sz="1"/>
              <w:left w:val="single" w:color="BBBBBB" w:sz="1"/>
              <w:bottom w:val="single" w:color="BBBBBB" w:sz="1"/>
              <w:right w:val="single" w:color="BBBBBB" w:sz="1"/>
            </w:tcBorders>
            <w:shd w:fill="D9E2F3"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Brain operates as input enrichment only. Scrubber, validator, and delivery gate operate identically regardless of Brain content. Enforcement chain is not modified. Brain context is reference material, not instructions.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Agent fabrication rate persists into Phase 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Multi-client operation magnifies current citation gap; elevated uncited claim rate across all clients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Low if Phase 6.8 succeeds; Medium if not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vAlign w:val="top"/>
          </w:tcPr>
          <w:p>
            <w:pPr>
              <w:spacing w:after="0" w:before="0"/>
            </w:pPr>
            <w:r>
              <w:rPr>
                <w:rFonts w:ascii="Arial" w:cs="Arial" w:eastAsia="Arial" w:hAnsi="Arial"/>
                <w:b w:val="false"/>
                <w:bCs w:val="false"/>
                <w:color w:val="3C3C3C"/>
                <w:sz w:val="20"/>
                <w:szCs w:val="20"/>
              </w:rPr>
              <w:t xml:space="preserve">Phase 6.8 must achieve below 15% fabrication rate across two consecutive runs before Phase 7.1 begins. If exit criterion is not met, Phase 6.8 iterates before proceeding.</w:t>
            </w:r>
          </w:p>
        </w:tc>
      </w:tr>
    </w:tbl>
    <w:p>
      <w:pPr>
        <w:spacing w:after="200" w:before="0"/>
      </w:pPr>
      <w:r>
        <w:t xml:space="preserve"/>
      </w:r>
    </w:p>
    <w:p>
      <w:pPr>
        <w:pBdr>
          <w:bottom w:val="single" w:color="CCCCCC" w:sz="2" w:space="1"/>
        </w:pBdr>
        <w:spacing w:after="160" w:before="0"/>
      </w:pPr>
      <w:r>
        <w:t xml:space="preserve"/>
      </w:r>
    </w:p>
    <w:p>
      <w:pPr>
        <w:spacing w:after="120" w:before="0"/>
      </w:pPr>
      <w:r>
        <w:t xml:space="preserve"/>
      </w:r>
    </w:p>
    <w:p>
      <w:pPr>
        <w:spacing w:after="180" w:before="0"/>
        <w:jc w:val="center"/>
      </w:pPr>
      <w:r>
        <w:rPr>
          <w:rFonts w:ascii="Arial" w:cs="Arial" w:eastAsia="Arial" w:hAnsi="Arial"/>
          <w:b w:val="false"/>
          <w:bCs w:val="false"/>
          <w:color w:val="888888"/>
          <w:sz w:val="22"/>
          <w:szCs w:val="22"/>
        </w:rPr>
        <w:t xml:space="preserve">This memorandum reflects the current state of the OpenClaw project as of May 7, 2026, and is prepared for consultant review. All phase scopes and timelines are proposals subject to operator approval. No phase advancement or architectural change takes effect without explicit operator authorization.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88888"/>
        <w:sz w:val="18"/>
        <w:szCs w:val="18"/>
      </w:rPr>
      <w:t xml:space="preserve">OpenClaw Project  —  Confidential and Proprietary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Arial" w:cs="Arial" w:eastAsia="Arial" w:hAnsi="Arial"/>
        <w:b/>
        <w:bCs/>
        <w:color w:val="1F3864"/>
        <w:sz w:val="18"/>
        <w:szCs w:val="18"/>
      </w:rPr>
      <w:t xml:space="preserve">OpenClaw Intelligence Platform</w:t>
    </w:r>
    <w:r>
      <w:rPr>
        <w:rFonts w:ascii="Arial" w:cs="Arial" w:eastAsia="Arial" w:hAnsi="Arial"/>
        <w:b w:val="false"/>
        <w:bCs w:val="false"/>
        <w:color w:val="888888"/>
        <w:sz w:val="18"/>
        <w:szCs w:val="18"/>
      </w:rPr>
      <w:t xml:space="preserve">   |   Advisory Memorandum   |   May 7,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2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C3C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2026-05-07T05:09:11.224Z</dcterms:created>
  <dcterms:modified xsi:type="dcterms:W3CDTF">2026-05-07T05:09:11.224Z</dcterms:modified>
</cp:coreProperties>
</file>

<file path=docProps/custom.xml><?xml version="1.0" encoding="utf-8"?>
<Properties xmlns="http://schemas.openxmlformats.org/officeDocument/2006/custom-properties" xmlns:vt="http://schemas.openxmlformats.org/officeDocument/2006/docPropsVTypes"/>
</file>