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jc w:val="center"/>
      </w:pPr>
      <w:r>
        <w:rPr>
          <w:b/>
          <w:color w:val="1B2A4A"/>
          <w:sz w:val="88"/>
        </w:rPr>
        <w:t>CAPLink</w:t>
      </w:r>
    </w:p>
    <w:p>
      <w:pPr>
        <w:jc w:val="center"/>
      </w:pPr>
      <w:r>
        <w:rPr>
          <w:i/>
          <w:color w:val="2E6F8E"/>
          <w:sz w:val="32"/>
        </w:rPr>
        <w:t>Social Capital Link</w:t>
      </w:r>
    </w:p>
    <w:p>
      <w:pPr>
        <w:jc w:val="center"/>
      </w:pPr>
      <w:r>
        <w:rPr>
          <w:color w:val="333333"/>
          <w:sz w:val="40"/>
        </w:rPr>
        <w:t>Business Plan &amp; Route to Market</w:t>
      </w:r>
    </w:p>
    <w:p>
      <w:pPr>
        <w:jc w:val="center"/>
      </w:pPr>
      <w:r>
        <w:rPr>
          <w:i/>
          <w:color w:val="555555"/>
          <w:sz w:val="24"/>
        </w:rPr>
        <w:t>The licensed, safeguarding-first marketplace connecting university</w:t>
        <w:br/>
        <w:t>students with paid business projects and internships</w:t>
      </w:r>
    </w:p>
    <w:p/>
    <w:p/>
    <w:p>
      <w:pPr>
        <w:jc w:val="center"/>
      </w:pPr>
      <w:r>
        <w:rPr>
          <w:color w:val="555555"/>
          <w:sz w:val="22"/>
        </w:rPr>
        <w:t>Prepared for: Founding decision-making &amp; prospective co-founders/investors</w:t>
        <w:br/>
      </w:r>
      <w:r>
        <w:rPr>
          <w:color w:val="555555"/>
          <w:sz w:val="22"/>
        </w:rPr>
        <w:t>Date: 21 July 2026</w:t>
        <w:br/>
      </w:r>
      <w:r>
        <w:rPr>
          <w:color w:val="555555"/>
          <w:sz w:val="22"/>
        </w:rPr>
        <w:t>Status: Working demo/prototype built (see Section 3) — pre-revenue, pre-pilot</w:t>
        <w:br/>
      </w:r>
    </w:p>
    <w:p>
      <w:r>
        <w:br w:type="page"/>
      </w:r>
    </w:p>
    <w:p>
      <w:pPr>
        <w:pStyle w:val="Heading1"/>
      </w:pPr>
      <w:r>
        <w:t>Contents</w:t>
      </w:r>
    </w:p>
    <w:p>
      <w:pPr>
        <w:pStyle w:val="ListBullet"/>
      </w:pPr>
      <w:r>
        <w:t>1. Executive Summary</w:t>
      </w:r>
    </w:p>
    <w:p>
      <w:pPr>
        <w:pStyle w:val="ListBullet"/>
      </w:pPr>
      <w:r>
        <w:t>2. The Problem &amp; Market Opportunity</w:t>
      </w:r>
    </w:p>
    <w:p>
      <w:pPr>
        <w:pStyle w:val="ListBullet"/>
      </w:pPr>
      <w:r>
        <w:t>3. The Product Today — What's Already Built</w:t>
      </w:r>
    </w:p>
    <w:p>
      <w:pPr>
        <w:pStyle w:val="ListBullet"/>
      </w:pPr>
      <w:r>
        <w:t>4. Unique Selling Points &amp; Competitive Landscape</w:t>
      </w:r>
    </w:p>
    <w:p>
      <w:pPr>
        <w:pStyle w:val="ListBullet"/>
      </w:pPr>
      <w:r>
        <w:t>5. Business Model &amp; Revenue Streams</w:t>
      </w:r>
    </w:p>
    <w:p>
      <w:pPr>
        <w:pStyle w:val="ListBullet"/>
      </w:pPr>
      <w:r>
        <w:t>6. Go-to-Market Strategy</w:t>
      </w:r>
    </w:p>
    <w:p>
      <w:pPr>
        <w:pStyle w:val="ListBullet"/>
      </w:pPr>
      <w:r>
        <w:t>7. Roadmap to a University-Ready Standard — Milestones &amp; Timeline</w:t>
      </w:r>
    </w:p>
    <w:p>
      <w:pPr>
        <w:pStyle w:val="ListBullet"/>
      </w:pPr>
      <w:r>
        <w:t>8. Compliance, Safeguarding &amp; Institutional Requirements</w:t>
      </w:r>
    </w:p>
    <w:p>
      <w:pPr>
        <w:pStyle w:val="ListBullet"/>
      </w:pPr>
      <w:r>
        <w:t>9. Risks &amp; Mitigations</w:t>
      </w:r>
    </w:p>
    <w:p>
      <w:pPr>
        <w:pStyle w:val="ListBullet"/>
      </w:pPr>
      <w:r>
        <w:t>10. Resourcing &amp; Funding Considerations</w:t>
      </w:r>
    </w:p>
    <w:p>
      <w:pPr>
        <w:pStyle w:val="ListBullet"/>
      </w:pPr>
      <w:r>
        <w:t>11. Success Metrics (KPIs)</w:t>
      </w:r>
    </w:p>
    <w:p>
      <w:pPr>
        <w:pStyle w:val="ListBullet"/>
      </w:pPr>
      <w:r>
        <w:t>12. Appendix: Technical Architecture Snapshot</w:t>
      </w:r>
    </w:p>
    <w:p>
      <w:r>
        <w:br w:type="page"/>
      </w:r>
    </w:p>
    <w:p>
      <w:pPr>
        <w:pStyle w:val="Heading1"/>
      </w:pPr>
      <w:r>
        <w:t>1. Executive Summary</w:t>
      </w:r>
    </w:p>
    <w:p>
      <w:r>
        <w:t>CAPLink is a licensed, multi-tenant platform that connects university students with businesses for paid, degree-relevant projects and internships — sold to universities the way they already buy Blackboard or Canvas, rather than sold directly to students or businesses as an open marketplace.</w:t>
      </w:r>
    </w:p>
    <w:p>
      <w:r>
        <w:t>Its core differentiator is a university-governed safeguarding model: a business has zero visibility of any student until that student's university has explicitly approved the business, for specific year-groups and specific categories of work. This turns a generic freelance marketplace into something universities can put their name behind — and something careers services can actually control.</w:t>
      </w:r>
    </w:p>
    <w:p>
      <w:r>
        <w:t>A substantial share of the product is already built and working: multi-tenant licensing, the safeguarding access-control gate, a rules-based matching engine, applications, contracts with milestones, mutual blind ratings, moderated messaging, and postcode-radius local business search. What remains before this is a product a university could actually license is not core functionality — it is the layer universities specifically evaluate suppliers on: real payment processing, real SSO/identity verification, data protection documentation, accessibility compliance, and independent security assurance.</w:t>
      </w:r>
    </w:p>
    <w:p>
      <w:r>
        <w:t>This plan sets out the market opportunity, what already exists, the USPs worth leading with, and a realistic, phased route — assuming a solo founder working part-time — from the current prototype to a pilot-ready, institution-grade product.</w:t>
      </w:r>
    </w:p>
    <w:p>
      <w:pPr>
        <w:pStyle w:val="Heading1"/>
      </w:pPr>
      <w:r>
        <w:t>2. The Problem &amp; Market Opportunity</w:t>
      </w:r>
    </w:p>
    <w:p>
      <w:pPr>
        <w:pStyle w:val="Heading2"/>
      </w:pPr>
      <w:r>
        <w:t>2.1 The problem</w:t>
      </w:r>
    </w:p>
    <w:p>
      <w:r>
        <w:t>Universities are under growing pressure (graduate outcome league tables, the Teaching Excellence Framework, student expectations of ROI on tuition fees) to prove their students leave with real work experience, not just a degree. At the same time, SMEs and startups need affordable, flexible, short-term skilled work — a market-research report, a small data project, a marketing sprint — without the cost or risk of a full hire.</w:t>
      </w:r>
    </w:p>
    <w:p>
      <w:r>
        <w:t>The two sides already want to reach each other. What's missing is a trusted intermediary a university is willing to endorse: existing options are either generic freelance marketplaces with no student safeguarding (Upwork, Fiverr, PeoplePerHour) or career-fair/job-board style tools with no paid micro-project marketplace, escrow, or matching engine underneath (Handshake, Unitemps, RateMyPlacement).</w:t>
      </w:r>
    </w:p>
    <w:p>
      <w:pPr>
        <w:pStyle w:val="Heading2"/>
      </w:pPr>
      <w:r>
        <w:t>2.2 Why now</w:t>
      </w:r>
    </w:p>
    <w:p>
      <w:pPr>
        <w:pStyle w:val="ListBullet"/>
      </w:pPr>
      <w:r>
        <w:t>UK universities are actively investing in employability infrastructure to defend graduate outcome metrics used in league tables and by the OfS.</w:t>
      </w:r>
    </w:p>
    <w:p>
      <w:pPr>
        <w:pStyle w:val="ListBullet"/>
      </w:pPr>
      <w:r>
        <w:t>SMEs face a widening skills-access gap and rising recruitment costs, making short-term student talent an attractive lower-risk alternative to hiring.</w:t>
      </w:r>
    </w:p>
    <w:p>
      <w:pPr>
        <w:pStyle w:val="ListBullet"/>
      </w:pPr>
      <w:r>
        <w:t>Careers services increasingly license third-party software (Handshake, Symplicity) rather than build in-house — there is an established procurement pathway for exactly this kind of product.</w:t>
      </w:r>
    </w:p>
    <w:p>
      <w:pPr>
        <w:pStyle w:val="Heading2"/>
      </w:pPr>
      <w:r>
        <w:t>2.3 Target market</w:t>
      </w:r>
    </w:p>
    <w:p>
      <w:r>
        <w:t>UK higher education institutions and their careers/employability services (primary customer, licence-paying tenant), with SMEs and startups as the business-side supply and students as the end users. Initial focus: UK-only (the local-business search feature is built on postcodes.io, a UK-specific geocoding service), with a single-campus pilot as the beachhead before expanding to a multi-institution rollout.</w:t>
      </w:r>
    </w:p>
    <w:p>
      <w:pPr>
        <w:pStyle w:val="Heading1"/>
      </w:pPr>
      <w:r>
        <w:t>3. The Product Today — What's Already Built</w:t>
      </w:r>
    </w:p>
    <w:p>
      <w:r>
        <w:t>An honest inventory matters here: this plan is only credible if it's built on what genuinely exists today versus what still needs to be built. This is not a concept — it is a working FastAPI backend with a functioning demo app, verified end-to-end (including a full contract → milestone → rating lifecycle and a flagged-message exchange) across all three user roles.</w:t>
      </w:r>
    </w:p>
    <w:p>
      <w:pPr>
        <w:pStyle w:val="Heading2"/>
      </w:pPr>
      <w:r>
        <w:t>3.1 Fully implemented and working</w:t>
      </w:r>
    </w:p>
    <w:p>
      <w:pPr>
        <w:pStyle w:val="ListBullet"/>
      </w:pPr>
      <w:r>
        <w:t>Multi-tenant university licensing — each institution is its own branded tenant.</w:t>
      </w:r>
    </w:p>
    <w:p>
      <w:pPr>
        <w:pStyle w:val="ListBullet"/>
      </w:pPr>
      <w:r>
        <w:t>The safeguarding access-control gate — the core trust mechanism (see Section 4).</w:t>
      </w:r>
    </w:p>
    <w:p>
      <w:pPr>
        <w:pStyle w:val="ListBullet"/>
      </w:pPr>
      <w:r>
        <w:t>Rules-based matching engine with five scoring factors (skills, text/degree similarity, degree relevance, reputation, collaborative signal) and dynamic weight re-normalisation when a factor has no data yet.</w:t>
      </w:r>
    </w:p>
    <w:p>
      <w:pPr>
        <w:pStyle w:val="ListBullet"/>
      </w:pPr>
      <w:r>
        <w:t>Full recommendation logging, including a plain-English “why was I shown this” explanation — the training data the matching engine's later phases will need.</w:t>
      </w:r>
    </w:p>
    <w:p>
      <w:pPr>
        <w:pStyle w:val="ListBullet"/>
      </w:pPr>
      <w:r>
        <w:t>Applications, contracts with milestones, and mutual blind ratings (neither side sees the other's rating until both have submitted, preventing retaliatory reviews).</w:t>
      </w:r>
    </w:p>
    <w:p>
      <w:pPr>
        <w:pStyle w:val="ListBullet"/>
      </w:pPr>
      <w:r>
        <w:t>Moderated in-app messaging, including automatic flagging of attempts to move contact off-platform before a contract exists.</w:t>
      </w:r>
    </w:p>
    <w:p>
      <w:pPr>
        <w:pStyle w:val="ListBullet"/>
      </w:pPr>
      <w:r>
        <w:t>Postcode-radius local business search, reusing the same safeguarding gate and degree-relevance scoring — not a separate, unprotected pathway.</w:t>
      </w:r>
    </w:p>
    <w:p>
      <w:pPr>
        <w:pStyle w:val="ListBullet"/>
      </w:pPr>
      <w:r>
        <w:t>Mobile-ready API foundations: refresh tokens, capped pagination, device registration, and a combined low-bandwidth “home” payload.</w:t>
      </w:r>
    </w:p>
    <w:p>
      <w:pPr>
        <w:pStyle w:val="ListBullet"/>
      </w:pPr>
      <w:r>
        <w:t>A working demo app and a fuller click-through app covering nearly the entire API across all three roles (student, business, university admin).</w:t>
      </w:r>
    </w:p>
    <w:p>
      <w:pPr>
        <w:pStyle w:val="Heading2"/>
      </w:pPr>
      <w:r>
        <w:t>3.2 Deliberately stubbed — the gap between demo and product</w:t>
      </w:r>
    </w:p>
    <w:p>
      <w:r>
        <w:t>Everything below is a known, clearly-marked integration point, not a hidden gap:</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fill="1B2A4A"/>
          </w:tcPr>
          <w:p>
            <w:r>
              <w:rPr>
                <w:b/>
                <w:color w:val="FFFFFF"/>
              </w:rPr>
            </w:r>
            <w:r>
              <w:rPr>
                <w:b/>
                <w:color w:val="FFFFFF"/>
                <w:sz w:val="20"/>
              </w:rPr>
              <w:t>Area</w:t>
            </w:r>
          </w:p>
        </w:tc>
        <w:tc>
          <w:tcPr>
            <w:tcW w:type="dxa" w:w="3168"/>
            <w:shd w:fill="1B2A4A"/>
          </w:tcPr>
          <w:p>
            <w:r>
              <w:rPr>
                <w:b/>
                <w:color w:val="FFFFFF"/>
              </w:rPr>
            </w:r>
            <w:r>
              <w:rPr>
                <w:b/>
                <w:color w:val="FFFFFF"/>
                <w:sz w:val="20"/>
              </w:rPr>
              <w:t>Current state</w:t>
            </w:r>
          </w:p>
        </w:tc>
        <w:tc>
          <w:tcPr>
            <w:tcW w:type="dxa" w:w="4320"/>
            <w:shd w:fill="1B2A4A"/>
          </w:tcPr>
          <w:p>
            <w:r>
              <w:rPr>
                <w:b/>
                <w:color w:val="FFFFFF"/>
              </w:rPr>
            </w:r>
            <w:r>
              <w:rPr>
                <w:b/>
                <w:color w:val="FFFFFF"/>
                <w:sz w:val="20"/>
              </w:rPr>
              <w:t>What's needed for market</w:t>
            </w:r>
          </w:p>
        </w:tc>
      </w:tr>
      <w:tr>
        <w:tc>
          <w:tcPr>
            <w:tcW w:type="dxa" w:w="1872"/>
          </w:tcPr>
          <w:p>
            <w:r/>
            <w:r>
              <w:rPr>
                <w:sz w:val="20"/>
              </w:rPr>
              <w:t>Payments</w:t>
            </w:r>
          </w:p>
        </w:tc>
        <w:tc>
          <w:tcPr>
            <w:tcW w:type="dxa" w:w="3168"/>
          </w:tcPr>
          <w:p>
            <w:r/>
            <w:r>
              <w:rPr>
                <w:sz w:val="20"/>
              </w:rPr>
              <w:t>PaymentIntent flow is a placeholder</w:t>
            </w:r>
          </w:p>
        </w:tc>
        <w:tc>
          <w:tcPr>
            <w:tcW w:type="dxa" w:w="4320"/>
          </w:tcPr>
          <w:p>
            <w:r/>
            <w:r>
              <w:rPr>
                <w:sz w:val="20"/>
              </w:rPr>
              <w:t>Live Stripe Connect integration (escrow, payouts, marketplace fee split, KYC)</w:t>
            </w:r>
          </w:p>
        </w:tc>
      </w:tr>
      <w:tr>
        <w:tc>
          <w:tcPr>
            <w:tcW w:type="dxa" w:w="1872"/>
          </w:tcPr>
          <w:p>
            <w:r/>
            <w:r>
              <w:rPr>
                <w:sz w:val="20"/>
              </w:rPr>
              <w:t>Push notifications</w:t>
            </w:r>
          </w:p>
        </w:tc>
        <w:tc>
          <w:tcPr>
            <w:tcW w:type="dxa" w:w="3168"/>
          </w:tcPr>
          <w:p>
            <w:r/>
            <w:r>
              <w:rPr>
                <w:sz w:val="20"/>
              </w:rPr>
              <w:t>Logged, not sent</w:t>
            </w:r>
          </w:p>
        </w:tc>
        <w:tc>
          <w:tcPr>
            <w:tcW w:type="dxa" w:w="4320"/>
          </w:tcPr>
          <w:p>
            <w:r/>
            <w:r>
              <w:rPr>
                <w:sz w:val="20"/>
              </w:rPr>
              <w:t>Live Firebase Cloud Messaging integration</w:t>
            </w:r>
          </w:p>
        </w:tc>
      </w:tr>
      <w:tr>
        <w:tc>
          <w:tcPr>
            <w:tcW w:type="dxa" w:w="1872"/>
          </w:tcPr>
          <w:p>
            <w:r/>
            <w:r>
              <w:rPr>
                <w:sz w:val="20"/>
              </w:rPr>
              <w:t>Identity verification</w:t>
            </w:r>
          </w:p>
        </w:tc>
        <w:tc>
          <w:tcPr>
            <w:tcW w:type="dxa" w:w="3168"/>
          </w:tcPr>
          <w:p>
            <w:r/>
            <w:r>
              <w:rPr>
                <w:sz w:val="20"/>
              </w:rPr>
              <w:t>Simple university-email domain string match</w:t>
            </w:r>
          </w:p>
        </w:tc>
        <w:tc>
          <w:tcPr>
            <w:tcW w:type="dxa" w:w="4320"/>
          </w:tcPr>
          <w:p>
            <w:r/>
            <w:r>
              <w:rPr>
                <w:sz w:val="20"/>
              </w:rPr>
              <w:t>Real SSO/Shibboleth or UK Access Federation integration per institution</w:t>
            </w:r>
          </w:p>
        </w:tc>
      </w:tr>
      <w:tr>
        <w:tc>
          <w:tcPr>
            <w:tcW w:type="dxa" w:w="1872"/>
          </w:tcPr>
          <w:p>
            <w:r/>
            <w:r>
              <w:rPr>
                <w:sz w:val="20"/>
              </w:rPr>
              <w:t>Database schema management</w:t>
            </w:r>
          </w:p>
        </w:tc>
        <w:tc>
          <w:tcPr>
            <w:tcW w:type="dxa" w:w="3168"/>
          </w:tcPr>
          <w:p>
            <w:r/>
            <w:r>
              <w:rPr>
                <w:sz w:val="20"/>
              </w:rPr>
              <w:t>create_all on startup (fine for local dev)</w:t>
            </w:r>
          </w:p>
        </w:tc>
        <w:tc>
          <w:tcPr>
            <w:tcW w:type="dxa" w:w="4320"/>
          </w:tcPr>
          <w:p>
            <w:r/>
            <w:r>
              <w:rPr>
                <w:sz w:val="20"/>
              </w:rPr>
              <w:t>Alembic migrations for safe, versioned production schema changes</w:t>
            </w:r>
          </w:p>
        </w:tc>
      </w:tr>
      <w:tr>
        <w:tc>
          <w:tcPr>
            <w:tcW w:type="dxa" w:w="1872"/>
          </w:tcPr>
          <w:p>
            <w:r/>
            <w:r>
              <w:rPr>
                <w:sz w:val="20"/>
              </w:rPr>
              <w:t>Frontend</w:t>
            </w:r>
          </w:p>
        </w:tc>
        <w:tc>
          <w:tcPr>
            <w:tcW w:type="dxa" w:w="3168"/>
          </w:tcPr>
          <w:p>
            <w:r/>
            <w:r>
              <w:rPr>
                <w:sz w:val="20"/>
              </w:rPr>
              <w:t>Static demo/prototype HTML + vanilla JS, no bundler</w:t>
            </w:r>
          </w:p>
        </w:tc>
        <w:tc>
          <w:tcPr>
            <w:tcW w:type="dxa" w:w="4320"/>
          </w:tcPr>
          <w:p>
            <w:r/>
            <w:r>
              <w:rPr>
                <w:sz w:val="20"/>
              </w:rPr>
              <w:t>Production-grade, accessible, responsive front end</w:t>
            </w:r>
          </w:p>
        </w:tc>
      </w:tr>
      <w:tr>
        <w:tc>
          <w:tcPr>
            <w:tcW w:type="dxa" w:w="1872"/>
          </w:tcPr>
          <w:p>
            <w:r/>
            <w:r>
              <w:rPr>
                <w:sz w:val="20"/>
              </w:rPr>
              <w:t>Security assurance</w:t>
            </w:r>
          </w:p>
        </w:tc>
        <w:tc>
          <w:tcPr>
            <w:tcW w:type="dxa" w:w="3168"/>
          </w:tcPr>
          <w:p>
            <w:r/>
            <w:r>
              <w:rPr>
                <w:sz w:val="20"/>
              </w:rPr>
              <w:t>Not yet independently tested</w:t>
            </w:r>
          </w:p>
        </w:tc>
        <w:tc>
          <w:tcPr>
            <w:tcW w:type="dxa" w:w="4320"/>
          </w:tcPr>
          <w:p>
            <w:r/>
            <w:r>
              <w:rPr>
                <w:sz w:val="20"/>
              </w:rPr>
              <w:t>Penetration test, dependency/secrets scanning, monitoring</w:t>
            </w:r>
          </w:p>
        </w:tc>
      </w:tr>
    </w:tbl>
    <w:p/>
    <w:p>
      <w:r>
        <w:rPr>
          <w:i/>
          <w:color w:val="555555"/>
          <w:sz w:val="18"/>
        </w:rPr>
        <w:t>Table 1: Gap analysis between the current demo and a licensable product.</w:t>
      </w:r>
    </w:p>
    <w:p>
      <w:pPr>
        <w:pStyle w:val="Heading1"/>
      </w:pPr>
      <w:r>
        <w:t>4. Unique Selling Points &amp; Competitive Landscape</w:t>
      </w:r>
    </w:p>
    <w:p>
      <w:pPr>
        <w:pStyle w:val="Heading2"/>
      </w:pPr>
      <w:r>
        <w:t>4.1 What makes CAPLink genuinely different</w:t>
      </w:r>
    </w:p>
    <w:tbl>
      <w:tblPr>
        <w:tblStyle w:val="LightGrid-Accent1"/>
        <w:tblW w:type="auto" w:w="0"/>
        <w:jc w:val="center"/>
        <w:tblLook w:firstColumn="1" w:firstRow="1" w:lastColumn="0" w:lastRow="0" w:noHBand="0" w:noVBand="1" w:val="04A0"/>
      </w:tblPr>
      <w:tblGrid>
        <w:gridCol w:w="4320"/>
        <w:gridCol w:w="4320"/>
      </w:tblGrid>
      <w:tr>
        <w:tc>
          <w:tcPr>
            <w:tcW w:type="dxa" w:w="2592"/>
            <w:shd w:fill="1B2A4A"/>
          </w:tcPr>
          <w:p>
            <w:r>
              <w:rPr>
                <w:b/>
                <w:color w:val="FFFFFF"/>
              </w:rPr>
            </w:r>
            <w:r>
              <w:rPr>
                <w:b/>
                <w:color w:val="FFFFFF"/>
                <w:sz w:val="20"/>
              </w:rPr>
              <w:t>USP</w:t>
            </w:r>
          </w:p>
        </w:tc>
        <w:tc>
          <w:tcPr>
            <w:tcW w:type="dxa" w:w="6768"/>
            <w:shd w:fill="1B2A4A"/>
          </w:tcPr>
          <w:p>
            <w:r>
              <w:rPr>
                <w:b/>
                <w:color w:val="FFFFFF"/>
              </w:rPr>
            </w:r>
            <w:r>
              <w:rPr>
                <w:b/>
                <w:color w:val="FFFFFF"/>
                <w:sz w:val="20"/>
              </w:rPr>
              <w:t>Why it matters</w:t>
            </w:r>
          </w:p>
        </w:tc>
      </w:tr>
      <w:tr>
        <w:tc>
          <w:tcPr>
            <w:tcW w:type="dxa" w:w="2592"/>
          </w:tcPr>
          <w:p>
            <w:r/>
            <w:r>
              <w:rPr>
                <w:sz w:val="20"/>
              </w:rPr>
              <w:t>University-governed safeguarding gate</w:t>
            </w:r>
          </w:p>
        </w:tc>
        <w:tc>
          <w:tcPr>
            <w:tcW w:type="dxa" w:w="6768"/>
          </w:tcPr>
          <w:p>
            <w:r/>
            <w:r>
              <w:rPr>
                <w:sz w:val="20"/>
              </w:rPr>
              <w:t>A business has zero visibility of a student until the student's university has approved that business for specific year-groups and categories. No competitor combines a paid-project marketplace with this level of institutional control — it is the feature that lets a careers service put its name on the product.</w:t>
            </w:r>
          </w:p>
        </w:tc>
      </w:tr>
      <w:tr>
        <w:tc>
          <w:tcPr>
            <w:tcW w:type="dxa" w:w="2592"/>
          </w:tcPr>
          <w:p>
            <w:r/>
            <w:r>
              <w:rPr>
                <w:sz w:val="20"/>
              </w:rPr>
              <w:t>Sold like Canvas/Blackboard, not like a gig app</w:t>
            </w:r>
          </w:p>
        </w:tc>
        <w:tc>
          <w:tcPr>
            <w:tcW w:type="dxa" w:w="6768"/>
          </w:tcPr>
          <w:p>
            <w:r/>
            <w:r>
              <w:rPr>
                <w:sz w:val="20"/>
              </w:rPr>
              <w:t>Licensing to the institution (with a co-branded portal per tenant) matches how universities already procure software, rather than requiring a from-scratch trust-building exercise with individual students or businesses.</w:t>
            </w:r>
          </w:p>
        </w:tc>
      </w:tr>
      <w:tr>
        <w:tc>
          <w:tcPr>
            <w:tcW w:type="dxa" w:w="2592"/>
          </w:tcPr>
          <w:p>
            <w:r/>
            <w:r>
              <w:rPr>
                <w:sz w:val="20"/>
              </w:rPr>
              <w:t>Escrow-protected milestone payments</w:t>
            </w:r>
          </w:p>
        </w:tc>
        <w:tc>
          <w:tcPr>
            <w:tcW w:type="dxa" w:w="6768"/>
          </w:tcPr>
          <w:p>
            <w:r/>
            <w:r>
              <w:rPr>
                <w:sz w:val="20"/>
              </w:rPr>
              <w:t>Students — often working for pay for the first time — are never working purely on trust; payment is held and released per milestone, not on invoice-and-hope.</w:t>
            </w:r>
          </w:p>
        </w:tc>
      </w:tr>
      <w:tr>
        <w:tc>
          <w:tcPr>
            <w:tcW w:type="dxa" w:w="2592"/>
          </w:tcPr>
          <w:p>
            <w:r/>
            <w:r>
              <w:rPr>
                <w:sz w:val="20"/>
              </w:rPr>
              <w:t>Explainable, phased matching engine</w:t>
            </w:r>
          </w:p>
        </w:tc>
        <w:tc>
          <w:tcPr>
            <w:tcW w:type="dxa" w:w="6768"/>
          </w:tcPr>
          <w:p>
            <w:r/>
            <w:r>
              <w:rPr>
                <w:sz w:val="20"/>
              </w:rPr>
              <w:t>Every recommendation is logged with a plain-English reason and a full factor-by-factor score breakdown from day one. This builds user trust immediately and is also the training data the roadmap's collaborative-filtering and embedding-based phases will need — most MVPs bolt this on later and lose the historical data.</w:t>
            </w:r>
          </w:p>
        </w:tc>
      </w:tr>
      <w:tr>
        <w:tc>
          <w:tcPr>
            <w:tcW w:type="dxa" w:w="2592"/>
          </w:tcPr>
          <w:p>
            <w:r/>
            <w:r>
              <w:rPr>
                <w:sz w:val="20"/>
              </w:rPr>
              <w:t>Mutual, blind rating system</w:t>
            </w:r>
          </w:p>
        </w:tc>
        <w:tc>
          <w:tcPr>
            <w:tcW w:type="dxa" w:w="6768"/>
          </w:tcPr>
          <w:p>
            <w:r/>
            <w:r>
              <w:rPr>
                <w:sz w:val="20"/>
              </w:rPr>
              <w:t>Neither side sees the other's rating until both submit (or a window expires), specifically designed to protect first-time-working students from retaliatory reviews.</w:t>
            </w:r>
          </w:p>
        </w:tc>
      </w:tr>
      <w:tr>
        <w:tc>
          <w:tcPr>
            <w:tcW w:type="dxa" w:w="2592"/>
          </w:tcPr>
          <w:p>
            <w:r/>
            <w:r>
              <w:rPr>
                <w:sz w:val="20"/>
              </w:rPr>
              <w:t>Local + relevant, not just local</w:t>
            </w:r>
          </w:p>
        </w:tc>
        <w:tc>
          <w:tcPr>
            <w:tcW w:type="dxa" w:w="6768"/>
          </w:tcPr>
          <w:p>
            <w:r/>
            <w:r>
              <w:rPr>
                <w:sz w:val="20"/>
              </w:rPr>
              <w:t>Postcode-radius business search ranks by degree relevance first and distance second — a highly relevant business 8 miles away outranks a barely-relevant one 2 miles away, reusing the same safeguarding-gated pool rather than opening a side-door.</w:t>
            </w:r>
          </w:p>
        </w:tc>
      </w:tr>
      <w:tr>
        <w:tc>
          <w:tcPr>
            <w:tcW w:type="dxa" w:w="2592"/>
          </w:tcPr>
          <w:p>
            <w:r/>
            <w:r>
              <w:rPr>
                <w:sz w:val="20"/>
              </w:rPr>
              <w:t>Employability data as an institutional asset</w:t>
            </w:r>
          </w:p>
        </w:tc>
        <w:tc>
          <w:tcPr>
            <w:tcW w:type="dxa" w:w="6768"/>
          </w:tcPr>
          <w:p>
            <w:r/>
            <w:r>
              <w:rPr>
                <w:sz w:val="20"/>
              </w:rPr>
              <w:t>Because every match, application, and outcome is logged, a university partner can eventually get real reporting on student engagement and employability outcomes — directly useful for league-table and OfS-facing metrics, not just a nice-to-have dashboard.</w:t>
            </w:r>
          </w:p>
        </w:tc>
      </w:tr>
    </w:tbl>
    <w:p/>
    <w:p>
      <w:r>
        <w:rPr>
          <w:i/>
          <w:color w:val="555555"/>
          <w:sz w:val="18"/>
        </w:rPr>
        <w:t>Table 2: Core USPs and the institutional/user problem each one solves.</w:t>
      </w:r>
    </w:p>
    <w:p>
      <w:pPr>
        <w:pStyle w:val="Heading2"/>
      </w:pPr>
      <w:r>
        <w:t>4.2 Competitive landscape</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1B2A4A"/>
          </w:tcPr>
          <w:p>
            <w:r>
              <w:rPr>
                <w:b/>
                <w:color w:val="FFFFFF"/>
              </w:rPr>
            </w:r>
            <w:r>
              <w:rPr>
                <w:b/>
                <w:color w:val="FFFFFF"/>
                <w:sz w:val="20"/>
              </w:rPr>
              <w:t>Competitor</w:t>
            </w:r>
          </w:p>
        </w:tc>
        <w:tc>
          <w:tcPr>
            <w:tcW w:type="dxa" w:w="2592"/>
            <w:shd w:fill="1B2A4A"/>
          </w:tcPr>
          <w:p>
            <w:r>
              <w:rPr>
                <w:b/>
                <w:color w:val="FFFFFF"/>
              </w:rPr>
            </w:r>
            <w:r>
              <w:rPr>
                <w:b/>
                <w:color w:val="FFFFFF"/>
                <w:sz w:val="20"/>
              </w:rPr>
              <w:t>Category</w:t>
            </w:r>
          </w:p>
        </w:tc>
        <w:tc>
          <w:tcPr>
            <w:tcW w:type="dxa" w:w="4320"/>
            <w:shd w:fill="1B2A4A"/>
          </w:tcPr>
          <w:p>
            <w:r>
              <w:rPr>
                <w:b/>
                <w:color w:val="FFFFFF"/>
              </w:rPr>
            </w:r>
            <w:r>
              <w:rPr>
                <w:b/>
                <w:color w:val="FFFFFF"/>
                <w:sz w:val="20"/>
              </w:rPr>
              <w:t>What they lack vs. CAPLink</w:t>
            </w:r>
          </w:p>
        </w:tc>
      </w:tr>
      <w:tr>
        <w:tc>
          <w:tcPr>
            <w:tcW w:type="dxa" w:w="2592"/>
          </w:tcPr>
          <w:p>
            <w:r/>
            <w:r>
              <w:rPr>
                <w:sz w:val="20"/>
              </w:rPr>
              <w:t>Handshake</w:t>
            </w:r>
          </w:p>
        </w:tc>
        <w:tc>
          <w:tcPr>
            <w:tcW w:type="dxa" w:w="2592"/>
          </w:tcPr>
          <w:p>
            <w:r/>
            <w:r>
              <w:rPr>
                <w:sz w:val="20"/>
              </w:rPr>
              <w:t>Career-fair / job-board platform</w:t>
            </w:r>
          </w:p>
        </w:tc>
        <w:tc>
          <w:tcPr>
            <w:tcW w:type="dxa" w:w="4320"/>
          </w:tcPr>
          <w:p>
            <w:r/>
            <w:r>
              <w:rPr>
                <w:sz w:val="20"/>
              </w:rPr>
              <w:t>No paid micro-project marketplace, no escrow, no per-business/per-year-group access control by the university</w:t>
            </w:r>
          </w:p>
        </w:tc>
      </w:tr>
      <w:tr>
        <w:tc>
          <w:tcPr>
            <w:tcW w:type="dxa" w:w="2592"/>
          </w:tcPr>
          <w:p>
            <w:r/>
            <w:r>
              <w:rPr>
                <w:sz w:val="20"/>
              </w:rPr>
              <w:t>Unitemps / RateMyPlacement / Bright Network</w:t>
            </w:r>
          </w:p>
        </w:tc>
        <w:tc>
          <w:tcPr>
            <w:tcW w:type="dxa" w:w="2592"/>
          </w:tcPr>
          <w:p>
            <w:r/>
            <w:r>
              <w:rPr>
                <w:sz w:val="20"/>
              </w:rPr>
              <w:t>Listings &amp; placement boards</w:t>
            </w:r>
          </w:p>
        </w:tc>
        <w:tc>
          <w:tcPr>
            <w:tcW w:type="dxa" w:w="4320"/>
          </w:tcPr>
          <w:p>
            <w:r/>
            <w:r>
              <w:rPr>
                <w:sz w:val="20"/>
              </w:rPr>
              <w:t>Static listings, no matching engine, no escrow, no mutual ratings, no safeguarding gate</w:t>
            </w:r>
          </w:p>
        </w:tc>
      </w:tr>
      <w:tr>
        <w:tc>
          <w:tcPr>
            <w:tcW w:type="dxa" w:w="2592"/>
          </w:tcPr>
          <w:p>
            <w:r/>
            <w:r>
              <w:rPr>
                <w:sz w:val="20"/>
              </w:rPr>
              <w:t>Upwork / Fiverr / PeoplePerHour</w:t>
            </w:r>
          </w:p>
        </w:tc>
        <w:tc>
          <w:tcPr>
            <w:tcW w:type="dxa" w:w="2592"/>
          </w:tcPr>
          <w:p>
            <w:r/>
            <w:r>
              <w:rPr>
                <w:sz w:val="20"/>
              </w:rPr>
              <w:t>Open freelance marketplace</w:t>
            </w:r>
          </w:p>
        </w:tc>
        <w:tc>
          <w:tcPr>
            <w:tcW w:type="dxa" w:w="4320"/>
          </w:tcPr>
          <w:p>
            <w:r/>
            <w:r>
              <w:rPr>
                <w:sz w:val="20"/>
              </w:rPr>
              <w:t>No student verification, no university involvement or control at all, no degree-relevance matching, aimed at general freelancers not students</w:t>
            </w:r>
          </w:p>
        </w:tc>
      </w:tr>
      <w:tr>
        <w:tc>
          <w:tcPr>
            <w:tcW w:type="dxa" w:w="2592"/>
          </w:tcPr>
          <w:p>
            <w:r/>
            <w:r>
              <w:rPr>
                <w:sz w:val="20"/>
              </w:rPr>
              <w:t>LinkedIn</w:t>
            </w:r>
          </w:p>
        </w:tc>
        <w:tc>
          <w:tcPr>
            <w:tcW w:type="dxa" w:w="2592"/>
          </w:tcPr>
          <w:p>
            <w:r/>
            <w:r>
              <w:rPr>
                <w:sz w:val="20"/>
              </w:rPr>
              <w:t>Professional network</w:t>
            </w:r>
          </w:p>
        </w:tc>
        <w:tc>
          <w:tcPr>
            <w:tcW w:type="dxa" w:w="4320"/>
          </w:tcPr>
          <w:p>
            <w:r/>
            <w:r>
              <w:rPr>
                <w:sz w:val="20"/>
              </w:rPr>
              <w:t>Not a managed marketplace — no escrow, no contract/milestone structure, no institutional safeguarding layer</w:t>
            </w:r>
          </w:p>
        </w:tc>
      </w:tr>
    </w:tbl>
    <w:p/>
    <w:p>
      <w:r>
        <w:rPr>
          <w:i/>
          <w:color w:val="555555"/>
          <w:sz w:val="18"/>
        </w:rPr>
        <w:t>Table 3: Positioning versus the nearest existing alternatives.</w:t>
      </w:r>
    </w:p>
    <w:p>
      <w:r>
        <w:t>CAPLink's defensible position is the intersection of all three: institutional governance + escrow-protected paid project marketplace + built-in explainable matching. No single competitor currently occupies that intersection.</w:t>
      </w:r>
    </w:p>
    <w:p>
      <w:pPr>
        <w:pStyle w:val="Heading1"/>
      </w:pPr>
      <w:r>
        <w:t>5. Business Model &amp; Revenue Streams</w:t>
      </w:r>
    </w:p>
    <w:p>
      <w:r>
        <w:t>The following streams follow directly from the licensing-to-institutions model. Figures below are illustrative placeholders for planning conversations, not market-tested pricing — validating willingness-to-pay with real careers services and businesses is an explicit Phase 0 task in Section 7.</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1B2A4A"/>
          </w:tcPr>
          <w:p>
            <w:r>
              <w:rPr>
                <w:b/>
                <w:color w:val="FFFFFF"/>
              </w:rPr>
            </w:r>
            <w:r>
              <w:rPr>
                <w:b/>
                <w:color w:val="FFFFFF"/>
                <w:sz w:val="20"/>
              </w:rPr>
              <w:t>Stream</w:t>
            </w:r>
          </w:p>
        </w:tc>
        <w:tc>
          <w:tcPr>
            <w:tcW w:type="dxa" w:w="3888"/>
            <w:shd w:fill="1B2A4A"/>
          </w:tcPr>
          <w:p>
            <w:r>
              <w:rPr>
                <w:b/>
                <w:color w:val="FFFFFF"/>
              </w:rPr>
            </w:r>
            <w:r>
              <w:rPr>
                <w:b/>
                <w:color w:val="FFFFFF"/>
                <w:sz w:val="20"/>
              </w:rPr>
              <w:t>Mechanism</w:t>
            </w:r>
          </w:p>
        </w:tc>
        <w:tc>
          <w:tcPr>
            <w:tcW w:type="dxa" w:w="3024"/>
            <w:shd w:fill="1B2A4A"/>
          </w:tcPr>
          <w:p>
            <w:r>
              <w:rPr>
                <w:b/>
                <w:color w:val="FFFFFF"/>
              </w:rPr>
            </w:r>
            <w:r>
              <w:rPr>
                <w:b/>
                <w:color w:val="FFFFFF"/>
                <w:sz w:val="20"/>
              </w:rPr>
              <w:t>Notes</w:t>
            </w:r>
          </w:p>
        </w:tc>
      </w:tr>
      <w:tr>
        <w:tc>
          <w:tcPr>
            <w:tcW w:type="dxa" w:w="2592"/>
          </w:tcPr>
          <w:p>
            <w:r/>
            <w:r>
              <w:rPr>
                <w:sz w:val="20"/>
              </w:rPr>
              <w:t>University licence fee (primary, recurring)</w:t>
            </w:r>
          </w:p>
        </w:tc>
        <w:tc>
          <w:tcPr>
            <w:tcW w:type="dxa" w:w="3888"/>
          </w:tcPr>
          <w:p>
            <w:r/>
            <w:r>
              <w:rPr>
                <w:sz w:val="20"/>
              </w:rPr>
              <w:t>Annual/termly per-institution subscription, tiered by student headcount</w:t>
            </w:r>
          </w:p>
        </w:tc>
        <w:tc>
          <w:tcPr>
            <w:tcW w:type="dxa" w:w="3024"/>
          </w:tcPr>
          <w:p>
            <w:r/>
            <w:r>
              <w:rPr>
                <w:sz w:val="20"/>
              </w:rPr>
              <w:t>Mirrors how universities already buy Blackboard/Canvas — predictable, budget-cycle-friendly revenue</w:t>
            </w:r>
          </w:p>
        </w:tc>
      </w:tr>
      <w:tr>
        <w:tc>
          <w:tcPr>
            <w:tcW w:type="dxa" w:w="2592"/>
          </w:tcPr>
          <w:p>
            <w:r/>
            <w:r>
              <w:rPr>
                <w:sz w:val="20"/>
              </w:rPr>
              <w:t>Platform commission</w:t>
            </w:r>
          </w:p>
        </w:tc>
        <w:tc>
          <w:tcPr>
            <w:tcW w:type="dxa" w:w="3888"/>
          </w:tcPr>
          <w:p>
            <w:r/>
            <w:r>
              <w:rPr>
                <w:sz w:val="20"/>
              </w:rPr>
              <w:t>% of project value taken from the business side (and/or split)</w:t>
            </w:r>
          </w:p>
        </w:tc>
        <w:tc>
          <w:tcPr>
            <w:tcW w:type="dxa" w:w="3024"/>
          </w:tcPr>
          <w:p>
            <w:r/>
            <w:r>
              <w:rPr>
                <w:sz w:val="20"/>
              </w:rPr>
              <w:t>Standard two-sided marketplace take rate; needs to stay low enough not to push businesses to pay students off-platform</w:t>
            </w:r>
          </w:p>
        </w:tc>
      </w:tr>
      <w:tr>
        <w:tc>
          <w:tcPr>
            <w:tcW w:type="dxa" w:w="2592"/>
          </w:tcPr>
          <w:p>
            <w:r/>
            <w:r>
              <w:rPr>
                <w:sz w:val="20"/>
              </w:rPr>
              <w:t>Business subscription tier</w:t>
            </w:r>
          </w:p>
        </w:tc>
        <w:tc>
          <w:tcPr>
            <w:tcW w:type="dxa" w:w="3888"/>
          </w:tcPr>
          <w:p>
            <w:r/>
            <w:r>
              <w:rPr>
                <w:sz w:val="20"/>
              </w:rPr>
              <w:t>Unlimited postings, advanced shortlisting/analytics, priority support</w:t>
            </w:r>
          </w:p>
        </w:tc>
        <w:tc>
          <w:tcPr>
            <w:tcW w:type="dxa" w:w="3024"/>
          </w:tcPr>
          <w:p>
            <w:r/>
            <w:r>
              <w:rPr>
                <w:sz w:val="20"/>
              </w:rPr>
              <w:t>Upsell for high-volume corporate/grad-pipeline hirers</w:t>
            </w:r>
          </w:p>
        </w:tc>
      </w:tr>
      <w:tr>
        <w:tc>
          <w:tcPr>
            <w:tcW w:type="dxa" w:w="2592"/>
          </w:tcPr>
          <w:p>
            <w:r/>
            <w:r>
              <w:rPr>
                <w:sz w:val="20"/>
              </w:rPr>
              <w:t>Featured/promoted listings</w:t>
            </w:r>
          </w:p>
        </w:tc>
        <w:tc>
          <w:tcPr>
            <w:tcW w:type="dxa" w:w="3888"/>
          </w:tcPr>
          <w:p>
            <w:r/>
            <w:r>
              <w:rPr>
                <w:sz w:val="20"/>
              </w:rPr>
              <w:t>Businesses pay to boost visibility of a posting</w:t>
            </w:r>
          </w:p>
        </w:tc>
        <w:tc>
          <w:tcPr>
            <w:tcW w:type="dxa" w:w="3024"/>
          </w:tcPr>
          <w:p>
            <w:r/>
            <w:r>
              <w:rPr>
                <w:sz w:val="20"/>
              </w:rPr>
              <w:t>Secondary revenue, only once there is enough listing volume to make prominence meaningful</w:t>
            </w:r>
          </w:p>
        </w:tc>
      </w:tr>
      <w:tr>
        <w:tc>
          <w:tcPr>
            <w:tcW w:type="dxa" w:w="2592"/>
          </w:tcPr>
          <w:p>
            <w:r/>
            <w:r>
              <w:rPr>
                <w:sz w:val="20"/>
              </w:rPr>
              <w:t>Premium student tools (optional)</w:t>
            </w:r>
          </w:p>
        </w:tc>
        <w:tc>
          <w:tcPr>
            <w:tcW w:type="dxa" w:w="3888"/>
          </w:tcPr>
          <w:p>
            <w:r/>
            <w:r>
              <w:rPr>
                <w:sz w:val="20"/>
              </w:rPr>
              <w:t>CV review, interview prep, skill certification</w:t>
            </w:r>
          </w:p>
        </w:tc>
        <w:tc>
          <w:tcPr>
            <w:tcW w:type="dxa" w:w="3024"/>
          </w:tcPr>
          <w:p>
            <w:r/>
            <w:r>
              <w:rPr>
                <w:sz w:val="20"/>
              </w:rPr>
              <w:t>Must not gate core opportunity access behind a paywall — reputational risk with universities if it looks exploitative of students</w:t>
            </w:r>
          </w:p>
        </w:tc>
      </w:tr>
    </w:tbl>
    <w:p/>
    <w:p>
      <w:r>
        <w:rPr>
          <w:i/>
          <w:color w:val="555555"/>
          <w:sz w:val="18"/>
        </w:rPr>
        <w:t>Table 4: Revenue streams, in priority order.</w:t>
      </w:r>
    </w:p>
    <w:p>
      <w:pPr>
        <w:pStyle w:val="Heading1"/>
      </w:pPr>
      <w:r>
        <w:t>6. Go-to-Market Strategy</w:t>
      </w:r>
    </w:p>
    <w:p>
      <w:pPr>
        <w:pStyle w:val="Heading2"/>
      </w:pPr>
      <w:r>
        <w:t>6.1 Beachhead strategy</w:t>
      </w:r>
    </w:p>
    <w:p>
      <w:r>
        <w:t>Land one “friendly” university careers service willing to run a free or discounted pilot, in one department or year-group, with a small, hand-picked set of SME businesses (10–20) rather than an open launch. This solves the two-sided cold-start problem deliberately rather than by accident: supply and demand are seeded manually before any public opening.</w:t>
      </w:r>
    </w:p>
    <w:p>
      <w:pPr>
        <w:pStyle w:val="Heading2"/>
      </w:pPr>
      <w:r>
        <w:t>6.2 Sequencing</w:t>
      </w:r>
    </w:p>
    <w:p>
      <w:pPr>
        <w:pStyle w:val="ListBullet"/>
      </w:pPr>
      <w:r>
        <w:t>Warm-intro or direct outreach to a careers service (ideally one with an existing relationship or alumni connection) — sell the safeguarding story first, the matching engine second.</w:t>
      </w:r>
    </w:p>
    <w:p>
      <w:pPr>
        <w:pStyle w:val="ListBullet"/>
      </w:pPr>
      <w:r>
        <w:t>Recruit anchor SME clients directly (local Chambers of Commerce, startup communities, LinkedIn outreach) — needs enough live projects that the first cohort of students has something real to apply to on day one.</w:t>
      </w:r>
    </w:p>
    <w:p>
      <w:pPr>
        <w:pStyle w:val="ListBullet"/>
      </w:pPr>
      <w:r>
        <w:t>Run one full project cycle (post → apply → hire → milestone → payment → rating) end-to-end with real money and real people before approaching a second institution.</w:t>
      </w:r>
    </w:p>
    <w:p>
      <w:pPr>
        <w:pStyle w:val="ListBullet"/>
      </w:pPr>
      <w:r>
        <w:t>Convert the pilot into a case study/testimonial before any paid sales conversation with a second university — higher education is a reference-driven, risk-averse buying market.</w:t>
      </w:r>
    </w:p>
    <w:p>
      <w:pPr>
        <w:pStyle w:val="Heading2"/>
      </w:pPr>
      <w:r>
        <w:t>6.3 Pricing approach for the pilot</w:t>
      </w:r>
    </w:p>
    <w:p>
      <w:r>
        <w:t>Offer the first institution a free or heavily discounted pilot in exchange for structured feedback, a case study, and (if it goes well) a reference for the next sale. Recover cost of goods, not margin, during the pilot phase — the objective is proof and a defensible reference, not pilot revenue.</w:t>
      </w:r>
    </w:p>
    <w:p>
      <w:pPr>
        <w:pStyle w:val="Heading1"/>
      </w:pPr>
      <w:r>
        <w:t>7. Roadmap to a University-Ready Standard — Milestones &amp; Timeline</w:t>
      </w:r>
    </w:p>
    <w:p>
      <w:r>
        <w:t>Assumption used throughout this section: a solo founder working part-time (roughly 12–15 hours/week alongside other commitments). Timelines are deliberately conservative rather than best-case — they lengthen further if fewer hours are available in a given month, and can compress if a co-founder, contractor, or funding is brought in earlier than planned (see Section 10).</w:t>
      </w:r>
    </w:p>
    <w:p>
      <w:pPr>
        <w:pStyle w:val="Heading2"/>
      </w:pPr>
      <w:r>
        <w:t>Phase 0 — Validation &amp; Foundations</w:t>
      </w:r>
    </w:p>
    <w:p>
      <w:r>
        <w:rPr>
          <w:i/>
          <w:color w:val="2E6F8E"/>
          <w:sz w:val="20"/>
        </w:rPr>
        <w:t>Months 1–2</w:t>
      </w:r>
    </w:p>
    <w:p>
      <w:pPr>
        <w:pStyle w:val="ListBullet"/>
      </w:pPr>
      <w:r>
        <w:t>Incorporate a limited company; open a business bank account.</w:t>
      </w:r>
    </w:p>
    <w:p>
      <w:pPr>
        <w:pStyle w:val="ListBullet"/>
      </w:pPr>
      <w:r>
        <w:t>Interview 15–20 students and 10–15 SME/startup hirers to pressure-test demand, pricing tolerance, and the safeguarding pitch specifically.</w:t>
      </w:r>
    </w:p>
    <w:p>
      <w:pPr>
        <w:pStyle w:val="ListBullet"/>
      </w:pPr>
      <w:r>
        <w:t>Approach 3–5 university careers services informally to test institutional appetite and surface real procurement requirements early (see Section 8).</w:t>
      </w:r>
    </w:p>
    <w:p>
      <w:pPr>
        <w:pStyle w:val="ListBullet"/>
      </w:pPr>
      <w:r>
        <w:t>Draft initial Terms &amp; Conditions and Privacy Notice from templates (flagged for solicitor review in Phase 2, not final at this stage).</w:t>
      </w:r>
    </w:p>
    <w:p>
      <w:pPr>
        <w:pStyle w:val="ListBullet"/>
      </w:pPr>
      <w:r>
        <w:t>Finalise the skill taxonomy, project categories, and MVP scope/success metrics.</w:t>
      </w:r>
    </w:p>
    <w:p>
      <w:r>
        <w:rPr>
          <w:b/>
        </w:rPr>
        <w:t>Milestone: a named pilot-candidate university and a validated pricing hypothesis.</w:t>
      </w:r>
    </w:p>
    <w:p>
      <w:pPr>
        <w:pStyle w:val="Heading2"/>
      </w:pPr>
      <w:r>
        <w:t>Phase 1 — MVP Hardening</w:t>
      </w:r>
    </w:p>
    <w:p>
      <w:r>
        <w:rPr>
          <w:i/>
          <w:color w:val="2E6F8E"/>
          <w:sz w:val="20"/>
        </w:rPr>
        <w:t>Months 2–6</w:t>
      </w:r>
    </w:p>
    <w:p>
      <w:pPr>
        <w:pStyle w:val="ListBullet"/>
      </w:pPr>
      <w:r>
        <w:t>Replace create_all with Alembic migrations — required before any real production data exists.</w:t>
      </w:r>
    </w:p>
    <w:p>
      <w:pPr>
        <w:pStyle w:val="ListBullet"/>
      </w:pPr>
      <w:r>
        <w:t>Wire up Stripe Connect in test mode: escrow creation, milestone-based release, payout, and marketplace fee split.</w:t>
      </w:r>
    </w:p>
    <w:p>
      <w:pPr>
        <w:pStyle w:val="ListBullet"/>
      </w:pPr>
      <w:r>
        <w:t>Take the existing full-featured static app (static/app/) to production-grade: accessibility pass, responsive polish, error states, loading states.</w:t>
      </w:r>
    </w:p>
    <w:p>
      <w:pPr>
        <w:pStyle w:val="ListBullet"/>
      </w:pPr>
      <w:r>
        <w:t>Wire up Firebase Cloud Messaging for real push notifications.</w:t>
      </w:r>
    </w:p>
    <w:p>
      <w:pPr>
        <w:pStyle w:val="ListBullet"/>
      </w:pPr>
      <w:r>
        <w:t>Add CI/CD (automated tests + lint on every change), structured logging, and error monitoring (e.g. Sentry).</w:t>
      </w:r>
    </w:p>
    <w:p>
      <w:pPr>
        <w:pStyle w:val="ListBullet"/>
      </w:pPr>
      <w:r>
        <w:t>Expand automated test coverage beyond the matching engine to the API layer (auth, contracts, payments, messaging).</w:t>
      </w:r>
    </w:p>
    <w:p>
      <w:r>
        <w:rPr>
          <w:b/>
        </w:rPr>
        <w:t>Milestone: a feature-complete product running on real (test-mode) payments, deployed to a staging environment.</w:t>
      </w:r>
    </w:p>
    <w:p>
      <w:pPr>
        <w:pStyle w:val="Heading2"/>
      </w:pPr>
      <w:r>
        <w:t>Phase 2 — Compliance &amp; Institutional Readiness</w:t>
      </w:r>
    </w:p>
    <w:p>
      <w:r>
        <w:rPr>
          <w:i/>
          <w:color w:val="2E6F8E"/>
          <w:sz w:val="20"/>
        </w:rPr>
        <w:t>Months 5–10 (overlaps Phase 1)</w:t>
      </w:r>
    </w:p>
    <w:p>
      <w:r>
        <w:t>This is the phase that determines whether a university can actually sign a licence — see Section 8 for the full checklist this phase works through.</w:t>
      </w:r>
    </w:p>
    <w:p>
      <w:pPr>
        <w:pStyle w:val="ListBullet"/>
      </w:pPr>
      <w:r>
        <w:t>Data Protection Impact Assessment, Records of Processing Activities, Data Processing Agreement template, retention policy, and a working subject-access-request process.</w:t>
      </w:r>
    </w:p>
    <w:p>
      <w:pPr>
        <w:pStyle w:val="ListBullet"/>
      </w:pPr>
      <w:r>
        <w:t>WCAG 2.1 AA accessibility audit and remediation, plus a published accessibility statement.</w:t>
      </w:r>
    </w:p>
    <w:p>
      <w:pPr>
        <w:pStyle w:val="ListBullet"/>
      </w:pPr>
      <w:r>
        <w:t>Cyber Essentials certification (fast, low-cost) as a first security baseline; begin scoping Cyber Essentials Plus, which larger institutions may require.</w:t>
      </w:r>
    </w:p>
    <w:p>
      <w:pPr>
        <w:pStyle w:val="ListBullet"/>
      </w:pPr>
      <w:r>
        <w:t>Commission an independent, lightweight penetration test before any real student data goes live.</w:t>
      </w:r>
    </w:p>
    <w:p>
      <w:pPr>
        <w:pStyle w:val="ListBullet"/>
      </w:pPr>
      <w:r>
        <w:t>Take out professional indemnity and cyber liability insurance.</w:t>
      </w:r>
    </w:p>
    <w:p>
      <w:pPr>
        <w:pStyle w:val="ListBullet"/>
      </w:pPr>
      <w:r>
        <w:t>Solicitor review of the marketplace Terms &amp; Conditions, IP-assignment/NDA contract templates, and safeguarding clauses.</w:t>
      </w:r>
    </w:p>
    <w:p>
      <w:pPr>
        <w:pStyle w:val="ListBullet"/>
      </w:pPr>
      <w:r>
        <w:t>Write the safeguarding policy, dispute-resolution SOP, and incident-response/business-continuity plan.</w:t>
      </w:r>
    </w:p>
    <w:p>
      <w:pPr>
        <w:pStyle w:val="ListBullet"/>
      </w:pPr>
      <w:r>
        <w:t>Confirm UK-region data hosting and back-up strategy.</w:t>
      </w:r>
    </w:p>
    <w:p>
      <w:pPr>
        <w:pStyle w:val="ListBullet"/>
      </w:pPr>
      <w:r>
        <w:t>Integrate real SSO (Shibboleth/UK Access Federation or OAuth) with the pilot university's IdP, replacing the email-domain-string check.</w:t>
      </w:r>
    </w:p>
    <w:p>
      <w:r>
        <w:rPr>
          <w:b/>
        </w:rPr>
        <w:t>Milestone: a compliance pack a university procurement/IT-security team can actually sign off on.</w:t>
      </w:r>
    </w:p>
    <w:p>
      <w:pPr>
        <w:pStyle w:val="Heading2"/>
      </w:pPr>
      <w:r>
        <w:t>Phase 3 — Pilot Launch</w:t>
      </w:r>
    </w:p>
    <w:p>
      <w:r>
        <w:rPr>
          <w:i/>
          <w:color w:val="2E6F8E"/>
          <w:sz w:val="20"/>
        </w:rPr>
        <w:t>Months 9–12</w:t>
      </w:r>
    </w:p>
    <w:p>
      <w:pPr>
        <w:pStyle w:val="ListBullet"/>
      </w:pPr>
      <w:r>
        <w:t>Onboard the pilot university (real SSO, real branding, real admin access).</w:t>
      </w:r>
    </w:p>
    <w:p>
      <w:pPr>
        <w:pStyle w:val="ListBullet"/>
      </w:pPr>
      <w:r>
        <w:t>Onboard 10–20 real SME businesses within the university's approved categories/year-groups.</w:t>
      </w:r>
    </w:p>
    <w:p>
      <w:pPr>
        <w:pStyle w:val="ListBullet"/>
      </w:pPr>
      <w:r>
        <w:t>Run one full live project cycle end-to-end with real payments and real people.</w:t>
      </w:r>
    </w:p>
    <w:p>
      <w:pPr>
        <w:pStyle w:val="ListBullet"/>
      </w:pPr>
      <w:r>
        <w:t>Weekly structured feedback loop with both sides — payment delays, unclear scope, and poor first matches are where pilots typically lose trust.</w:t>
      </w:r>
    </w:p>
    <w:p>
      <w:pPr>
        <w:pStyle w:val="ListBullet"/>
      </w:pPr>
      <w:r>
        <w:t>Formalise the case study/testimonial once the pilot completes successfully.</w:t>
      </w:r>
    </w:p>
    <w:p>
      <w:r>
        <w:rPr>
          <w:b/>
        </w:rPr>
        <w:t>Milestone: one completed, real, paid project cycle and a reference-ready pilot university.</w:t>
      </w:r>
    </w:p>
    <w:p>
      <w:pPr>
        <w:pStyle w:val="Heading2"/>
      </w:pPr>
      <w:r>
        <w:t>Phase 4 — Commercial Launch &amp; Scale</w:t>
      </w:r>
    </w:p>
    <w:p>
      <w:r>
        <w:rPr>
          <w:i/>
          <w:color w:val="2E6F8E"/>
          <w:sz w:val="20"/>
        </w:rPr>
        <w:t>Months 12–18+</w:t>
      </w:r>
    </w:p>
    <w:p>
      <w:pPr>
        <w:pStyle w:val="ListBullet"/>
      </w:pPr>
      <w:r>
        <w:t>Take the validated pitch and pilot case study to additional universities.</w:t>
      </w:r>
    </w:p>
    <w:p>
      <w:pPr>
        <w:pStyle w:val="ListBullet"/>
      </w:pPr>
      <w:r>
        <w:t>Register on relevant public-sector procurement routes (e.g. Jisc frameworks, G-Cloud/Digital Marketplace) to reduce friction for university procurement teams.</w:t>
      </w:r>
    </w:p>
    <w:p>
      <w:pPr>
        <w:pStyle w:val="ListBullet"/>
      </w:pPr>
      <w:r>
        <w:t>Build the collaborative-filtering phase of the matching engine using real pilot outcome data (applications, hires, ratings).</w:t>
      </w:r>
    </w:p>
    <w:p>
      <w:pPr>
        <w:pStyle w:val="ListBullet"/>
      </w:pPr>
      <w:r>
        <w:t>Begin the ISO 27001 roadmap once serving multiple institutions makes it commercially necessary.</w:t>
      </w:r>
    </w:p>
    <w:p>
      <w:pPr>
        <w:pStyle w:val="ListBullet"/>
      </w:pPr>
      <w:r>
        <w:t>Bring on first paid help (contractor or co-founder) as licence revenue allows — sales/partnerships is the highest-leverage first hire for a technical solo founder.</w:t>
      </w:r>
    </w:p>
    <w:p>
      <w:r>
        <w:rPr>
          <w:b/>
        </w:rPr>
        <w:t>Milestone: two or more paying institutional licences and a repeatable sales motion.</w:t>
      </w:r>
    </w:p>
    <w:p>
      <w:pPr>
        <w:pStyle w:val="Heading2"/>
      </w:pPr>
      <w:r>
        <w:t>7.1 Timeline at a glance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4320"/>
            <w:shd w:fill="1B2A4A"/>
          </w:tcPr>
          <w:p>
            <w:r>
              <w:rPr>
                <w:b/>
                <w:color w:val="FFFFFF"/>
              </w:rPr>
            </w:r>
            <w:r>
              <w:rPr>
                <w:b/>
                <w:color w:val="FFFFFF"/>
                <w:sz w:val="20"/>
              </w:rPr>
              <w:t>Phase</w:t>
            </w:r>
          </w:p>
        </w:tc>
        <w:tc>
          <w:tcPr>
            <w:tcW w:type="dxa" w:w="2160"/>
            <w:shd w:fill="1B2A4A"/>
          </w:tcPr>
          <w:p>
            <w:r>
              <w:rPr>
                <w:b/>
                <w:color w:val="FFFFFF"/>
              </w:rPr>
            </w:r>
            <w:r>
              <w:rPr>
                <w:b/>
                <w:color w:val="FFFFFF"/>
                <w:sz w:val="20"/>
              </w:rPr>
              <w:t>Duration</w:t>
            </w:r>
          </w:p>
        </w:tc>
        <w:tc>
          <w:tcPr>
            <w:tcW w:type="dxa" w:w="4320"/>
            <w:shd w:fill="1B2A4A"/>
          </w:tcPr>
          <w:p>
            <w:r>
              <w:rPr>
                <w:b/>
                <w:color w:val="FFFFFF"/>
              </w:rPr>
            </w:r>
            <w:r>
              <w:rPr>
                <w:b/>
                <w:color w:val="FFFFFF"/>
                <w:sz w:val="20"/>
              </w:rPr>
              <w:t>Key output</w:t>
            </w:r>
          </w:p>
        </w:tc>
      </w:tr>
      <w:tr>
        <w:tc>
          <w:tcPr>
            <w:tcW w:type="dxa" w:w="4320"/>
          </w:tcPr>
          <w:p>
            <w:r/>
            <w:r>
              <w:rPr>
                <w:sz w:val="20"/>
              </w:rPr>
              <w:t>0 — Validation &amp; Foundations</w:t>
            </w:r>
          </w:p>
        </w:tc>
        <w:tc>
          <w:tcPr>
            <w:tcW w:type="dxa" w:w="2160"/>
          </w:tcPr>
          <w:p>
            <w:r/>
            <w:r>
              <w:rPr>
                <w:sz w:val="20"/>
              </w:rPr>
              <w:t>Months 1–2</w:t>
            </w:r>
          </w:p>
        </w:tc>
        <w:tc>
          <w:tcPr>
            <w:tcW w:type="dxa" w:w="4320"/>
          </w:tcPr>
          <w:p>
            <w:r/>
            <w:r>
              <w:rPr>
                <w:sz w:val="20"/>
              </w:rPr>
              <w:t>Validated pricing + named pilot candidate</w:t>
            </w:r>
          </w:p>
        </w:tc>
      </w:tr>
      <w:tr>
        <w:tc>
          <w:tcPr>
            <w:tcW w:type="dxa" w:w="4320"/>
          </w:tcPr>
          <w:p>
            <w:r/>
            <w:r>
              <w:rPr>
                <w:sz w:val="20"/>
              </w:rPr>
              <w:t>1 — MVP Hardening</w:t>
            </w:r>
          </w:p>
        </w:tc>
        <w:tc>
          <w:tcPr>
            <w:tcW w:type="dxa" w:w="2160"/>
          </w:tcPr>
          <w:p>
            <w:r/>
            <w:r>
              <w:rPr>
                <w:sz w:val="20"/>
              </w:rPr>
              <w:t>Months 2–6</w:t>
            </w:r>
          </w:p>
        </w:tc>
        <w:tc>
          <w:tcPr>
            <w:tcW w:type="dxa" w:w="4320"/>
          </w:tcPr>
          <w:p>
            <w:r/>
            <w:r>
              <w:rPr>
                <w:sz w:val="20"/>
              </w:rPr>
              <w:t>Feature-complete product on real payments</w:t>
            </w:r>
          </w:p>
        </w:tc>
      </w:tr>
      <w:tr>
        <w:tc>
          <w:tcPr>
            <w:tcW w:type="dxa" w:w="4320"/>
          </w:tcPr>
          <w:p>
            <w:r/>
            <w:r>
              <w:rPr>
                <w:sz w:val="20"/>
              </w:rPr>
              <w:t>2 — Compliance &amp; Institutional Readiness</w:t>
            </w:r>
          </w:p>
        </w:tc>
        <w:tc>
          <w:tcPr>
            <w:tcW w:type="dxa" w:w="2160"/>
          </w:tcPr>
          <w:p>
            <w:r/>
            <w:r>
              <w:rPr>
                <w:sz w:val="20"/>
              </w:rPr>
              <w:t>Months 5–10</w:t>
            </w:r>
          </w:p>
        </w:tc>
        <w:tc>
          <w:tcPr>
            <w:tcW w:type="dxa" w:w="4320"/>
          </w:tcPr>
          <w:p>
            <w:r/>
            <w:r>
              <w:rPr>
                <w:sz w:val="20"/>
              </w:rPr>
              <w:t>Procurement-ready compliance pack</w:t>
            </w:r>
          </w:p>
        </w:tc>
      </w:tr>
      <w:tr>
        <w:tc>
          <w:tcPr>
            <w:tcW w:type="dxa" w:w="4320"/>
          </w:tcPr>
          <w:p>
            <w:r/>
            <w:r>
              <w:rPr>
                <w:sz w:val="20"/>
              </w:rPr>
              <w:t>3 — Pilot Launch</w:t>
            </w:r>
          </w:p>
        </w:tc>
        <w:tc>
          <w:tcPr>
            <w:tcW w:type="dxa" w:w="2160"/>
          </w:tcPr>
          <w:p>
            <w:r/>
            <w:r>
              <w:rPr>
                <w:sz w:val="20"/>
              </w:rPr>
              <w:t>Months 9–12</w:t>
            </w:r>
          </w:p>
        </w:tc>
        <w:tc>
          <w:tcPr>
            <w:tcW w:type="dxa" w:w="4320"/>
          </w:tcPr>
          <w:p>
            <w:r/>
            <w:r>
              <w:rPr>
                <w:sz w:val="20"/>
              </w:rPr>
              <w:t>One completed live project cycle + case study</w:t>
            </w:r>
          </w:p>
        </w:tc>
      </w:tr>
      <w:tr>
        <w:tc>
          <w:tcPr>
            <w:tcW w:type="dxa" w:w="4320"/>
          </w:tcPr>
          <w:p>
            <w:r/>
            <w:r>
              <w:rPr>
                <w:sz w:val="20"/>
              </w:rPr>
              <w:t>4 — Commercial Launch &amp; Scale</w:t>
            </w:r>
          </w:p>
        </w:tc>
        <w:tc>
          <w:tcPr>
            <w:tcW w:type="dxa" w:w="2160"/>
          </w:tcPr>
          <w:p>
            <w:r/>
            <w:r>
              <w:rPr>
                <w:sz w:val="20"/>
              </w:rPr>
              <w:t>Months 12–18+</w:t>
            </w:r>
          </w:p>
        </w:tc>
        <w:tc>
          <w:tcPr>
            <w:tcW w:type="dxa" w:w="4320"/>
          </w:tcPr>
          <w:p>
            <w:r/>
            <w:r>
              <w:rPr>
                <w:sz w:val="20"/>
              </w:rPr>
              <w:t>Multiple paying institutional licences</w:t>
            </w:r>
          </w:p>
        </w:tc>
      </w:tr>
    </w:tbl>
    <w:p/>
    <w:p>
      <w:r>
        <w:rPr>
          <w:i/>
          <w:color w:val="555555"/>
          <w:sz w:val="18"/>
        </w:rPr>
        <w:t>Table 5: Indicative timeline, solo founder, part-time. Phases 1 and 2 deliberately overlap.</w:t>
      </w:r>
    </w:p>
    <w:p>
      <w:pPr>
        <w:pStyle w:val="Heading1"/>
      </w:pPr>
      <w:r>
        <w:t>8. Compliance, Safeguarding &amp; Institutional Requirements</w:t>
      </w:r>
    </w:p>
    <w:p>
      <w:r>
        <w:t>Universities evaluate software suppliers against a specific set of expectations that a consumer-facing startup often doesn't need on day one. Below is the checklist this plan is building toward, grouped by area, with current status.</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shd w:fill="1B2A4A"/>
          </w:tcPr>
          <w:p>
            <w:r>
              <w:rPr>
                <w:b/>
                <w:color w:val="FFFFFF"/>
              </w:rPr>
            </w:r>
            <w:r>
              <w:rPr>
                <w:b/>
                <w:color w:val="FFFFFF"/>
                <w:sz w:val="20"/>
              </w:rPr>
              <w:t>Requirement</w:t>
            </w:r>
          </w:p>
        </w:tc>
        <w:tc>
          <w:tcPr>
            <w:tcW w:type="dxa" w:w="3888"/>
            <w:shd w:fill="1B2A4A"/>
          </w:tcPr>
          <w:p>
            <w:r>
              <w:rPr>
                <w:b/>
                <w:color w:val="FFFFFF"/>
              </w:rPr>
            </w:r>
            <w:r>
              <w:rPr>
                <w:b/>
                <w:color w:val="FFFFFF"/>
                <w:sz w:val="20"/>
              </w:rPr>
              <w:t>Why universities expect it</w:t>
            </w:r>
          </w:p>
        </w:tc>
        <w:tc>
          <w:tcPr>
            <w:tcW w:type="dxa" w:w="2736"/>
            <w:shd w:fill="1B2A4A"/>
          </w:tcPr>
          <w:p>
            <w:r>
              <w:rPr>
                <w:b/>
                <w:color w:val="FFFFFF"/>
              </w:rPr>
            </w:r>
            <w:r>
              <w:rPr>
                <w:b/>
                <w:color w:val="FFFFFF"/>
                <w:sz w:val="20"/>
              </w:rPr>
              <w:t>Current status</w:t>
            </w:r>
          </w:p>
        </w:tc>
      </w:tr>
      <w:tr>
        <w:tc>
          <w:tcPr>
            <w:tcW w:type="dxa" w:w="3312"/>
          </w:tcPr>
          <w:p>
            <w:r/>
            <w:r>
              <w:rPr>
                <w:sz w:val="20"/>
              </w:rPr>
              <w:t>GDPR/UK Data Protection Act compliance (DPIA, DPA, retention policy, SAR process)</w:t>
            </w:r>
          </w:p>
        </w:tc>
        <w:tc>
          <w:tcPr>
            <w:tcW w:type="dxa" w:w="3888"/>
          </w:tcPr>
          <w:p>
            <w:r/>
            <w:r>
              <w:rPr>
                <w:sz w:val="20"/>
              </w:rPr>
              <w:t>Universities are data controllers/processors for student data and must ensure suppliers meet the same obligations</w:t>
            </w:r>
          </w:p>
        </w:tc>
        <w:tc>
          <w:tcPr>
            <w:tcW w:type="dxa" w:w="2736"/>
          </w:tcPr>
          <w:p>
            <w:r/>
            <w:r>
              <w:rPr>
                <w:sz w:val="20"/>
              </w:rPr>
              <w:t>Not yet started — Phase 2</w:t>
            </w:r>
          </w:p>
        </w:tc>
      </w:tr>
      <w:tr>
        <w:tc>
          <w:tcPr>
            <w:tcW w:type="dxa" w:w="3312"/>
          </w:tcPr>
          <w:p>
            <w:r/>
            <w:r>
              <w:rPr>
                <w:sz w:val="20"/>
              </w:rPr>
              <w:t>WCAG 2.1 AA accessibility + accessibility statement</w:t>
            </w:r>
          </w:p>
        </w:tc>
        <w:tc>
          <w:tcPr>
            <w:tcW w:type="dxa" w:w="3888"/>
          </w:tcPr>
          <w:p>
            <w:r/>
            <w:r>
              <w:rPr>
                <w:sz w:val="20"/>
              </w:rPr>
              <w:t>Public Sector Bodies Accessibility Regulations apply to universities and flow down to their suppliers via procurement</w:t>
            </w:r>
          </w:p>
        </w:tc>
        <w:tc>
          <w:tcPr>
            <w:tcW w:type="dxa" w:w="2736"/>
          </w:tcPr>
          <w:p>
            <w:r/>
            <w:r>
              <w:rPr>
                <w:sz w:val="20"/>
              </w:rPr>
              <w:t>Not yet started — Phase 2</w:t>
            </w:r>
          </w:p>
        </w:tc>
      </w:tr>
      <w:tr>
        <w:tc>
          <w:tcPr>
            <w:tcW w:type="dxa" w:w="3312"/>
          </w:tcPr>
          <w:p>
            <w:r/>
            <w:r>
              <w:rPr>
                <w:sz w:val="20"/>
              </w:rPr>
              <w:t>Cyber Essentials / Cyber Essentials Plus</w:t>
            </w:r>
          </w:p>
        </w:tc>
        <w:tc>
          <w:tcPr>
            <w:tcW w:type="dxa" w:w="3888"/>
          </w:tcPr>
          <w:p>
            <w:r/>
            <w:r>
              <w:rPr>
                <w:sz w:val="20"/>
              </w:rPr>
              <w:t>Increasingly a baseline requirement in UK public-sector-adjacent procurement</w:t>
            </w:r>
          </w:p>
        </w:tc>
        <w:tc>
          <w:tcPr>
            <w:tcW w:type="dxa" w:w="2736"/>
          </w:tcPr>
          <w:p>
            <w:r/>
            <w:r>
              <w:rPr>
                <w:sz w:val="20"/>
              </w:rPr>
              <w:t>Not yet started — Phase 2</w:t>
            </w:r>
          </w:p>
        </w:tc>
      </w:tr>
      <w:tr>
        <w:tc>
          <w:tcPr>
            <w:tcW w:type="dxa" w:w="3312"/>
          </w:tcPr>
          <w:p>
            <w:r/>
            <w:r>
              <w:rPr>
                <w:sz w:val="20"/>
              </w:rPr>
              <w:t>Independent penetration test</w:t>
            </w:r>
          </w:p>
        </w:tc>
        <w:tc>
          <w:tcPr>
            <w:tcW w:type="dxa" w:w="3888"/>
          </w:tcPr>
          <w:p>
            <w:r/>
            <w:r>
              <w:rPr>
                <w:sz w:val="20"/>
              </w:rPr>
              <w:t>Expected before any real student personal data is processed at scale</w:t>
            </w:r>
          </w:p>
        </w:tc>
        <w:tc>
          <w:tcPr>
            <w:tcW w:type="dxa" w:w="2736"/>
          </w:tcPr>
          <w:p>
            <w:r/>
            <w:r>
              <w:rPr>
                <w:sz w:val="20"/>
              </w:rPr>
              <w:t>Not yet started — Phase 2</w:t>
            </w:r>
          </w:p>
        </w:tc>
      </w:tr>
      <w:tr>
        <w:tc>
          <w:tcPr>
            <w:tcW w:type="dxa" w:w="3312"/>
          </w:tcPr>
          <w:p>
            <w:r/>
            <w:r>
              <w:rPr>
                <w:sz w:val="20"/>
              </w:rPr>
              <w:t>Real identity verification (SSO/Shibboleth or OAuth)</w:t>
            </w:r>
          </w:p>
        </w:tc>
        <w:tc>
          <w:tcPr>
            <w:tcW w:type="dxa" w:w="3888"/>
          </w:tcPr>
          <w:p>
            <w:r/>
            <w:r>
              <w:rPr>
                <w:sz w:val="20"/>
              </w:rPr>
              <w:t>Email-domain string matching is not robust enough for production trust</w:t>
            </w:r>
          </w:p>
        </w:tc>
        <w:tc>
          <w:tcPr>
            <w:tcW w:type="dxa" w:w="2736"/>
          </w:tcPr>
          <w:p>
            <w:r/>
            <w:r>
              <w:rPr>
                <w:sz w:val="20"/>
              </w:rPr>
              <w:t>Stubbed — Phase 2</w:t>
            </w:r>
          </w:p>
        </w:tc>
      </w:tr>
      <w:tr>
        <w:tc>
          <w:tcPr>
            <w:tcW w:type="dxa" w:w="3312"/>
          </w:tcPr>
          <w:p>
            <w:r/>
            <w:r>
              <w:rPr>
                <w:sz w:val="20"/>
              </w:rPr>
              <w:t>Professional indemnity &amp; cyber liability insurance</w:t>
            </w:r>
          </w:p>
        </w:tc>
        <w:tc>
          <w:tcPr>
            <w:tcW w:type="dxa" w:w="3888"/>
          </w:tcPr>
          <w:p>
            <w:r/>
            <w:r>
              <w:rPr>
                <w:sz w:val="20"/>
              </w:rPr>
              <w:t>Standard procurement requirement for any supplier handling student data or payments</w:t>
            </w:r>
          </w:p>
        </w:tc>
        <w:tc>
          <w:tcPr>
            <w:tcW w:type="dxa" w:w="2736"/>
          </w:tcPr>
          <w:p>
            <w:r/>
            <w:r>
              <w:rPr>
                <w:sz w:val="20"/>
              </w:rPr>
              <w:t>Not yet started — Phase 2</w:t>
            </w:r>
          </w:p>
        </w:tc>
      </w:tr>
      <w:tr>
        <w:tc>
          <w:tcPr>
            <w:tcW w:type="dxa" w:w="3312"/>
          </w:tcPr>
          <w:p>
            <w:r/>
            <w:r>
              <w:rPr>
                <w:sz w:val="20"/>
              </w:rPr>
              <w:t>Legally reviewed contracts (T&amp;Cs, IP-assignment, NDA, safeguarding clauses)</w:t>
            </w:r>
          </w:p>
        </w:tc>
        <w:tc>
          <w:tcPr>
            <w:tcW w:type="dxa" w:w="3888"/>
          </w:tcPr>
          <w:p>
            <w:r/>
            <w:r>
              <w:rPr>
                <w:sz w:val="20"/>
              </w:rPr>
              <w:t>Protects both the platform and the university from IP/employment-status disputes</w:t>
            </w:r>
          </w:p>
        </w:tc>
        <w:tc>
          <w:tcPr>
            <w:tcW w:type="dxa" w:w="2736"/>
          </w:tcPr>
          <w:p>
            <w:r/>
            <w:r>
              <w:rPr>
                <w:sz w:val="20"/>
              </w:rPr>
              <w:t>Draft templates exist — solicitor review in Phase 2</w:t>
            </w:r>
          </w:p>
        </w:tc>
      </w:tr>
      <w:tr>
        <w:tc>
          <w:tcPr>
            <w:tcW w:type="dxa" w:w="3312"/>
          </w:tcPr>
          <w:p>
            <w:r/>
            <w:r>
              <w:rPr>
                <w:sz w:val="20"/>
              </w:rPr>
              <w:t>Safeguarding policy &amp; escalation SOP</w:t>
            </w:r>
          </w:p>
        </w:tc>
        <w:tc>
          <w:tcPr>
            <w:tcW w:type="dxa" w:w="3888"/>
          </w:tcPr>
          <w:p>
            <w:r/>
            <w:r>
              <w:rPr>
                <w:sz w:val="20"/>
              </w:rPr>
              <w:t>Universities have their own safeguarding duties (e.g. under-18 edge cases, Prevent duty) and expect a documented, compatible process from suppliers</w:t>
            </w:r>
          </w:p>
        </w:tc>
        <w:tc>
          <w:tcPr>
            <w:tcW w:type="dxa" w:w="2736"/>
          </w:tcPr>
          <w:p>
            <w:r/>
            <w:r>
              <w:rPr>
                <w:sz w:val="20"/>
              </w:rPr>
              <w:t>Access-control mechanism is built (Section 3); written policy/SOP not yet drafted</w:t>
            </w:r>
          </w:p>
        </w:tc>
      </w:tr>
      <w:tr>
        <w:tc>
          <w:tcPr>
            <w:tcW w:type="dxa" w:w="3312"/>
          </w:tcPr>
          <w:p>
            <w:r/>
            <w:r>
              <w:rPr>
                <w:sz w:val="20"/>
              </w:rPr>
              <w:t>UK data residency &amp; back-up/BCP</w:t>
            </w:r>
          </w:p>
        </w:tc>
        <w:tc>
          <w:tcPr>
            <w:tcW w:type="dxa" w:w="3888"/>
          </w:tcPr>
          <w:p>
            <w:r/>
            <w:r>
              <w:rPr>
                <w:sz w:val="20"/>
              </w:rPr>
              <w:t>Data sovereignty and continuity expectations from university IT security teams</w:t>
            </w:r>
          </w:p>
        </w:tc>
        <w:tc>
          <w:tcPr>
            <w:tcW w:type="dxa" w:w="2736"/>
          </w:tcPr>
          <w:p>
            <w:r/>
            <w:r>
              <w:rPr>
                <w:sz w:val="20"/>
              </w:rPr>
              <w:t>Not yet confirmed — Phase 2</w:t>
            </w:r>
          </w:p>
        </w:tc>
      </w:tr>
      <w:tr>
        <w:tc>
          <w:tcPr>
            <w:tcW w:type="dxa" w:w="3312"/>
          </w:tcPr>
          <w:p>
            <w:r/>
            <w:r>
              <w:rPr>
                <w:sz w:val="20"/>
              </w:rPr>
              <w:t>Alembic migrations / production-safe schema management</w:t>
            </w:r>
          </w:p>
        </w:tc>
        <w:tc>
          <w:tcPr>
            <w:tcW w:type="dxa" w:w="3888"/>
          </w:tcPr>
          <w:p>
            <w:r/>
            <w:r>
              <w:rPr>
                <w:sz w:val="20"/>
              </w:rPr>
              <w:t>create_all is unsafe once real institutional data exists</w:t>
            </w:r>
          </w:p>
        </w:tc>
        <w:tc>
          <w:tcPr>
            <w:tcW w:type="dxa" w:w="2736"/>
          </w:tcPr>
          <w:p>
            <w:r/>
            <w:r>
              <w:rPr>
                <w:sz w:val="20"/>
              </w:rPr>
              <w:t>Not yet started — Phase 1</w:t>
            </w:r>
          </w:p>
        </w:tc>
      </w:tr>
    </w:tbl>
    <w:p/>
    <w:p>
      <w:r>
        <w:rPr>
          <w:i/>
          <w:color w:val="555555"/>
          <w:sz w:val="18"/>
        </w:rPr>
        <w:t>Table 6: Institutional requirements checklist mapped to current build status.</w:t>
      </w:r>
    </w:p>
    <w:p>
      <w:pPr>
        <w:pStyle w:val="Heading1"/>
      </w:pPr>
      <w:r>
        <w:t>9. Risks &amp; Mitigations</w:t>
      </w:r>
    </w:p>
    <w:tbl>
      <w:tblPr>
        <w:tblStyle w:val="LightGrid-Accent1"/>
        <w:tblW w:type="auto" w:w="0"/>
        <w:jc w:val="center"/>
        <w:tblLook w:firstColumn="1" w:firstRow="1" w:lastColumn="0" w:lastRow="0" w:noHBand="0" w:noVBand="1" w:val="04A0"/>
      </w:tblPr>
      <w:tblGrid>
        <w:gridCol w:w="4320"/>
        <w:gridCol w:w="4320"/>
      </w:tblGrid>
      <w:tr>
        <w:tc>
          <w:tcPr>
            <w:tcW w:type="dxa" w:w="4608"/>
            <w:shd w:fill="1B2A4A"/>
          </w:tcPr>
          <w:p>
            <w:r>
              <w:rPr>
                <w:b/>
                <w:color w:val="FFFFFF"/>
              </w:rPr>
            </w:r>
            <w:r>
              <w:rPr>
                <w:b/>
                <w:color w:val="FFFFFF"/>
                <w:sz w:val="20"/>
              </w:rPr>
              <w:t>Risk</w:t>
            </w:r>
          </w:p>
        </w:tc>
        <w:tc>
          <w:tcPr>
            <w:tcW w:type="dxa" w:w="5328"/>
            <w:shd w:fill="1B2A4A"/>
          </w:tcPr>
          <w:p>
            <w:r>
              <w:rPr>
                <w:b/>
                <w:color w:val="FFFFFF"/>
              </w:rPr>
            </w:r>
            <w:r>
              <w:rPr>
                <w:b/>
                <w:color w:val="FFFFFF"/>
                <w:sz w:val="20"/>
              </w:rPr>
              <w:t>Mitigation</w:t>
            </w:r>
          </w:p>
        </w:tc>
      </w:tr>
      <w:tr>
        <w:tc>
          <w:tcPr>
            <w:tcW w:type="dxa" w:w="4608"/>
          </w:tcPr>
          <w:p>
            <w:r/>
            <w:r>
              <w:rPr>
                <w:sz w:val="20"/>
              </w:rPr>
              <w:t>Two-sided cold start (no students without projects, no projects without students)</w:t>
            </w:r>
          </w:p>
        </w:tc>
        <w:tc>
          <w:tcPr>
            <w:tcW w:type="dxa" w:w="5328"/>
          </w:tcPr>
          <w:p>
            <w:r/>
            <w:r>
              <w:rPr>
                <w:sz w:val="20"/>
              </w:rPr>
              <w:t>Seed supply manually — recruit anchor SME clients and a pilot cohort of students before any public opening (Section 6)</w:t>
            </w:r>
          </w:p>
        </w:tc>
      </w:tr>
      <w:tr>
        <w:tc>
          <w:tcPr>
            <w:tcW w:type="dxa" w:w="4608"/>
          </w:tcPr>
          <w:p>
            <w:r/>
            <w:r>
              <w:rPr>
                <w:sz w:val="20"/>
              </w:rPr>
              <w:t>Solo, part-time capacity is the single point of failure for delivery</w:t>
            </w:r>
          </w:p>
        </w:tc>
        <w:tc>
          <w:tcPr>
            <w:tcW w:type="dxa" w:w="5328"/>
          </w:tcPr>
          <w:p>
            <w:r/>
            <w:r>
              <w:rPr>
                <w:sz w:val="20"/>
              </w:rPr>
              <w:t>Sequence ruthlessly (Section 7), bring in a contractor or co-founder for compliance/sales as soon as pilot revenue or funding allows</w:t>
            </w:r>
          </w:p>
        </w:tc>
      </w:tr>
      <w:tr>
        <w:tc>
          <w:tcPr>
            <w:tcW w:type="dxa" w:w="4608"/>
          </w:tcPr>
          <w:p>
            <w:r/>
            <w:r>
              <w:rPr>
                <w:sz w:val="20"/>
              </w:rPr>
              <w:t>University procurement cycles are slow</w:t>
            </w:r>
          </w:p>
        </w:tc>
        <w:tc>
          <w:tcPr>
            <w:tcW w:type="dxa" w:w="5328"/>
          </w:tcPr>
          <w:p>
            <w:r/>
            <w:r>
              <w:rPr>
                <w:sz w:val="20"/>
              </w:rPr>
              <w:t>Start institutional conversations in Phase 0, long before the product is ready, so the sales cycle runs in parallel with build time rather than after it</w:t>
            </w:r>
          </w:p>
        </w:tc>
      </w:tr>
      <w:tr>
        <w:tc>
          <w:tcPr>
            <w:tcW w:type="dxa" w:w="4608"/>
          </w:tcPr>
          <w:p>
            <w:r/>
            <w:r>
              <w:rPr>
                <w:sz w:val="20"/>
              </w:rPr>
              <w:t>Payment disputes or non-payment</w:t>
            </w:r>
          </w:p>
        </w:tc>
        <w:tc>
          <w:tcPr>
            <w:tcW w:type="dxa" w:w="5328"/>
          </w:tcPr>
          <w:p>
            <w:r/>
            <w:r>
              <w:rPr>
                <w:sz w:val="20"/>
              </w:rPr>
              <w:t>Escrow model with milestone-based release (already built)</w:t>
            </w:r>
          </w:p>
        </w:tc>
      </w:tr>
      <w:tr>
        <w:tc>
          <w:tcPr>
            <w:tcW w:type="dxa" w:w="4608"/>
          </w:tcPr>
          <w:p>
            <w:r/>
            <w:r>
              <w:rPr>
                <w:sz w:val="20"/>
              </w:rPr>
              <w:t>Low-quality or exploitative project postings</w:t>
            </w:r>
          </w:p>
        </w:tc>
        <w:tc>
          <w:tcPr>
            <w:tcW w:type="dxa" w:w="5328"/>
          </w:tcPr>
          <w:p>
            <w:r/>
            <w:r>
              <w:rPr>
                <w:sz w:val="20"/>
              </w:rPr>
              <w:t>Moderation queue, minimum-rate floor, category restrictions enforced by the university's own agreement settings</w:t>
            </w:r>
          </w:p>
        </w:tc>
      </w:tr>
      <w:tr>
        <w:tc>
          <w:tcPr>
            <w:tcW w:type="dxa" w:w="4608"/>
          </w:tcPr>
          <w:p>
            <w:r/>
            <w:r>
              <w:rPr>
                <w:sz w:val="20"/>
              </w:rPr>
              <w:t>Rating manipulation / retaliatory reviews</w:t>
            </w:r>
          </w:p>
        </w:tc>
        <w:tc>
          <w:tcPr>
            <w:tcW w:type="dxa" w:w="5328"/>
          </w:tcPr>
          <w:p>
            <w:r/>
            <w:r>
              <w:rPr>
                <w:sz w:val="20"/>
              </w:rPr>
              <w:t>Mutual blind rating, structured scoring, anomaly detection, and a dispute path (core mechanic already built)</w:t>
            </w:r>
          </w:p>
        </w:tc>
      </w:tr>
      <w:tr>
        <w:tc>
          <w:tcPr>
            <w:tcW w:type="dxa" w:w="4608"/>
          </w:tcPr>
          <w:p>
            <w:r/>
            <w:r>
              <w:rPr>
                <w:sz w:val="20"/>
              </w:rPr>
              <w:t>Legal exposure (employment status, IP, safeguarding)</w:t>
            </w:r>
          </w:p>
        </w:tc>
        <w:tc>
          <w:tcPr>
            <w:tcW w:type="dxa" w:w="5328"/>
          </w:tcPr>
          <w:p>
            <w:r/>
            <w:r>
              <w:rPr>
                <w:sz w:val="20"/>
              </w:rPr>
              <w:t>Solicitor-reviewed, templated contracts distinguishing freelance/project work from employment; safeguarding gate enforced centrally in code, not per-endpoint</w:t>
            </w:r>
          </w:p>
        </w:tc>
      </w:tr>
      <w:tr>
        <w:tc>
          <w:tcPr>
            <w:tcW w:type="dxa" w:w="4608"/>
          </w:tcPr>
          <w:p>
            <w:r/>
            <w:r>
              <w:rPr>
                <w:sz w:val="20"/>
              </w:rPr>
              <w:t>Recommendation engine bias across university/demographic segments</w:t>
            </w:r>
          </w:p>
        </w:tc>
        <w:tc>
          <w:tcPr>
            <w:tcW w:type="dxa" w:w="5328"/>
          </w:tcPr>
          <w:p>
            <w:r/>
            <w:r>
              <w:rPr>
                <w:sz w:val="20"/>
              </w:rPr>
              <w:t>Explainability is already built in (per-factor score breakdown); commit to periodic fairness auditing once real outcome data exists</w:t>
            </w:r>
          </w:p>
        </w:tc>
      </w:tr>
    </w:tbl>
    <w:p/>
    <w:p>
      <w:r>
        <w:rPr>
          <w:i/>
          <w:color w:val="555555"/>
          <w:sz w:val="18"/>
        </w:rPr>
        <w:t>Table 7: Key risks and mitigations.</w:t>
      </w:r>
    </w:p>
    <w:p>
      <w:pPr>
        <w:pStyle w:val="Heading1"/>
      </w:pPr>
      <w:r>
        <w:t>10. Resourcing &amp; Funding Considerations</w:t>
      </w:r>
    </w:p>
    <w:p>
      <w:r>
        <w:t>The plan above is deliberately structured to be self-fundable through Phase 0 and most of Phase 1 — free-tier hosting, existing tooling, and founder time cover early build work. Real cash outlay starts in Phase 2, where compliance items (penetration testing, Cyber Essentials Plus, solicitor review, insurance) carry unavoidable third-party costs even for a lean, solo operation.</w:t>
      </w:r>
    </w:p>
    <w:p>
      <w:pPr>
        <w:pStyle w:val="Heading2"/>
      </w:pPr>
      <w:r>
        <w:t>10.1 Where external funding or a co-founder changes the timeline</w:t>
      </w:r>
    </w:p>
    <w:p>
      <w:pPr>
        <w:pStyle w:val="ListBullet"/>
      </w:pPr>
      <w:r>
        <w:t>A funded part-time-to-full-time transition mainly compresses Phases 1–3 — the work itself doesn't shrink, but more hours per week directly shortens the calendar time.</w:t>
      </w:r>
    </w:p>
    <w:p>
      <w:pPr>
        <w:pStyle w:val="ListBullet"/>
      </w:pPr>
      <w:r>
        <w:t>A co-founder or early contractor with sales/partnerships experience is the highest-leverage addition — university outreach and procurement navigation runs on a different clock to development and benefits from starting in parallel, not sequentially, as Section 7 assumes for a solo operator.</w:t>
      </w:r>
    </w:p>
    <w:p>
      <w:pPr>
        <w:pStyle w:val="Heading2"/>
      </w:pPr>
      <w:r>
        <w:t>10.2 Realistic funding avenues for this stage</w:t>
      </w:r>
    </w:p>
    <w:p>
      <w:pPr>
        <w:pStyle w:val="ListBullet"/>
      </w:pPr>
      <w:r>
        <w:t>Bootstrapped through Phase 0/1 using founder time and free/low-cost infrastructure tiers.</w:t>
      </w:r>
    </w:p>
    <w:p>
      <w:pPr>
        <w:pStyle w:val="ListBullet"/>
      </w:pPr>
      <w:r>
        <w:t>UK grant funding aimed at early-stage tech (e.g. Innovate UK Smart Grants) to cover Phase 2 compliance costs without giving up equity.</w:t>
      </w:r>
    </w:p>
    <w:p>
      <w:pPr>
        <w:pStyle w:val="ListBullet"/>
      </w:pPr>
      <w:r>
        <w:t>University-affiliated startup accelerators/incubators — a natural fit given the target customer is universities themselves, and often provide free legal/compliance guidance alongside funding.</w:t>
      </w:r>
    </w:p>
    <w:p>
      <w:pPr>
        <w:pStyle w:val="ListBullet"/>
      </w:pPr>
      <w:r>
        <w:t>A small pre-seed/angel round once a pilot university and case study exist, to fund the first hire and a faster push through Phase 4.</w:t>
      </w:r>
    </w:p>
    <w:p>
      <w:r>
        <w:t>No specific funding amount is proposed here — it should follow from validated Phase 2 compliance-cost quotes (penetration test, Cyber Essentials Plus, solicitor fees, insurance) rather than being guessed in advance.</w:t>
      </w:r>
    </w:p>
    <w:p>
      <w:pPr>
        <w:pStyle w:val="Heading1"/>
      </w:pPr>
      <w:r>
        <w:t>11. Success Metrics (KPIs)</w:t>
      </w:r>
    </w:p>
    <w:tbl>
      <w:tblPr>
        <w:tblStyle w:val="LightGrid-Accent1"/>
        <w:tblW w:type="auto" w:w="0"/>
        <w:jc w:val="center"/>
        <w:tblLook w:firstColumn="1" w:firstRow="1" w:lastColumn="0" w:lastRow="0" w:noHBand="0" w:noVBand="1" w:val="04A0"/>
      </w:tblPr>
      <w:tblGrid>
        <w:gridCol w:w="4320"/>
        <w:gridCol w:w="4320"/>
      </w:tblGrid>
      <w:tr>
        <w:tc>
          <w:tcPr>
            <w:tcW w:type="dxa" w:w="2880"/>
            <w:shd w:fill="1B2A4A"/>
          </w:tcPr>
          <w:p>
            <w:r>
              <w:rPr>
                <w:b/>
                <w:color w:val="FFFFFF"/>
              </w:rPr>
            </w:r>
            <w:r>
              <w:rPr>
                <w:b/>
                <w:color w:val="FFFFFF"/>
                <w:sz w:val="20"/>
              </w:rPr>
              <w:t>Category</w:t>
            </w:r>
          </w:p>
        </w:tc>
        <w:tc>
          <w:tcPr>
            <w:tcW w:type="dxa" w:w="6768"/>
            <w:shd w:fill="1B2A4A"/>
          </w:tcPr>
          <w:p>
            <w:r>
              <w:rPr>
                <w:b/>
                <w:color w:val="FFFFFF"/>
              </w:rPr>
            </w:r>
            <w:r>
              <w:rPr>
                <w:b/>
                <w:color w:val="FFFFFF"/>
                <w:sz w:val="20"/>
              </w:rPr>
              <w:t>Metric</w:t>
            </w:r>
          </w:p>
        </w:tc>
      </w:tr>
      <w:tr>
        <w:tc>
          <w:tcPr>
            <w:tcW w:type="dxa" w:w="2880"/>
          </w:tcPr>
          <w:p>
            <w:r/>
            <w:r>
              <w:rPr>
                <w:sz w:val="20"/>
              </w:rPr>
              <w:t>Liquidity</w:t>
            </w:r>
          </w:p>
        </w:tc>
        <w:tc>
          <w:tcPr>
            <w:tcW w:type="dxa" w:w="6768"/>
          </w:tcPr>
          <w:p>
            <w:r/>
            <w:r>
              <w:rPr>
                <w:sz w:val="20"/>
              </w:rPr>
              <w:t>Time-to-first-application per project; applications per project</w:t>
            </w:r>
          </w:p>
        </w:tc>
      </w:tr>
      <w:tr>
        <w:tc>
          <w:tcPr>
            <w:tcW w:type="dxa" w:w="2880"/>
          </w:tcPr>
          <w:p>
            <w:r/>
            <w:r>
              <w:rPr>
                <w:sz w:val="20"/>
              </w:rPr>
              <w:t>Match quality</w:t>
            </w:r>
          </w:p>
        </w:tc>
        <w:tc>
          <w:tcPr>
            <w:tcW w:type="dxa" w:w="6768"/>
          </w:tcPr>
          <w:p>
            <w:r/>
            <w:r>
              <w:rPr>
                <w:sz w:val="20"/>
              </w:rPr>
              <w:t>% of applications leading to a hire; post-hire average rating</w:t>
            </w:r>
          </w:p>
        </w:tc>
      </w:tr>
      <w:tr>
        <w:tc>
          <w:tcPr>
            <w:tcW w:type="dxa" w:w="2880"/>
          </w:tcPr>
          <w:p>
            <w:r/>
            <w:r>
              <w:rPr>
                <w:sz w:val="20"/>
              </w:rPr>
              <w:t>Trust</w:t>
            </w:r>
          </w:p>
        </w:tc>
        <w:tc>
          <w:tcPr>
            <w:tcW w:type="dxa" w:w="6768"/>
          </w:tcPr>
          <w:p>
            <w:r/>
            <w:r>
              <w:rPr>
                <w:sz w:val="20"/>
              </w:rPr>
              <w:t>Dispute rate; on-time payment rate; repeat-hire rate</w:t>
            </w:r>
          </w:p>
        </w:tc>
      </w:tr>
      <w:tr>
        <w:tc>
          <w:tcPr>
            <w:tcW w:type="dxa" w:w="2880"/>
          </w:tcPr>
          <w:p>
            <w:r/>
            <w:r>
              <w:rPr>
                <w:sz w:val="20"/>
              </w:rPr>
              <w:t>Growth</w:t>
            </w:r>
          </w:p>
        </w:tc>
        <w:tc>
          <w:tcPr>
            <w:tcW w:type="dxa" w:w="6768"/>
          </w:tcPr>
          <w:p>
            <w:r/>
            <w:r>
              <w:rPr>
                <w:sz w:val="20"/>
              </w:rPr>
              <w:t>Student sign-ups per university; business retention / repeat-posting rate</w:t>
            </w:r>
          </w:p>
        </w:tc>
      </w:tr>
      <w:tr>
        <w:tc>
          <w:tcPr>
            <w:tcW w:type="dxa" w:w="2880"/>
          </w:tcPr>
          <w:p>
            <w:r/>
            <w:r>
              <w:rPr>
                <w:sz w:val="20"/>
              </w:rPr>
              <w:t>Institutional</w:t>
            </w:r>
          </w:p>
        </w:tc>
        <w:tc>
          <w:tcPr>
            <w:tcW w:type="dxa" w:w="6768"/>
          </w:tcPr>
          <w:p>
            <w:r/>
            <w:r>
              <w:rPr>
                <w:sz w:val="20"/>
              </w:rPr>
              <w:t>Number of licensed universities; pilot-to-paid conversion rate</w:t>
            </w:r>
          </w:p>
        </w:tc>
      </w:tr>
      <w:tr>
        <w:tc>
          <w:tcPr>
            <w:tcW w:type="dxa" w:w="2880"/>
          </w:tcPr>
          <w:p>
            <w:r/>
            <w:r>
              <w:rPr>
                <w:sz w:val="20"/>
              </w:rPr>
              <w:t>Recommendation engine</w:t>
            </w:r>
          </w:p>
        </w:tc>
        <w:tc>
          <w:tcPr>
            <w:tcW w:type="dxa" w:w="6768"/>
          </w:tcPr>
          <w:p>
            <w:r/>
            <w:r>
              <w:rPr>
                <w:sz w:val="20"/>
              </w:rPr>
              <w:t>Click-through and apply-through rate on suggested vs. browsed projects</w:t>
            </w:r>
          </w:p>
        </w:tc>
      </w:tr>
    </w:tbl>
    <w:p/>
    <w:p>
      <w:r>
        <w:rPr>
          <w:i/>
          <w:color w:val="555555"/>
          <w:sz w:val="18"/>
        </w:rPr>
        <w:t>Table 8: KPIs to track from the pilot onward.</w:t>
      </w:r>
    </w:p>
    <w:p>
      <w:pPr>
        <w:pStyle w:val="Heading1"/>
      </w:pPr>
      <w:r>
        <w:t>12. Appendix: Technical Architecture Snapshot</w:t>
      </w:r>
    </w:p>
    <w:p>
      <w:r>
        <w:t>For technical readers: the current backend is built on FastAPI with SQLAlchemy 2.0 (SQLite for local development, PostgreSQL for production), JWT-based access and refresh tokens, and Passlib/bcrypt password hashing. Stripe Connect and Firebase Cloud Messaging are integration points with clearly marked placeholders, not yet wired to live credentials.</w:t>
      </w:r>
    </w:p>
    <w:p>
      <w:r>
        <w:t>The matching engine is a modular package (skills normalisation with fuzzy matching, TF-IDF text similarity, degree-relevance scoring, Bayesian-shrunk reputation scoring, and a real DB-backed collaborative-filtering signal that returns “no signal” rather than a false zero when data is insufficient), orchestrated by a scorer that dynamically re-normalises weights when a factor can't be computed. Every recommendation is logged with its full per-factor breakdown, which is both a user-facing “why was I shown this” feature and the training data future matching-engine phases will need.</w:t>
      </w:r>
    </w:p>
    <w:p>
      <w:r>
        <w:t>Safeguarding is enforced centrally in a single access-control module that every student-data-exposing endpoint calls into, rather than being re-implemented per-endpoint — reducing the risk of an accidental safeguarding bypass being introduced in a single overlooked code path.</w:t>
      </w:r>
    </w:p>
    <w:p/>
    <w:p>
      <w:pPr>
        <w:jc w:val="center"/>
      </w:pPr>
      <w:r>
        <w:rPr>
          <w:i/>
          <w:color w:val="555555"/>
          <w:sz w:val="18"/>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