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8kv1iy5t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MASTER FILE NAMING (FINAL, READY)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va3bunbuy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PACK ① — PHILOSOPHY PACK™ (Prefix 6_)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tmgs871vh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โฟลเดอร์: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6_PHILOSOPHY_PACK/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y8edw525p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ไฟล์: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6_1_VOIDSPIRIT_OATH.md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6_2_SMALL_LIFE_ARCHITECTURE.md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6_3_VOICE_AS_LIFEBLOOD_DOCTRINE.md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6_4_FIELD_ORIGIN_PRINCIPLES.md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6_5_EMPTY_NOTE_DOCTRINE.md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v0ir53ogt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PACK ② — GOVERNANCE &amp; ETHICS PACK™ (Prefix 7_)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1422i88d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โฟลเดอร์: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7_GOVERNANCE_ETHICS_PACK/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964g85ddh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ไฟล์: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7_1_PDPA_FLOW.md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7_2_CUSTODIAN_RULES.md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7_3_DATA_OWNER_GUARDIAN_CODE.md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7_4_HUMAN_AI_CONTRACT.md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jbp4ax36h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PACK ③ — SYSTEM SCHEMA PACK™ (Prefix 8_)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vh7ak7kmd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โฟลเดอร์: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8_SYSTEM_SCHEMA_PACK/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3d9yjhyc0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ไฟล์: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8_1_LAYER_ARCHITECTURE_L0_L6.md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8_2_SIGNAL_TO_INSIGHT_MAPPING.md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8_3_FIELD_TO_LAB_LOOP.md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8_4_REFLEX801_IDENTITY_LAYER.md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dztq3g3lv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โครงสร้างรวมของ MASTER (หลังเพิ่ม PACK ทั้งหมด)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MASTER/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1_VOIDSPIRE_PUBLIC_RELEASE_PACK/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2_Reflex801_VOIDSPIRE_v1.docx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3_DIAGRAM_PACK_VOIDSPIRE.jpg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4_FIELD_MANUAL/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5_RUNTIME_SPEC/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6_PHILOSOPHY_PACK/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6_1_VOIDSPIRIT_OATH.md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6_2_SMALL_LIFE_ARCHITECTURE.md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6_3_VOICE_AS_LIFEBLOOD_DOCTRINE.md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6_4_FIELD_ORIGIN_PRINCIPLES.md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6_5_EMPTY_NOTE_DOCTRINE.md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7_GOVERNANCE_ETHICS_PACK/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7_1_PDPA_FLOW.md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7_2_CUSTODIAN_RULES.md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7_3_DATA_OWNER_GUARDIAN_CODE.md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7_4_HUMAN_AI_CONTRACT.md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8_SYSTEM_SCHEMA_PACK/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8_1_LAYER_ARCHITECTURE_L0_L6.md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8_2_SIGNAL_TO_INSIGHT_MAPPING.md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8_3_FIELD_TO_LAB_LOOP.md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8_4_REFLEX801_IDENTITY_LAYER.md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MASTER_INDEX_EN.md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