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shnuq3srqnn" w:id="0"/>
      <w:bookmarkEnd w:id="0"/>
      <w:r w:rsidDel="00000000" w:rsidR="00000000" w:rsidRPr="00000000">
        <w:rPr>
          <w:rtl w:val="0"/>
        </w:rPr>
        <w:t xml:space="preserve">Urban Tree Data Standard (Draft)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hchvyh5qrr8" w:id="1"/>
      <w:bookmarkEnd w:id="1"/>
      <w:r w:rsidDel="00000000" w:rsidR="00000000" w:rsidRPr="00000000">
        <w:rPr>
          <w:rtl w:val="0"/>
        </w:rPr>
        <w:t xml:space="preserve">Summary table: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2"/>
        <w:gridCol w:w="5130"/>
        <w:gridCol w:w="1260"/>
        <w:gridCol w:w="1260"/>
        <w:tblGridChange w:id="0">
          <w:tblGrid>
            <w:gridCol w:w="1952"/>
            <w:gridCol w:w="5130"/>
            <w:gridCol w:w="1260"/>
            <w:gridCol w:w="12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(associated with data collector)</w:t>
            </w:r>
          </w:p>
        </w:tc>
        <w:tc>
          <w:tcPr>
            <w:tcBorders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  <w:tc>
          <w:tcPr>
            <w:tcBorders>
              <w:lef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format</w:t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Specify (e.g. dd-mm-yy, dd-mm-yyyy etc.)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 format</w:t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Specify Lat-Long; BNG; OSGB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Collector status</w:t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 data field: Novice/Beginner/Experienced/ Expert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level</w:t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 data field: Basic/Full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nearest metre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Within nearest identifiable named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Minimum of Genus name. For Full standard should include species, may include cultivar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DBH/CBH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nearest centimetre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 shape: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Column/Oval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Cube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nearest metre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Canopy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and top of canopy to nearest metre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Canopy 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extent of canopy to nearest metre, measured from cardinal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Canopy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Proportion of full canopy missing: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0-5%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5-25%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25-50%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50-75%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75-100%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Canopy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 of canopy present: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Excellent:&lt;5% affected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Good: 5-10% affected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Fair: 10-25% affected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Poor: 25-50% affected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poor: &gt;50% affected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Canopy damage 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Suspected factor affecting canopy condition: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Vertebrate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(viral/bacterial)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Weather/lightning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Trunk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Excellent: no significant signs of disease, damage or decay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Good: 1-10% of trunk has sign of disease, damage or decay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Fair: 10-25%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Poor: 25-50%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Very poor: &gt;50%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Trunk damage 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Mechanical (strimmer or lawnmower)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 tie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Vandalism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Weather/lightning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