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Anhang Y: Stationaritätsprüfung der Sentiment-Features</w:t>
      </w:r>
    </w:p>
    <w:p>
      <w:pPr>
        <w:pStyle w:val="Heading2"/>
        <w:spacing w:after="160" w:before="280"/>
      </w:pPr>
      <w:r>
        <w:rPr>
          <w:rFonts w:ascii="Times New Roman" w:cs="Times New Roman" w:eastAsia="Times New Roman" w:hAnsi="Times New Roman"/>
          <w:b/>
          <w:bCs/>
          <w:sz w:val="26"/>
          <w:szCs w:val="26"/>
        </w:rPr>
        <w:t xml:space="preserve">Y.1 Methodische Grundlage</w:t>
      </w:r>
    </w:p>
    <w:p>
      <w:pPr>
        <w:spacing w:after="120" w:line="276"/>
      </w:pPr>
      <w:r>
        <w:rPr>
          <w:rFonts w:ascii="Times New Roman" w:cs="Times New Roman" w:eastAsia="Times New Roman" w:hAnsi="Times New Roman"/>
          <w:sz w:val="24"/>
          <w:szCs w:val="24"/>
        </w:rPr>
        <w:t xml:space="preserve">Vor dem Einsatz der aggregierten Sentiment-Features als Inputvariablen für die Klassifikationsmodelle (logistische Regression und flaches MLP) wird die Stationarität aller Zeitreihen geprüft. Nicht-stationäre Zeitreihen können zu Scheinregressionen (spurious regressions) führen, bei denen statistisch signifikante Zusammenhänge zwischen unabhängigen Variablen auftreten, die lediglich auf gemeinsame stochastische Trends zurückzuführen sind (Granger &amp; Newbold, 1974). Für die logistische Regression ist Stationarität besonders relevant, da das Modell stabile Zusammenhänge zwischen Features und Zielvariable voraussetzt — ein zeitlich driftender Feature-Mittelwert verletzt diese Annahme und kann zu instabilen Koeffizienten führen (Tsay, 2010). Für das MLP gilt das Argument abgeschwächt, da neuronale Netze nichtlineare Zusammenhänge abbilden können, aber auch hier verbessern stationäre Inputs die Generalisierung auf Out-of-Sample-Daten, wenn sich die Feature-Verteilungen zwischen Trainings- und Testperiode nicht systematisch verschieben.</w:t>
      </w:r>
    </w:p>
    <w:p>
      <w:pPr>
        <w:spacing w:after="120" w:line="276"/>
      </w:pPr>
      <w:r>
        <w:rPr>
          <w:rFonts w:ascii="Times New Roman" w:cs="Times New Roman" w:eastAsia="Times New Roman" w:hAnsi="Times New Roman"/>
          <w:sz w:val="24"/>
          <w:szCs w:val="24"/>
        </w:rPr>
        <w:t xml:space="preserve">In der Kryptosentiment-Literatur hat sich die Stationaritätsprüfung als Standardschritt vor Kausalitätsanalysen etabliert. Kraaijeveld und De Smedt (2020) führten ADF-Tests auf allen Sentiment- und Renditezeitreihen durch, bevor sie Granger-Kausalitätstests zwischen Twitter-Sentiment und Kryptowährungsrenditen durchführten. Zhumagaziyev (2023) übernahm dasselbe Vorgehen für Reddit-basierte Bitcoin-Sentiment-Daten. Prajapati (2022) verwendete ADF-Tests für Twitter-Sentiment-Zeitreihen zu Dogecoin und Ethereum und schloss erst nach bestätigter Stationarität auf Granger-Kausalität.</w:t>
      </w:r>
    </w:p>
    <w:p>
      <w:pPr>
        <w:spacing w:after="120" w:line="276"/>
      </w:pPr>
      <w:r>
        <w:rPr>
          <w:rFonts w:ascii="Times New Roman" w:cs="Times New Roman" w:eastAsia="Times New Roman" w:hAnsi="Times New Roman"/>
          <w:sz w:val="24"/>
          <w:szCs w:val="24"/>
        </w:rPr>
        <w:t xml:space="preserve">Die vorliegende Arbeit erweitert dieses Vorgehen um zwei zusätzliche Tests: den KPSS-Test als Gegenprobe zum ADF und den Zivot-Andrews-Test zur Erkennung von Strukturbrüchen.</w:t>
      </w:r>
    </w:p>
    <w:p>
      <w:pPr>
        <w:pStyle w:val="Heading2"/>
        <w:spacing w:after="160" w:before="280"/>
      </w:pPr>
      <w:r>
        <w:rPr>
          <w:rFonts w:ascii="Times New Roman" w:cs="Times New Roman" w:eastAsia="Times New Roman" w:hAnsi="Times New Roman"/>
          <w:b/>
          <w:bCs/>
          <w:sz w:val="26"/>
          <w:szCs w:val="26"/>
        </w:rPr>
        <w:t xml:space="preserve">Y.2 Testverfahren</w:t>
      </w:r>
    </w:p>
    <w:p>
      <w:pPr>
        <w:spacing w:after="120" w:line="276"/>
      </w:pPr>
      <w:r>
        <w:rPr>
          <w:rFonts w:ascii="Times New Roman" w:cs="Times New Roman" w:eastAsia="Times New Roman" w:hAnsi="Times New Roman"/>
          <w:b/>
          <w:bCs/>
          <w:sz w:val="24"/>
          <w:szCs w:val="24"/>
        </w:rPr>
        <w:t xml:space="preserve">Augmented Dickey-Fuller (ADF) Test. </w:t>
      </w:r>
      <w:r>
        <w:rPr>
          <w:rFonts w:ascii="Times New Roman" w:cs="Times New Roman" w:eastAsia="Times New Roman" w:hAnsi="Times New Roman"/>
          <w:sz w:val="24"/>
          <w:szCs w:val="24"/>
        </w:rPr>
        <w:t xml:space="preserve">Der ADF-Test (Dickey &amp; Fuller, 1979, erweitert von Said &amp; Dickey, 1984) prüft die Nullhypothese, dass die Zeitreihe eine Einheitswurzel (Unit Root) besitzt und damit nicht-stationär ist. Die Testgleichung lautet:</w:t>
      </w:r>
    </w:p>
    <w:p>
      <w:pPr>
        <w:spacing w:after="200" w:before="200"/>
        <w:jc w:val="center"/>
      </w:pPr>
      <w:r>
        <w:rPr>
          <w:rFonts w:ascii="Cambria Math" w:cs="Cambria Math" w:eastAsia="Cambria Math" w:hAnsi="Cambria Math"/>
          <w:i/>
          <w:iCs/>
          <w:sz w:val="22"/>
          <w:szCs w:val="22"/>
        </w:rPr>
        <w:t xml:space="preserve">Δyₜ = α + βt + γyₜ₋₁ + ΣᵈᵢΔyₜ₋ᵢ + εₜ</w:t>
      </w:r>
    </w:p>
    <w:p>
      <w:pPr>
        <w:spacing w:after="120" w:line="276"/>
      </w:pPr>
      <w:r>
        <w:rPr>
          <w:rFonts w:ascii="Times New Roman" w:cs="Times New Roman" w:eastAsia="Times New Roman" w:hAnsi="Times New Roman"/>
          <w:sz w:val="24"/>
          <w:szCs w:val="24"/>
        </w:rPr>
        <w:t xml:space="preserve">wobei die Nullhypothese H₀: γ = 0 (Einheitswurzel vorhanden) gegen die Alternative H₁: γ &lt; 0 (stationär) getestet wird. Die optimale Lag-Länge wird über das Akaike-Informationskriterium (AIC) bestimmt. Bei einem p-Wert &lt; 0,05 wird die Nullhypothese verworfen und die Reihe als stationär eingestuft.</w:t>
      </w:r>
    </w:p>
    <w:p>
      <w:pPr>
        <w:spacing w:after="120" w:line="276"/>
      </w:pPr>
      <w:r>
        <w:rPr>
          <w:rFonts w:ascii="Times New Roman" w:cs="Times New Roman" w:eastAsia="Times New Roman" w:hAnsi="Times New Roman"/>
          <w:b/>
          <w:bCs/>
          <w:sz w:val="24"/>
          <w:szCs w:val="24"/>
        </w:rPr>
        <w:t xml:space="preserve">Kwiatkowski-Phillips-Schmidt-Shin (KPSS) Test. </w:t>
      </w:r>
      <w:r>
        <w:rPr>
          <w:rFonts w:ascii="Times New Roman" w:cs="Times New Roman" w:eastAsia="Times New Roman" w:hAnsi="Times New Roman"/>
          <w:sz w:val="24"/>
          <w:szCs w:val="24"/>
        </w:rPr>
        <w:t xml:space="preserve">Der KPSS-Test (Kwiatkowski et al., 1992) kehrt die Testlogik um: Die Nullhypothese lautet, dass die Reihe stationär ist, die Alternative, dass sie eine Einheitswurzel besitzt. Diese Umkehrung ist methodisch relevant, weil ein einzelner Test mit asymmetrischer Hypothesenstruktur zu einseitigen Fehlschlüssen führen kann. Erst die Kombination beider Tests ermöglicht eine zuverlässige Klassifikation (Elder &amp; Kennedy, 2001):</w:t>
      </w:r>
    </w:p>
    <w:p>
      <w:pPr>
        <w:pStyle w:val="ListParagraph"/>
        <w:numPr>
          <w:ilvl w:val="0"/>
          <w:numId w:val="2"/>
        </w:numPr>
        <w:spacing w:after="80" w:line="276"/>
      </w:pPr>
      <w:r>
        <w:rPr>
          <w:rFonts w:ascii="Times New Roman" w:cs="Times New Roman" w:eastAsia="Times New Roman" w:hAnsi="Times New Roman"/>
          <w:b/>
          <w:bCs/>
          <w:sz w:val="24"/>
          <w:szCs w:val="24"/>
        </w:rPr>
        <w:t xml:space="preserve">Fall 1</w:t>
      </w:r>
      <w:r>
        <w:rPr>
          <w:rFonts w:ascii="Times New Roman" w:cs="Times New Roman" w:eastAsia="Times New Roman" w:hAnsi="Times New Roman"/>
          <w:sz w:val="24"/>
          <w:szCs w:val="24"/>
        </w:rPr>
        <w:t xml:space="preserve">: ADF verwirft, KPSS verwirft nicht → stationär</w:t>
      </w:r>
    </w:p>
    <w:p>
      <w:pPr>
        <w:pStyle w:val="ListParagraph"/>
        <w:numPr>
          <w:ilvl w:val="0"/>
          <w:numId w:val="2"/>
        </w:numPr>
        <w:spacing w:after="80" w:line="276"/>
      </w:pPr>
      <w:r>
        <w:rPr>
          <w:rFonts w:ascii="Times New Roman" w:cs="Times New Roman" w:eastAsia="Times New Roman" w:hAnsi="Times New Roman"/>
          <w:b/>
          <w:bCs/>
          <w:sz w:val="24"/>
          <w:szCs w:val="24"/>
        </w:rPr>
        <w:t xml:space="preserve">Fall 2</w:t>
      </w:r>
      <w:r>
        <w:rPr>
          <w:rFonts w:ascii="Times New Roman" w:cs="Times New Roman" w:eastAsia="Times New Roman" w:hAnsi="Times New Roman"/>
          <w:sz w:val="24"/>
          <w:szCs w:val="24"/>
        </w:rPr>
        <w:t xml:space="preserve">: ADF verwirft nicht, KPSS verwirft → nicht-stationär</w:t>
      </w:r>
    </w:p>
    <w:p>
      <w:pPr>
        <w:pStyle w:val="ListParagraph"/>
        <w:numPr>
          <w:ilvl w:val="0"/>
          <w:numId w:val="2"/>
        </w:numPr>
        <w:spacing w:after="80" w:line="276"/>
      </w:pPr>
      <w:r>
        <w:rPr>
          <w:rFonts w:ascii="Times New Roman" w:cs="Times New Roman" w:eastAsia="Times New Roman" w:hAnsi="Times New Roman"/>
          <w:b/>
          <w:bCs/>
          <w:sz w:val="24"/>
          <w:szCs w:val="24"/>
        </w:rPr>
        <w:t xml:space="preserve">Fall 3</w:t>
      </w:r>
      <w:r>
        <w:rPr>
          <w:rFonts w:ascii="Times New Roman" w:cs="Times New Roman" w:eastAsia="Times New Roman" w:hAnsi="Times New Roman"/>
          <w:sz w:val="24"/>
          <w:szCs w:val="24"/>
        </w:rPr>
        <w:t xml:space="preserve">: Beide verwerfen → trendstationär (stationär um einen deterministischen Trend)</w:t>
      </w:r>
    </w:p>
    <w:p>
      <w:pPr>
        <w:pStyle w:val="ListParagraph"/>
        <w:numPr>
          <w:ilvl w:val="0"/>
          <w:numId w:val="2"/>
        </w:numPr>
        <w:spacing w:after="120" w:line="276"/>
      </w:pPr>
      <w:r>
        <w:rPr>
          <w:rFonts w:ascii="Times New Roman" w:cs="Times New Roman" w:eastAsia="Times New Roman" w:hAnsi="Times New Roman"/>
          <w:b/>
          <w:bCs/>
          <w:sz w:val="24"/>
          <w:szCs w:val="24"/>
        </w:rPr>
        <w:t xml:space="preserve">Fall 4</w:t>
      </w:r>
      <w:r>
        <w:rPr>
          <w:rFonts w:ascii="Times New Roman" w:cs="Times New Roman" w:eastAsia="Times New Roman" w:hAnsi="Times New Roman"/>
          <w:sz w:val="24"/>
          <w:szCs w:val="24"/>
        </w:rPr>
        <w:t xml:space="preserve">: Keiner verwirft → kein eindeutiges Ergebnis</w:t>
      </w:r>
    </w:p>
    <w:p>
      <w:pPr>
        <w:spacing w:after="120" w:line="276"/>
      </w:pPr>
      <w:r>
        <w:rPr>
          <w:rFonts w:ascii="Times New Roman" w:cs="Times New Roman" w:eastAsia="Times New Roman" w:hAnsi="Times New Roman"/>
          <w:b/>
          <w:bCs/>
          <w:sz w:val="24"/>
          <w:szCs w:val="24"/>
        </w:rPr>
        <w:t xml:space="preserve">Zivot-Andrews (ZA) Test. </w:t>
      </w:r>
      <w:r>
        <w:rPr>
          <w:rFonts w:ascii="Times New Roman" w:cs="Times New Roman" w:eastAsia="Times New Roman" w:hAnsi="Times New Roman"/>
          <w:sz w:val="24"/>
          <w:szCs w:val="24"/>
        </w:rPr>
        <w:t xml:space="preserve">Der Zivot-Andrews-Test (Zivot &amp; Andrews, 1992) erweitert den ADF-Test um einen endogen bestimmten Strukturbruch. Dies ist für den Untersuchungszeitraum (2022) direkt relevant: Der Terra/Luna-Crash im Mai 2022 und der FTX-Kollaps im November 2022 könnten Niveauverschiebungen in den Sentiment-Zeitreihen verursacht haben. Ein Standard-ADF-Test kann in Gegenwart solcher Strukturbrüche fälschlicherweise eine Einheitswurzel diagnostizieren (Perron, 1989). Der ZA-Test scannt alle möglichen Bruchpunkte und wählt denjenigen, an dem die Evidenz für eine Einheitswurzel am stärksten ist. Wird die Nullhypothese dennoch verworfen, ist die Reihe stationär mit Strukturbruch. Zusätzlich liefert der Test das Datum des identifizierten Bruchpunkts.</w:t>
      </w:r>
    </w:p>
    <w:p>
      <w:pPr>
        <w:spacing w:after="120" w:line="276"/>
      </w:pPr>
      <w:r>
        <w:rPr>
          <w:rFonts w:ascii="Times New Roman" w:cs="Times New Roman" w:eastAsia="Times New Roman" w:hAnsi="Times New Roman"/>
          <w:sz w:val="24"/>
          <w:szCs w:val="24"/>
        </w:rPr>
        <w:t xml:space="preserve">Der ZA-Test wird nur auf die täglichen Zeitreihen der sechs volumenstärksten Ticker angewendet, da er eine Mindestanzahl an Beobachtungen benötigt (hier: n ≥ 50) und auf hochfrequenten Daten (15 min, 1 h) rechnerisch aufwendig und methodisch weniger aussagekräftig ist.</w:t>
      </w:r>
    </w:p>
    <w:p>
      <w:pPr>
        <w:pStyle w:val="Heading2"/>
        <w:spacing w:after="160" w:before="280"/>
      </w:pPr>
      <w:r>
        <w:rPr>
          <w:rFonts w:ascii="Times New Roman" w:cs="Times New Roman" w:eastAsia="Times New Roman" w:hAnsi="Times New Roman"/>
          <w:b/>
          <w:bCs/>
          <w:sz w:val="26"/>
          <w:szCs w:val="26"/>
        </w:rPr>
        <w:t xml:space="preserve">Y.3 Getestete Features</w:t>
      </w:r>
    </w:p>
    <w:p>
      <w:pPr>
        <w:spacing w:after="120" w:line="276"/>
      </w:pPr>
      <w:r>
        <w:rPr>
          <w:rFonts w:ascii="Times New Roman" w:cs="Times New Roman" w:eastAsia="Times New Roman" w:hAnsi="Times New Roman"/>
          <w:sz w:val="24"/>
          <w:szCs w:val="24"/>
        </w:rPr>
        <w:t xml:space="preserve">Die Stationaritätsprüfung wird für alle drei Sentiment-Modelle (VADER, FinBERT, CryptoBERT) und die folgenden aggregierten Metriken durchgeführt, jeweils pro Ticker und Zeithorizont (15 min, 1 h, 1 d):</w:t>
      </w:r>
    </w:p>
    <w:p>
      <w:pPr>
        <w:pStyle w:val="ListParagraph"/>
        <w:numPr>
          <w:ilvl w:val="0"/>
          <w:numId w:val="2"/>
        </w:numPr>
        <w:spacing w:after="60" w:line="276"/>
      </w:pPr>
      <w:r>
        <w:rPr>
          <w:rFonts w:ascii="Times New Roman" w:cs="Times New Roman" w:eastAsia="Times New Roman" w:hAnsi="Times New Roman"/>
          <w:sz w:val="24"/>
          <w:szCs w:val="24"/>
        </w:rPr>
        <w:t xml:space="preserve">title_score_mean — ungewichteter Mittelwert des Title-Sentiment-Scores</w:t>
      </w:r>
    </w:p>
    <w:p>
      <w:pPr>
        <w:pStyle w:val="ListParagraph"/>
        <w:numPr>
          <w:ilvl w:val="0"/>
          <w:numId w:val="2"/>
        </w:numPr>
        <w:spacing w:after="60" w:line="276"/>
      </w:pPr>
      <w:r>
        <w:rPr>
          <w:rFonts w:ascii="Times New Roman" w:cs="Times New Roman" w:eastAsia="Times New Roman" w:hAnsi="Times New Roman"/>
          <w:sz w:val="24"/>
          <w:szCs w:val="24"/>
        </w:rPr>
        <w:t xml:space="preserve">title_score_weighted_mean — engagement-gewichteter Mittelwert (np.average mit Upvote/Comment-Gewichten)</w:t>
      </w:r>
    </w:p>
    <w:p>
      <w:pPr>
        <w:pStyle w:val="ListParagraph"/>
        <w:numPr>
          <w:ilvl w:val="0"/>
          <w:numId w:val="2"/>
        </w:numPr>
        <w:spacing w:after="60" w:line="276"/>
      </w:pPr>
      <w:r>
        <w:rPr>
          <w:rFonts w:ascii="Times New Roman" w:cs="Times New Roman" w:eastAsia="Times New Roman" w:hAnsi="Times New Roman"/>
          <w:sz w:val="24"/>
          <w:szCs w:val="24"/>
        </w:rPr>
        <w:t xml:space="preserve">combined_score_mean — gewichtete Kombination aus Title (70 %) und Selftext (30 %)</w:t>
      </w:r>
    </w:p>
    <w:p>
      <w:pPr>
        <w:pStyle w:val="ListParagraph"/>
        <w:numPr>
          <w:ilvl w:val="0"/>
          <w:numId w:val="2"/>
        </w:numPr>
        <w:spacing w:after="60" w:line="276"/>
      </w:pPr>
      <w:r>
        <w:rPr>
          <w:rFonts w:ascii="Times New Roman" w:cs="Times New Roman" w:eastAsia="Times New Roman" w:hAnsi="Times New Roman"/>
          <w:sz w:val="24"/>
          <w:szCs w:val="24"/>
        </w:rPr>
        <w:t xml:space="preserve">combined_score_weighted_mean — engagement-gewichtete Version des Combined-Scores</w:t>
      </w:r>
    </w:p>
    <w:p>
      <w:pPr>
        <w:pStyle w:val="ListParagraph"/>
        <w:numPr>
          <w:ilvl w:val="0"/>
          <w:numId w:val="2"/>
        </w:numPr>
        <w:spacing w:after="60" w:line="276"/>
      </w:pPr>
      <w:r>
        <w:rPr>
          <w:rFonts w:ascii="Times New Roman" w:cs="Times New Roman" w:eastAsia="Times New Roman" w:hAnsi="Times New Roman"/>
          <w:sz w:val="24"/>
          <w:szCs w:val="24"/>
        </w:rPr>
        <w:t xml:space="preserve">selftext_score_mean — Mittelwert des Selftext-Scores (nur Posts mit nutzbarem Selftext)</w:t>
      </w:r>
    </w:p>
    <w:p>
      <w:pPr>
        <w:pStyle w:val="ListParagraph"/>
        <w:numPr>
          <w:ilvl w:val="0"/>
          <w:numId w:val="2"/>
        </w:numPr>
        <w:spacing w:after="60" w:line="276"/>
      </w:pPr>
      <w:r>
        <w:rPr>
          <w:rFonts w:ascii="Times New Roman" w:cs="Times New Roman" w:eastAsia="Times New Roman" w:hAnsi="Times New Roman"/>
          <w:sz w:val="24"/>
          <w:szCs w:val="24"/>
        </w:rPr>
        <w:t xml:space="preserve">bullishness_ratio — Anteil positiver Posts an allen nicht-neutralen Posts</w:t>
      </w:r>
    </w:p>
    <w:p>
      <w:pPr>
        <w:pStyle w:val="ListParagraph"/>
        <w:numPr>
          <w:ilvl w:val="0"/>
          <w:numId w:val="2"/>
        </w:numPr>
        <w:spacing w:after="120" w:line="276"/>
      </w:pPr>
      <w:r>
        <w:rPr>
          <w:rFonts w:ascii="Times New Roman" w:cs="Times New Roman" w:eastAsia="Times New Roman" w:hAnsi="Times New Roman"/>
          <w:sz w:val="24"/>
          <w:szCs w:val="24"/>
        </w:rPr>
        <w:t xml:space="preserve">post_count — Postvolumen im Zeitintervall (unbegrenzt, höheres Unit-Root-Risiko)</w:t>
      </w:r>
    </w:p>
    <w:p>
      <w:pPr>
        <w:spacing w:after="120" w:line="276"/>
      </w:pPr>
      <w:r>
        <w:rPr>
          <w:rFonts w:ascii="Times New Roman" w:cs="Times New Roman" w:eastAsia="Times New Roman" w:hAnsi="Times New Roman"/>
          <w:sz w:val="24"/>
          <w:szCs w:val="24"/>
        </w:rPr>
        <w:t xml:space="preserve">Insgesamt ergeben sich pro Zeithorizont 26 Ticker × 19 Features = 494 Tests (ADF + KPSS), zuzüglich ZA-Tests für die sechs Top-Ticker auf Tagesebene.</w:t>
      </w:r>
    </w:p>
    <w:p>
      <w:pPr>
        <w:pStyle w:val="Heading2"/>
        <w:spacing w:after="160" w:before="280"/>
      </w:pPr>
      <w:r>
        <w:rPr>
          <w:rFonts w:ascii="Times New Roman" w:cs="Times New Roman" w:eastAsia="Times New Roman" w:hAnsi="Times New Roman"/>
          <w:b/>
          <w:bCs/>
          <w:sz w:val="26"/>
          <w:szCs w:val="26"/>
        </w:rPr>
        <w:t xml:space="preserve">Y.4 Erwartungen</w:t>
      </w:r>
    </w:p>
    <w:p>
      <w:pPr>
        <w:spacing w:after="120" w:line="276"/>
      </w:pPr>
      <w:r>
        <w:rPr>
          <w:rFonts w:ascii="Times New Roman" w:cs="Times New Roman" w:eastAsia="Times New Roman" w:hAnsi="Times New Roman"/>
          <w:sz w:val="24"/>
          <w:szCs w:val="24"/>
        </w:rPr>
        <w:t xml:space="preserve">Sentiment-Scores sind auf das Intervall [−1, +1] begrenzt und können daher per Definition keinen echten stochastischen Trend aufweisen — anders als etwa Aktienkurse oder Handelsvolumina. Es ist deshalb zu erwarten, dass der ADF-Test für die Sentiment-Features in der Mehrzahl die Nullhypothese verwirft. Fälle von Nicht-Stationarität können bei dünnen Daten auftreten (z. B. Ticker mit weniger als 5 Posts pro Tag), wo die Reihe stark von Einzelbeobachtungen getrieben wird, oder bei post_count, das unbegrenzt ist und mit Marktvolatilät korreliert.</w:t>
      </w:r>
    </w:p>
    <w:p>
      <w:pPr>
        <w:spacing w:after="120" w:line="276"/>
      </w:pPr>
      <w:r>
        <w:rPr>
          <w:rFonts w:ascii="Times New Roman" w:cs="Times New Roman" w:eastAsia="Times New Roman" w:hAnsi="Times New Roman"/>
          <w:sz w:val="24"/>
          <w:szCs w:val="24"/>
        </w:rPr>
        <w:t xml:space="preserve">Die Rolling-Statistics-Plots dienen als qualitative Ergänzung: Selbst wenn eine Reihe formal stationär ist, können visuell erkennbare Regime-Shifts (etwa nach dem Terra/Luna-Crash) auf bedingte Instationarität hinweisen, die sich in einem globalen ADF-Test nicht niederschlägt.</w:t>
      </w:r>
    </w:p>
    <w:p>
      <w:pPr>
        <w:pStyle w:val="Heading2"/>
        <w:spacing w:after="160" w:before="280"/>
      </w:pPr>
      <w:r>
        <w:rPr>
          <w:rFonts w:ascii="Times New Roman" w:cs="Times New Roman" w:eastAsia="Times New Roman" w:hAnsi="Times New Roman"/>
          <w:b/>
          <w:bCs/>
          <w:sz w:val="26"/>
          <w:szCs w:val="26"/>
        </w:rPr>
        <w:t xml:space="preserve">Y.5 Umgang mit Nicht-Stationarität</w:t>
      </w:r>
    </w:p>
    <w:p>
      <w:pPr>
        <w:spacing w:after="120" w:line="276"/>
      </w:pPr>
      <w:r>
        <w:rPr>
          <w:rFonts w:ascii="Times New Roman" w:cs="Times New Roman" w:eastAsia="Times New Roman" w:hAnsi="Times New Roman"/>
          <w:sz w:val="24"/>
          <w:szCs w:val="24"/>
        </w:rPr>
        <w:t xml:space="preserve">Sollten einzelne Features als nicht-stationär identifiziert werden, stehen mehrere Transformationsoptionen zur Verfügung: Differenzierung erster Ordnung (Δxₜ = xₜ − xₜ₋₁), logarithmische Transformation für post_count (log(1 + count)), oder Detrending durch Subtraktion eines gleitenden Durchschnitts. Die Wahl wird im Hauptteil der Arbeit dokumentiert.</w:t>
      </w:r>
    </w:p>
    <w:p>
      <w:pPr>
        <w:pStyle w:val="Heading2"/>
        <w:spacing w:after="160" w:before="280"/>
      </w:pPr>
      <w:r>
        <w:rPr>
          <w:rFonts w:ascii="Times New Roman" w:cs="Times New Roman" w:eastAsia="Times New Roman" w:hAnsi="Times New Roman"/>
          <w:b/>
          <w:bCs/>
          <w:sz w:val="26"/>
          <w:szCs w:val="26"/>
        </w:rPr>
        <w:t xml:space="preserve">Literaturverzeichnis (Anhang)</w:t>
      </w:r>
    </w:p>
    <w:p>
      <w:pPr>
        <w:spacing w:after="80" w:line="276"/>
        <w:ind w:left="480" w:hanging="480"/>
      </w:pPr>
      <w:r>
        <w:rPr>
          <w:rFonts w:ascii="Times New Roman" w:cs="Times New Roman" w:eastAsia="Times New Roman" w:hAnsi="Times New Roman"/>
          <w:sz w:val="24"/>
          <w:szCs w:val="24"/>
        </w:rPr>
        <w:t xml:space="preserve">Dickey, D. A., &amp; Fuller, W. A. (1979). Distribution of the estimators for autoregressive time series with a unit root. </w:t>
      </w:r>
      <w:r>
        <w:rPr>
          <w:rFonts w:ascii="Times New Roman" w:cs="Times New Roman" w:eastAsia="Times New Roman" w:hAnsi="Times New Roman"/>
          <w:i/>
          <w:iCs/>
          <w:sz w:val="24"/>
          <w:szCs w:val="24"/>
        </w:rPr>
        <w:t xml:space="preserve">Journal of the American Statistical Association</w:t>
      </w:r>
      <w:r>
        <w:rPr>
          <w:rFonts w:ascii="Times New Roman" w:cs="Times New Roman" w:eastAsia="Times New Roman" w:hAnsi="Times New Roman"/>
          <w:sz w:val="24"/>
          <w:szCs w:val="24"/>
        </w:rPr>
        <w:t xml:space="preserve">, 74(366), 427–431.</w:t>
      </w:r>
    </w:p>
    <w:p>
      <w:pPr>
        <w:spacing w:after="80" w:line="276"/>
        <w:ind w:left="480" w:hanging="480"/>
      </w:pPr>
      <w:r>
        <w:rPr>
          <w:rFonts w:ascii="Times New Roman" w:cs="Times New Roman" w:eastAsia="Times New Roman" w:hAnsi="Times New Roman"/>
          <w:sz w:val="24"/>
          <w:szCs w:val="24"/>
        </w:rPr>
        <w:t xml:space="preserve">Elder, J., &amp; Kennedy, P. E. (2001). Testing for unit roots: What should students be taught? </w:t>
      </w:r>
      <w:r>
        <w:rPr>
          <w:rFonts w:ascii="Times New Roman" w:cs="Times New Roman" w:eastAsia="Times New Roman" w:hAnsi="Times New Roman"/>
          <w:i/>
          <w:iCs/>
          <w:sz w:val="24"/>
          <w:szCs w:val="24"/>
        </w:rPr>
        <w:t xml:space="preserve">Journal of Economic Education</w:t>
      </w:r>
      <w:r>
        <w:rPr>
          <w:rFonts w:ascii="Times New Roman" w:cs="Times New Roman" w:eastAsia="Times New Roman" w:hAnsi="Times New Roman"/>
          <w:sz w:val="24"/>
          <w:szCs w:val="24"/>
        </w:rPr>
        <w:t xml:space="preserve">, 32(2), 137–146.</w:t>
      </w:r>
    </w:p>
    <w:p>
      <w:pPr>
        <w:spacing w:after="80" w:line="276"/>
        <w:ind w:left="480" w:hanging="480"/>
      </w:pPr>
      <w:r>
        <w:rPr>
          <w:rFonts w:ascii="Times New Roman" w:cs="Times New Roman" w:eastAsia="Times New Roman" w:hAnsi="Times New Roman"/>
          <w:sz w:val="24"/>
          <w:szCs w:val="24"/>
        </w:rPr>
        <w:t xml:space="preserve">Granger, C. W. J., &amp; Newbold, P. (1974). Spurious regressions in econometrics. </w:t>
      </w:r>
      <w:r>
        <w:rPr>
          <w:rFonts w:ascii="Times New Roman" w:cs="Times New Roman" w:eastAsia="Times New Roman" w:hAnsi="Times New Roman"/>
          <w:i/>
          <w:iCs/>
          <w:sz w:val="24"/>
          <w:szCs w:val="24"/>
        </w:rPr>
        <w:t xml:space="preserve">Journal of Econometrics</w:t>
      </w:r>
      <w:r>
        <w:rPr>
          <w:rFonts w:ascii="Times New Roman" w:cs="Times New Roman" w:eastAsia="Times New Roman" w:hAnsi="Times New Roman"/>
          <w:sz w:val="24"/>
          <w:szCs w:val="24"/>
        </w:rPr>
        <w:t xml:space="preserve">, 2(2), 111–120.</w:t>
      </w:r>
    </w:p>
    <w:p>
      <w:pPr>
        <w:spacing w:after="80" w:line="276"/>
        <w:ind w:left="480" w:hanging="480"/>
      </w:pPr>
      <w:r>
        <w:rPr>
          <w:rFonts w:ascii="Times New Roman" w:cs="Times New Roman" w:eastAsia="Times New Roman" w:hAnsi="Times New Roman"/>
          <w:sz w:val="24"/>
          <w:szCs w:val="24"/>
        </w:rPr>
        <w:t xml:space="preserve">Kraaijeveld, O., &amp; De Smedt, J. (2020). The predictive power of public Twitter sentiment for forecasting cryptocurrency prices. </w:t>
      </w:r>
      <w:r>
        <w:rPr>
          <w:rFonts w:ascii="Times New Roman" w:cs="Times New Roman" w:eastAsia="Times New Roman" w:hAnsi="Times New Roman"/>
          <w:i/>
          <w:iCs/>
          <w:sz w:val="24"/>
          <w:szCs w:val="24"/>
        </w:rPr>
        <w:t xml:space="preserve">Journal of International Financial Markets, Institutions and Money</w:t>
      </w:r>
      <w:r>
        <w:rPr>
          <w:rFonts w:ascii="Times New Roman" w:cs="Times New Roman" w:eastAsia="Times New Roman" w:hAnsi="Times New Roman"/>
          <w:sz w:val="24"/>
          <w:szCs w:val="24"/>
        </w:rPr>
        <w:t xml:space="preserve">, 65, 101188.</w:t>
      </w:r>
    </w:p>
    <w:p>
      <w:pPr>
        <w:spacing w:after="80" w:line="276"/>
        <w:ind w:left="480" w:hanging="480"/>
      </w:pPr>
      <w:r>
        <w:rPr>
          <w:rFonts w:ascii="Times New Roman" w:cs="Times New Roman" w:eastAsia="Times New Roman" w:hAnsi="Times New Roman"/>
          <w:sz w:val="24"/>
          <w:szCs w:val="24"/>
        </w:rPr>
        <w:t xml:space="preserve">Kwiatkowski, D., Phillips, P. C. B., Schmidt, P., &amp; Shin, Y. (1992). Testing the null hypothesis of stationarity against the alternative of a unit root. </w:t>
      </w:r>
      <w:r>
        <w:rPr>
          <w:rFonts w:ascii="Times New Roman" w:cs="Times New Roman" w:eastAsia="Times New Roman" w:hAnsi="Times New Roman"/>
          <w:i/>
          <w:iCs/>
          <w:sz w:val="24"/>
          <w:szCs w:val="24"/>
        </w:rPr>
        <w:t xml:space="preserve">Journal of Econometrics</w:t>
      </w:r>
      <w:r>
        <w:rPr>
          <w:rFonts w:ascii="Times New Roman" w:cs="Times New Roman" w:eastAsia="Times New Roman" w:hAnsi="Times New Roman"/>
          <w:sz w:val="24"/>
          <w:szCs w:val="24"/>
        </w:rPr>
        <w:t xml:space="preserve">, 54(1–3), 159–178.</w:t>
      </w:r>
    </w:p>
    <w:p>
      <w:pPr>
        <w:spacing w:after="80" w:line="276"/>
        <w:ind w:left="480" w:hanging="480"/>
      </w:pPr>
      <w:r>
        <w:rPr>
          <w:rFonts w:ascii="Times New Roman" w:cs="Times New Roman" w:eastAsia="Times New Roman" w:hAnsi="Times New Roman"/>
          <w:sz w:val="24"/>
          <w:szCs w:val="24"/>
        </w:rPr>
        <w:t xml:space="preserve">Tsay, R. S. (2010). </w:t>
      </w:r>
      <w:r>
        <w:rPr>
          <w:rFonts w:ascii="Times New Roman" w:cs="Times New Roman" w:eastAsia="Times New Roman" w:hAnsi="Times New Roman"/>
          <w:i/>
          <w:iCs/>
          <w:sz w:val="24"/>
          <w:szCs w:val="24"/>
        </w:rPr>
        <w:t xml:space="preserve">Analysis of Financial Time Series</w:t>
      </w:r>
      <w:r>
        <w:rPr>
          <w:rFonts w:ascii="Times New Roman" w:cs="Times New Roman" w:eastAsia="Times New Roman" w:hAnsi="Times New Roman"/>
          <w:sz w:val="24"/>
          <w:szCs w:val="24"/>
        </w:rPr>
        <w:t xml:space="preserve"> (3rd ed.). John Wiley &amp; Sons.</w:t>
      </w:r>
    </w:p>
    <w:p>
      <w:pPr>
        <w:spacing w:after="80" w:line="276"/>
        <w:ind w:left="480" w:hanging="480"/>
      </w:pPr>
      <w:r>
        <w:rPr>
          <w:rFonts w:ascii="Times New Roman" w:cs="Times New Roman" w:eastAsia="Times New Roman" w:hAnsi="Times New Roman"/>
          <w:sz w:val="24"/>
          <w:szCs w:val="24"/>
        </w:rPr>
        <w:t xml:space="preserve">Perron, P. (1989). The great crash, the oil price shock, and the unit root hypothesis.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57(6), 1361–1401.</w:t>
      </w:r>
    </w:p>
    <w:p>
      <w:pPr>
        <w:spacing w:after="80" w:line="276"/>
        <w:ind w:left="480" w:hanging="480"/>
      </w:pPr>
      <w:r>
        <w:rPr>
          <w:rFonts w:ascii="Times New Roman" w:cs="Times New Roman" w:eastAsia="Times New Roman" w:hAnsi="Times New Roman"/>
          <w:sz w:val="24"/>
          <w:szCs w:val="24"/>
        </w:rPr>
        <w:t xml:space="preserve">Prajapati, A. (2022). Effect of Twitter investor engagement on cryptocurrencies during the COVID-19 pandemic. </w:t>
      </w:r>
      <w:r>
        <w:rPr>
          <w:rFonts w:ascii="Times New Roman" w:cs="Times New Roman" w:eastAsia="Times New Roman" w:hAnsi="Times New Roman"/>
          <w:i/>
          <w:iCs/>
          <w:sz w:val="24"/>
          <w:szCs w:val="24"/>
        </w:rPr>
        <w:t xml:space="preserve">Frontiers in Applied Mathematics and Statistics</w:t>
      </w:r>
      <w:r>
        <w:rPr>
          <w:rFonts w:ascii="Times New Roman" w:cs="Times New Roman" w:eastAsia="Times New Roman" w:hAnsi="Times New Roman"/>
          <w:sz w:val="24"/>
          <w:szCs w:val="24"/>
        </w:rPr>
        <w:t xml:space="preserve">, 8, 1044632.</w:t>
      </w:r>
    </w:p>
    <w:p>
      <w:pPr>
        <w:spacing w:after="80" w:line="276"/>
        <w:ind w:left="480" w:hanging="480"/>
      </w:pPr>
      <w:r>
        <w:rPr>
          <w:rFonts w:ascii="Times New Roman" w:cs="Times New Roman" w:eastAsia="Times New Roman" w:hAnsi="Times New Roman"/>
          <w:sz w:val="24"/>
          <w:szCs w:val="24"/>
        </w:rPr>
        <w:t xml:space="preserve">Said, S. E., &amp; Dickey, D. A. (1984). Testing for unit roots in autoregressive-moving average models of unknown order. </w:t>
      </w:r>
      <w:r>
        <w:rPr>
          <w:rFonts w:ascii="Times New Roman" w:cs="Times New Roman" w:eastAsia="Times New Roman" w:hAnsi="Times New Roman"/>
          <w:i/>
          <w:iCs/>
          <w:sz w:val="24"/>
          <w:szCs w:val="24"/>
        </w:rPr>
        <w:t xml:space="preserve">Biometrika</w:t>
      </w:r>
      <w:r>
        <w:rPr>
          <w:rFonts w:ascii="Times New Roman" w:cs="Times New Roman" w:eastAsia="Times New Roman" w:hAnsi="Times New Roman"/>
          <w:sz w:val="24"/>
          <w:szCs w:val="24"/>
        </w:rPr>
        <w:t xml:space="preserve">, 71(3), 599–607.</w:t>
      </w:r>
    </w:p>
    <w:p>
      <w:pPr>
        <w:spacing w:after="80" w:line="276"/>
        <w:ind w:left="480" w:hanging="480"/>
      </w:pPr>
      <w:r>
        <w:rPr>
          <w:rFonts w:ascii="Times New Roman" w:cs="Times New Roman" w:eastAsia="Times New Roman" w:hAnsi="Times New Roman"/>
          <w:sz w:val="24"/>
          <w:szCs w:val="24"/>
        </w:rPr>
        <w:t xml:space="preserve">Zhumagaziyev, S. (2023). Can Reddit sentiment predict Bitcoin returns? </w:t>
      </w:r>
      <w:r>
        <w:rPr>
          <w:rFonts w:ascii="Times New Roman" w:cs="Times New Roman" w:eastAsia="Times New Roman" w:hAnsi="Times New Roman"/>
          <w:i/>
          <w:iCs/>
          <w:sz w:val="24"/>
          <w:szCs w:val="24"/>
        </w:rPr>
        <w:t xml:space="preserve">CEU eTD Collection</w:t>
      </w:r>
      <w:r>
        <w:rPr>
          <w:rFonts w:ascii="Times New Roman" w:cs="Times New Roman" w:eastAsia="Times New Roman" w:hAnsi="Times New Roman"/>
          <w:sz w:val="24"/>
          <w:szCs w:val="24"/>
        </w:rPr>
        <w:t xml:space="preserve">, Central European University.</w:t>
      </w:r>
    </w:p>
    <w:p>
      <w:pPr>
        <w:spacing w:after="80" w:line="276"/>
        <w:ind w:left="480" w:hanging="480"/>
      </w:pPr>
      <w:r>
        <w:rPr>
          <w:rFonts w:ascii="Times New Roman" w:cs="Times New Roman" w:eastAsia="Times New Roman" w:hAnsi="Times New Roman"/>
          <w:sz w:val="24"/>
          <w:szCs w:val="24"/>
        </w:rPr>
        <w:t xml:space="preserve">Zivot, E., &amp; Andrews, D. W. K. (1992). Further evidence on the great crash, the oil-price shock, and the unit-root hypothesis. </w:t>
      </w:r>
      <w:r>
        <w:rPr>
          <w:rFonts w:ascii="Times New Roman" w:cs="Times New Roman" w:eastAsia="Times New Roman" w:hAnsi="Times New Roman"/>
          <w:i/>
          <w:iCs/>
          <w:sz w:val="24"/>
          <w:szCs w:val="24"/>
        </w:rPr>
        <w:t xml:space="preserve">Journal of Business &amp; Economic Statistics</w:t>
      </w:r>
      <w:r>
        <w:rPr>
          <w:rFonts w:ascii="Times New Roman" w:cs="Times New Roman" w:eastAsia="Times New Roman" w:hAnsi="Times New Roman"/>
          <w:sz w:val="24"/>
          <w:szCs w:val="24"/>
        </w:rPr>
        <w:t xml:space="preserve">, 20(1), 25–44.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2026-05-03T13:28:57.465Z</dcterms:created>
  <dcterms:modified xsi:type="dcterms:W3CDTF">2026-05-03T13:28:57.465Z</dcterms:modified>
</cp:coreProperties>
</file>

<file path=docProps/custom.xml><?xml version="1.0" encoding="utf-8"?>
<Properties xmlns="http://schemas.openxmlformats.org/officeDocument/2006/custom-properties" xmlns:vt="http://schemas.openxmlformats.org/officeDocument/2006/docPropsVTypes"/>
</file>