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Arial" w:cs="Arial" w:eastAsia="Arial" w:hAnsi="Arial"/>
          <w:b/>
          <w:bCs/>
          <w:sz w:val="28"/>
          <w:szCs w:val="28"/>
        </w:rPr>
        <w:t xml:space="preserve">Anhang Y: Persistenz- und Stationaritätsdiagnostik der Sentiment-Features</w:t>
      </w:r>
    </w:p>
    <w:p>
      <w:pPr>
        <w:pStyle w:val="Heading2"/>
        <w:spacing w:after="120" w:before="240"/>
      </w:pPr>
      <w:r>
        <w:rPr>
          <w:rFonts w:ascii="Arial" w:cs="Arial" w:eastAsia="Arial" w:hAnsi="Arial"/>
          <w:b/>
          <w:bCs/>
          <w:sz w:val="24"/>
          <w:szCs w:val="24"/>
        </w:rPr>
        <w:t xml:space="preserve">Y.1 Motivation und Einordnung</w:t>
      </w:r>
    </w:p>
    <w:p>
      <w:pPr>
        <w:spacing w:after="120" w:line="300"/>
        <w:jc w:val="both"/>
      </w:pPr>
      <w:r>
        <w:rPr>
          <w:rFonts w:ascii="Arial" w:cs="Arial" w:eastAsia="Arial" w:hAnsi="Arial"/>
          <w:sz w:val="22"/>
          <w:szCs w:val="22"/>
        </w:rPr>
        <w:t xml:space="preserve">Vor dem Einsatz der aggregierten Sentiment-Features als Inputs der Klassifikationsmodelle (logistische Regression und flaches MLP) sind zwei konzeptuell getrennte Eigenschaften der Zeitreihen zu prüfen: </w:t>
      </w:r>
      <w:r>
        <w:rPr>
          <w:rFonts w:ascii="Arial" w:cs="Arial" w:eastAsia="Arial" w:hAnsi="Arial"/>
          <w:b/>
          <w:bCs/>
          <w:sz w:val="22"/>
          <w:szCs w:val="22"/>
        </w:rPr>
        <w:t xml:space="preserve">Persistenzstruktur</w:t>
      </w:r>
      <w:r>
        <w:rPr>
          <w:rFonts w:ascii="Arial" w:cs="Arial" w:eastAsia="Arial" w:hAnsi="Arial"/>
          <w:sz w:val="22"/>
          <w:szCs w:val="22"/>
        </w:rPr>
        <w:t xml:space="preserve"> und </w:t>
      </w:r>
      <w:r>
        <w:rPr>
          <w:rFonts w:ascii="Arial" w:cs="Arial" w:eastAsia="Arial" w:hAnsi="Arial"/>
          <w:b/>
          <w:bCs/>
          <w:sz w:val="22"/>
          <w:szCs w:val="22"/>
        </w:rPr>
        <w:t xml:space="preserve">Verteilungsstabilität</w:t>
      </w:r>
      <w:r>
        <w:rPr>
          <w:rFonts w:ascii="Arial" w:cs="Arial" w:eastAsia="Arial" w:hAnsi="Arial"/>
          <w:sz w:val="22"/>
          <w:szCs w:val="22"/>
        </w:rPr>
        <w:t xml:space="preserve">. Beide werden im klassischen ADF-/KPSS-Vorgehen oft vermengt, sind für ein Klassifikationsproblem aber unterschiedlich relevant.</w:t>
      </w:r>
    </w:p>
    <w:p>
      <w:pPr>
        <w:spacing w:after="120" w:line="300"/>
        <w:jc w:val="both"/>
      </w:pPr>
      <w:r>
        <w:rPr>
          <w:rFonts w:ascii="Arial" w:cs="Arial" w:eastAsia="Arial" w:hAnsi="Arial"/>
          <w:sz w:val="22"/>
          <w:szCs w:val="22"/>
        </w:rPr>
        <w:t xml:space="preserve">Die Persistenzfrage adressiert die ökonometrische Eigenschaft der einzelnen Reihe. Da Sentiment-Mittelwerte auf [−1, +1] beschränkt sind, kann ihre unbedingte Varianz nicht divergieren; eine Einheitswurzel im strengen Sinne (Dickey &amp; Fuller 1979) ist a priori ausgeschlossen. Die methodisch belastbare Frage ist nicht die binäre I(1)/I(0)-Klassifikation, sondern der Grad der Persistenz im Bereich nahe der Einheitswurzel (Phillips 1987; Stock 1991), für den ADF nur unzureichende Macht besitzt. Aus diesem Grund wird DF-GLS (Elliott, Rothenberg &amp; Stock 1996) als Primärtest eingesetzt und durch den nichtparametrischen Phillips-Perron-Test (1988) ergänzt. ADF und KPSS dienen ausschließlich als konfirmative Diagnostik.</w:t>
      </w:r>
    </w:p>
    <w:p>
      <w:pPr>
        <w:spacing w:after="120" w:line="300"/>
        <w:jc w:val="both"/>
      </w:pPr>
      <w:r>
        <w:rPr>
          <w:rFonts w:ascii="Arial" w:cs="Arial" w:eastAsia="Arial" w:hAnsi="Arial"/>
          <w:sz w:val="22"/>
          <w:szCs w:val="22"/>
        </w:rPr>
        <w:t xml:space="preserve">Die Verteilungsfrage ist die für das Klassifikationsmodell unmittelbar handlungsrelevante. Die in Kapitel [X] gewählte Time-Series-Cross-Validation mit expandierendem Trainingsfenster setzt voraus, dass sich die gemeinsame Verteilung </w:t>
      </w:r>
      <w:r>
        <w:rPr>
          <w:rFonts w:ascii="Arial" w:cs="Arial" w:eastAsia="Arial" w:hAnsi="Arial"/>
          <w:sz w:val="22"/>
          <w:szCs w:val="22"/>
        </w:rPr>
        <w:t xml:space="preserve">P(X</w:t>
      </w:r>
      <w:r>
        <w:rPr>
          <w:rFonts w:ascii="Arial" w:cs="Arial" w:eastAsia="Arial" w:hAnsi="Arial"/>
          <w:sz w:val="22"/>
          <w:szCs w:val="22"/>
          <w:vertAlign w:val="subscript"/>
        </w:rPr>
        <w:t xml:space="preserve">t</w:t>
      </w:r>
      <w:r>
        <w:rPr>
          <w:rFonts w:ascii="Arial" w:cs="Arial" w:eastAsia="Arial" w:hAnsi="Arial"/>
          <w:sz w:val="22"/>
          <w:szCs w:val="22"/>
        </w:rPr>
        <w:t xml:space="preserve">, Y</w:t>
      </w:r>
      <w:r>
        <w:rPr>
          <w:rFonts w:ascii="Arial" w:cs="Arial" w:eastAsia="Arial" w:hAnsi="Arial"/>
          <w:sz w:val="22"/>
          <w:szCs w:val="22"/>
          <w:vertAlign w:val="subscript"/>
        </w:rPr>
        <w:t xml:space="preserve">t</w:t>
      </w:r>
      <w:r>
        <w:rPr>
          <w:rFonts w:ascii="Arial" w:cs="Arial" w:eastAsia="Arial" w:hAnsi="Arial"/>
          <w:sz w:val="22"/>
          <w:szCs w:val="22"/>
        </w:rPr>
        <w:t xml:space="preserve">) nicht systematisch zwischen den Folds verschiebt (Sugiyama, Krauledat &amp; Müller 2007). Eine Reihe kann formal stationär und gleichzeitig regimewechsel-anfällig sein – die ADF-Verwerfung sagt darüber nichts. Abschnitt Y.5 dokumentiert daher zusätzlich Verteilungsstabilitätstests (Kolmogorov-Smirnov, Cramér-von Mises) zwischen den Folds.</w:t>
      </w:r>
    </w:p>
    <w:p>
      <w:pPr>
        <w:spacing w:after="120" w:line="300"/>
        <w:jc w:val="both"/>
      </w:pPr>
      <w:r>
        <w:rPr>
          <w:rFonts w:ascii="Arial" w:cs="Arial" w:eastAsia="Arial" w:hAnsi="Arial"/>
          <w:i/>
          <w:iCs/>
          <w:sz w:val="22"/>
          <w:szCs w:val="22"/>
        </w:rPr>
        <w:t xml:space="preserve">Anmerkung zur Spurious-Regression-Argumentation. </w:t>
      </w:r>
      <w:r>
        <w:rPr>
          <w:rFonts w:ascii="Arial" w:cs="Arial" w:eastAsia="Arial" w:hAnsi="Arial"/>
          <w:sz w:val="22"/>
          <w:szCs w:val="22"/>
        </w:rPr>
        <w:t xml:space="preserve">Das klassische Argument von Granger und Newbold (1974) gilt für Niveau-OLS-Regressionen zweier I(1)-Reihen. Die Zielgröße der vorliegenden Arbeit ist eine binäre Richtungsindikatorvariable mit nur schwacher zeitlicher Persistenz. Eine logistische Regression mit persistenten Inputs auf eine schwach-persistente Zielgröße erzeugt nicht das textbook-Spurious-Regression-Phänomen. Die Persistenzdiagnostik wird im Folgenden daher nicht über das Spurious-Regression-Argument motiviert, sondern als Voraussetzung für die Interpretierbarkeit der Modellkoeffizienten und für die Identifikation jener Features, deren Verteilungsstruktur die Generalisierung gefährden könnte.</w:t>
      </w:r>
    </w:p>
    <w:p>
      <w:pPr>
        <w:pStyle w:val="Heading2"/>
        <w:spacing w:after="120" w:before="240"/>
      </w:pPr>
      <w:r>
        <w:rPr>
          <w:rFonts w:ascii="Arial" w:cs="Arial" w:eastAsia="Arial" w:hAnsi="Arial"/>
          <w:b/>
          <w:bCs/>
          <w:sz w:val="24"/>
          <w:szCs w:val="24"/>
        </w:rPr>
        <w:t xml:space="preserve">Y.2 Testverfahren</w:t>
      </w:r>
    </w:p>
    <w:p>
      <w:pPr>
        <w:pStyle w:val="Heading3"/>
        <w:spacing w:after="100" w:before="180"/>
      </w:pPr>
      <w:r>
        <w:rPr>
          <w:rFonts w:ascii="Arial" w:cs="Arial" w:eastAsia="Arial" w:hAnsi="Arial"/>
          <w:b/>
          <w:bCs/>
          <w:sz w:val="22"/>
          <w:szCs w:val="22"/>
        </w:rPr>
        <w:t xml:space="preserve">Y.2.1 Primärtest: DF-GLS</w:t>
      </w:r>
    </w:p>
    <w:p>
      <w:pPr>
        <w:spacing w:after="120" w:line="300"/>
        <w:jc w:val="both"/>
      </w:pPr>
      <w:r>
        <w:rPr>
          <w:rFonts w:ascii="Arial" w:cs="Arial" w:eastAsia="Arial" w:hAnsi="Arial"/>
          <w:sz w:val="22"/>
          <w:szCs w:val="22"/>
        </w:rPr>
        <w:t xml:space="preserve">Der DF-GLS-Test von Elliott, Rothenberg und Stock (1996) führt zunächst eine GLS-Detrendierung der Reihe durch und wendet die Dickey-Fuller-Statistik auf die detrendierte Reihe an. Im nahen-Einheitswurzel-Bereich (ρ ∈ [0,9; 1,0)) besitzt er gegenüber dem Standard-ADF eine substantiell höhere Macht (Stock 1994), was für persistente, aber beschränkte Sentiment-Reihen die ökonometrisch entscheidende Eigenschaft ist. Die Lag-Selektion erfolgt nach BIC mit einer parsimonösen oberen Schranke nach Schwert (1989), k = 4. Ng und Perron (2001) empfehlen MAIC; das verwendete Paket </w:t>
      </w:r>
      <w:r>
        <w:rPr>
          <w:rFonts w:ascii="Consolas" w:cs="Consolas" w:eastAsia="Consolas" w:hAnsi="Consolas"/>
          <w:sz w:val="20"/>
          <w:szCs w:val="20"/>
        </w:rPr>
        <w:t xml:space="preserve">arch</w:t>
      </w:r>
      <w:r>
        <w:rPr>
          <w:rFonts w:ascii="Arial" w:cs="Arial" w:eastAsia="Arial" w:hAnsi="Arial"/>
          <w:sz w:val="22"/>
          <w:szCs w:val="22"/>
        </w:rPr>
        <w:t xml:space="preserve"> bietet MAIC für DF-GLS jedoch nicht an, weshalb BIC als bewährter Ersatz gewählt wurde.</w:t>
      </w:r>
    </w:p>
    <w:p>
      <w:pPr>
        <w:pStyle w:val="Heading3"/>
        <w:spacing w:after="100" w:before="180"/>
      </w:pPr>
      <w:r>
        <w:rPr>
          <w:rFonts w:ascii="Arial" w:cs="Arial" w:eastAsia="Arial" w:hAnsi="Arial"/>
          <w:b/>
          <w:bCs/>
          <w:sz w:val="22"/>
          <w:szCs w:val="22"/>
        </w:rPr>
        <w:t xml:space="preserve">Y.2.2 Robustheit: Phillips-Perron</w:t>
      </w:r>
    </w:p>
    <w:p>
      <w:pPr>
        <w:spacing w:after="120" w:line="300"/>
        <w:jc w:val="both"/>
      </w:pPr>
      <w:r>
        <w:rPr>
          <w:rFonts w:ascii="Arial" w:cs="Arial" w:eastAsia="Arial" w:hAnsi="Arial"/>
          <w:sz w:val="22"/>
          <w:szCs w:val="22"/>
        </w:rPr>
        <w:t xml:space="preserve">Der Phillips-Perron-Test (1988) korrigiert für Serienkorrelation nichtparametrisch durch Anpassung der Teststatistik selbst, statt zusätzliche Lags in der Regression aufzunehmen. Dadurch ist er gegen Fehlspezifikationen der Lag-Länge robust und liefert eine unabhängige Bestätigung der ADF-Schlussfolgerungen.</w:t>
      </w:r>
    </w:p>
    <w:p>
      <w:pPr>
        <w:pStyle w:val="Heading3"/>
        <w:spacing w:after="100" w:before="180"/>
      </w:pPr>
      <w:r>
        <w:rPr>
          <w:rFonts w:ascii="Arial" w:cs="Arial" w:eastAsia="Arial" w:hAnsi="Arial"/>
          <w:b/>
          <w:bCs/>
          <w:sz w:val="22"/>
          <w:szCs w:val="22"/>
        </w:rPr>
        <w:t xml:space="preserve">Y.2.3 Konfirmation: ADF und KPSS in beiden Spezifikationen</w:t>
      </w:r>
    </w:p>
    <w:p>
      <w:pPr>
        <w:spacing w:after="120" w:line="300"/>
        <w:jc w:val="both"/>
      </w:pPr>
      <w:r>
        <w:rPr>
          <w:rFonts w:ascii="Arial" w:cs="Arial" w:eastAsia="Arial" w:hAnsi="Arial"/>
          <w:sz w:val="22"/>
          <w:szCs w:val="22"/>
        </w:rPr>
        <w:t xml:space="preserve">ADF (Said &amp; Dickey 1984) und KPSS (Kwiatkowski, Phillips, Schmidt &amp; Shin 1992) werden parallel mit den Spezifikationen </w:t>
      </w:r>
      <w:r>
        <w:rPr>
          <w:rFonts w:ascii="Consolas" w:cs="Consolas" w:eastAsia="Consolas" w:hAnsi="Consolas"/>
          <w:sz w:val="20"/>
          <w:szCs w:val="20"/>
        </w:rPr>
        <w:t xml:space="preserve">c</w:t>
      </w:r>
      <w:r>
        <w:rPr>
          <w:rFonts w:ascii="Arial" w:cs="Arial" w:eastAsia="Arial" w:hAnsi="Arial"/>
          <w:sz w:val="22"/>
          <w:szCs w:val="22"/>
        </w:rPr>
        <w:t xml:space="preserve"> (nur Konstante) und </w:t>
      </w:r>
      <w:r>
        <w:rPr>
          <w:rFonts w:ascii="Consolas" w:cs="Consolas" w:eastAsia="Consolas" w:hAnsi="Consolas"/>
          <w:sz w:val="20"/>
          <w:szCs w:val="20"/>
        </w:rPr>
        <w:t xml:space="preserve">ct</w:t>
      </w:r>
      <w:r>
        <w:rPr>
          <w:rFonts w:ascii="Arial" w:cs="Arial" w:eastAsia="Arial" w:hAnsi="Arial"/>
          <w:sz w:val="22"/>
          <w:szCs w:val="22"/>
        </w:rPr>
        <w:t xml:space="preserve"> (Konstante und linearer Trend) berechnet. Die </w:t>
      </w:r>
      <w:r>
        <w:rPr>
          <w:rFonts w:ascii="Consolas" w:cs="Consolas" w:eastAsia="Consolas" w:hAnsi="Consolas"/>
          <w:sz w:val="20"/>
          <w:szCs w:val="20"/>
        </w:rPr>
        <w:t xml:space="preserve">ct</w:t>
      </w:r>
      <w:r>
        <w:rPr>
          <w:rFonts w:ascii="Arial" w:cs="Arial" w:eastAsia="Arial" w:hAnsi="Arial"/>
          <w:sz w:val="22"/>
          <w:szCs w:val="22"/>
        </w:rPr>
        <w:t xml:space="preserve">-Spezifikation ist Voraussetzung jeder Aussage über Trendstationarität – ein Umstand, der in der ersten Fassung dieser Arbeit unterspezifiziert war. Die gemeinsame Interpretation folgt Maddala und Kim (1998):</w:t>
      </w:r>
    </w:p>
    <w:p>
      <w:pPr>
        <w:spacing w:after="120" w:line="300"/>
        <w:jc w:val="both"/>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400"/>
        <w:gridCol w:w="3560"/>
      </w:tblGrid>
      <w:tr>
        <w:trPr>
          <w:tblHeader/>
        </w:trPr>
        <w:tc>
          <w:tcPr>
            <w:tcW w:type="dxa" w:w="170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ADF (c)</w:t>
            </w:r>
          </w:p>
        </w:tc>
        <w:tc>
          <w:tcPr>
            <w:tcW w:type="dxa" w:w="170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KPSS (c)</w:t>
            </w:r>
          </w:p>
        </w:tc>
        <w:tc>
          <w:tcPr>
            <w:tcW w:type="dxa" w:w="240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Klassifikation</w:t>
            </w:r>
          </w:p>
        </w:tc>
        <w:tc>
          <w:tcPr>
            <w:tcW w:type="dxa" w:w="356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Interpretation</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verwirft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verwirft nicht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bCs/>
                <w:sz w:val="20"/>
                <w:szCs w:val="20"/>
              </w:rPr>
              <w:t xml:space="preserve">I(0)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Niveau-stationär; konsistent mit kurzer Erinnerung.</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verwirft nicht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verwirft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bCs/>
                <w:sz w:val="20"/>
                <w:szCs w:val="20"/>
              </w:rPr>
              <w:t xml:space="preserve">I(1)</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Einheitswurzel-kompatibel; bei beschränkten Reihen Hinweis auf nahe-Einheitswurzel-Verhalten.</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verwirft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verwirft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bCs/>
                <w:sz w:val="20"/>
                <w:szCs w:val="20"/>
              </w:rPr>
              <w:t xml:space="preserve">konfligierend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Weder I(0) noch I(1). Hinweis auf Strukturbruch, fraktionale Integration oder Heteroskedastizität. GPH-Diagnose anschließen.</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verwirft nicht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verwirft nicht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bCs/>
                <w:sz w:val="20"/>
                <w:szCs w:val="20"/>
              </w:rPr>
              <w:t xml:space="preserve">uneindeutig</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Macht beider Tests zu gering. Persistenz aus AR(1) und Halbwertszeit ablesen.</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verwirft (ct)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verwirft nicht (ct)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bCs/>
                <w:sz w:val="20"/>
                <w:szCs w:val="20"/>
              </w:rPr>
              <w:t xml:space="preserve">trend-stationär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Stationär um deterministischen Trend. Erfordert die ct-Spezifikation; aus (c, c)-Tests allein nicht ableitbar.</w:t>
            </w:r>
          </w:p>
        </w:tc>
      </w:tr>
    </w:tbl>
    <w:p>
      <w:pPr>
        <w:spacing w:after="120" w:line="300"/>
        <w:jc w:val="both"/>
      </w:pPr>
      <w:r>
        <w:rPr>
          <w:rFonts w:ascii="Arial" w:cs="Arial" w:eastAsia="Arial" w:hAnsi="Arial"/>
          <w:sz w:val="22"/>
          <w:szCs w:val="22"/>
        </w:rPr>
        <w:t xml:space="preserve"/>
      </w:r>
    </w:p>
    <w:p>
      <w:pPr>
        <w:pStyle w:val="Heading3"/>
        <w:spacing w:after="100" w:before="180"/>
      </w:pPr>
      <w:r>
        <w:rPr>
          <w:rFonts w:ascii="Arial" w:cs="Arial" w:eastAsia="Arial" w:hAnsi="Arial"/>
          <w:b/>
          <w:bCs/>
          <w:sz w:val="22"/>
          <w:szCs w:val="22"/>
        </w:rPr>
        <w:t xml:space="preserve">Y.2.4 Persistenz und Halbwertszeit</w:t>
      </w:r>
    </w:p>
    <w:p>
      <w:pPr>
        <w:spacing w:after="120" w:line="300"/>
        <w:jc w:val="both"/>
      </w:pPr>
      <w:r>
        <w:rPr>
          <w:rFonts w:ascii="Arial" w:cs="Arial" w:eastAsia="Arial" w:hAnsi="Arial"/>
          <w:sz w:val="22"/>
          <w:szCs w:val="22"/>
        </w:rPr>
        <w:t xml:space="preserve">Aus einer AR(1)-Schätzung der demeansten Reihe wird ρ̂ mit HAC-robusten Standardfehlern berechnet. Die Halbwertszeit eines Schocks ergibt sich aus τ</w:t>
      </w:r>
      <w:r>
        <w:rPr>
          <w:rFonts w:ascii="Arial" w:cs="Arial" w:eastAsia="Arial" w:hAnsi="Arial"/>
          <w:sz w:val="22"/>
          <w:szCs w:val="22"/>
          <w:vertAlign w:val="subscript"/>
        </w:rPr>
        <w:t xml:space="preserve">½</w:t>
      </w:r>
      <w:r>
        <w:rPr>
          <w:rFonts w:ascii="Arial" w:cs="Arial" w:eastAsia="Arial" w:hAnsi="Arial"/>
          <w:sz w:val="22"/>
          <w:szCs w:val="22"/>
        </w:rPr>
        <w:t xml:space="preserve"> = −ln(2)/ln(ρ̂) für 0 &lt; ρ̂ &lt; 1. Diese Größe ist die für die Modellinterpretation nützlichste Persistenzkennzahl: sie quantifiziert, wie viele Beobachtungen bis zur halben Schockabsorption vergehen.</w:t>
      </w:r>
    </w:p>
    <w:p>
      <w:pPr>
        <w:pStyle w:val="Heading3"/>
        <w:spacing w:after="100" w:before="180"/>
      </w:pPr>
      <w:r>
        <w:rPr>
          <w:rFonts w:ascii="Arial" w:cs="Arial" w:eastAsia="Arial" w:hAnsi="Arial"/>
          <w:b/>
          <w:bCs/>
          <w:sz w:val="22"/>
          <w:szCs w:val="22"/>
        </w:rPr>
        <w:t xml:space="preserve">Y.2.5 Lange Erinnerung: GPH</w:t>
      </w:r>
    </w:p>
    <w:p>
      <w:pPr>
        <w:spacing w:after="120" w:line="300"/>
        <w:jc w:val="both"/>
      </w:pPr>
      <w:r>
        <w:rPr>
          <w:rFonts w:ascii="Arial" w:cs="Arial" w:eastAsia="Arial" w:hAnsi="Arial"/>
          <w:sz w:val="22"/>
          <w:szCs w:val="22"/>
        </w:rPr>
        <w:t xml:space="preserve">Liefern ADF und KPSS konfligierende Evidenz, ist fraktionale Integration eine plausible Erklärung (Diebold &amp; Rudebusch 1991). Für diese Reihen wird der Geweke-Porter-Hudak-Schätzer (1983) für den Differenzierungsparameter d auf den ersten m = ⌊n</w:t>
      </w:r>
      <w:r>
        <w:rPr>
          <w:rFonts w:ascii="Arial" w:cs="Arial" w:eastAsia="Arial" w:hAnsi="Arial"/>
          <w:sz w:val="22"/>
          <w:szCs w:val="22"/>
          <w:vertAlign w:val="superscript"/>
        </w:rPr>
        <w:t xml:space="preserve">0,5</w:t>
      </w:r>
      <w:r>
        <w:rPr>
          <w:rFonts w:ascii="Arial" w:cs="Arial" w:eastAsia="Arial" w:hAnsi="Arial"/>
          <w:sz w:val="22"/>
          <w:szCs w:val="22"/>
        </w:rPr>
        <w:t xml:space="preserve">⌋ Fourier-Ordinaten berechnet. d ∈ (−0,5; 0,5) impliziert Stationarität mit potenziell langer Erinnerung; d ∈ [0,5; 1) impliziert Nicht-Stationarität mit Mittelwertrückkehr; d ≥ 1 entspricht der Einheitswurzel.</w:t>
      </w:r>
    </w:p>
    <w:p>
      <w:pPr>
        <w:pStyle w:val="Heading3"/>
        <w:spacing w:after="100" w:before="180"/>
      </w:pPr>
      <w:r>
        <w:rPr>
          <w:rFonts w:ascii="Arial" w:cs="Arial" w:eastAsia="Arial" w:hAnsi="Arial"/>
          <w:b/>
          <w:bCs/>
          <w:sz w:val="22"/>
          <w:szCs w:val="22"/>
        </w:rPr>
        <w:t xml:space="preserve">Y.2.6 Strukturbrüche: Bai-Perron</w:t>
      </w:r>
    </w:p>
    <w:p>
      <w:pPr>
        <w:spacing w:after="120" w:line="300"/>
        <w:jc w:val="both"/>
      </w:pPr>
      <w:r>
        <w:rPr>
          <w:rFonts w:ascii="Arial" w:cs="Arial" w:eastAsia="Arial" w:hAnsi="Arial"/>
          <w:sz w:val="22"/>
          <w:szCs w:val="22"/>
        </w:rPr>
        <w:t xml:space="preserve">Der Untersuchungszeitraum 2022 enthält mindestens zwei kandidatenrelevante Bruchpunkte (Terra/Luna im Mai, FTX im November). Ein Einzelbruch-Verfahren wie der Zivot-Andrews-Test (1992) wäre unter mehreren Bruchpunkten falsch spezifiziert (Lumsdaine &amp; Papell 1997). Stattdessen wird der Bai-Perron-Ansatz (2003) für mehrere endogen bestimmte Bruchpunkte über Binärsegmentierung mit L₂-Kostenfunktion implementiert (Paket </w:t>
      </w:r>
      <w:r>
        <w:rPr>
          <w:rFonts w:ascii="Consolas" w:cs="Consolas" w:eastAsia="Consolas" w:hAnsi="Consolas"/>
          <w:sz w:val="20"/>
          <w:szCs w:val="20"/>
        </w:rPr>
        <w:t xml:space="preserve">ruptures</w:t>
      </w:r>
      <w:r>
        <w:rPr>
          <w:rFonts w:ascii="Arial" w:cs="Arial" w:eastAsia="Arial" w:hAnsi="Arial"/>
          <w:sz w:val="22"/>
          <w:szCs w:val="22"/>
        </w:rPr>
        <w:t xml:space="preserve">). Die Anwendung erfolgt auf den title_score_mean-Reihen der sechs volumenstärksten Ticker auf Tagesebene, mit n_breaks = 2 als a-priori-Schranke.</w:t>
      </w:r>
    </w:p>
    <w:p>
      <w:pPr>
        <w:pStyle w:val="Heading3"/>
        <w:spacing w:after="100" w:before="180"/>
      </w:pPr>
      <w:r>
        <w:rPr>
          <w:rFonts w:ascii="Arial" w:cs="Arial" w:eastAsia="Arial" w:hAnsi="Arial"/>
          <w:b/>
          <w:bCs/>
          <w:sz w:val="22"/>
          <w:szCs w:val="22"/>
        </w:rPr>
        <w:t xml:space="preserve">Y.2.7 Panel-Test: CIPS</w:t>
      </w:r>
    </w:p>
    <w:p>
      <w:pPr>
        <w:spacing w:after="120" w:line="300"/>
        <w:jc w:val="both"/>
      </w:pPr>
      <w:r>
        <w:rPr>
          <w:rFonts w:ascii="Arial" w:cs="Arial" w:eastAsia="Arial" w:hAnsi="Arial"/>
          <w:sz w:val="22"/>
          <w:szCs w:val="22"/>
        </w:rPr>
        <w:t xml:space="preserve">Anstelle separater Stationaritätstests pro Ticker wird für jedes Feature der Panel-Test CIPS von Pesaran (2007) eingesetzt. CIPS adressiert explizit die Querschnittskorrelation, die in Krypto-Sentiment-Panels durch gemeinsame Marktbewegungen induziert wird und die der ältere IPS-Test (Im, Pesaran &amp; Shin 2003) ignoriert. Pro Cross-Section wird eine CADF-Regression geschätzt; die CIPS-Statistik ist der Mittelwert der individuellen t-Statistiken auf den verzögerten Niveau-Term, getrimmt im Intervall [−6,19; 2,61] zur Existenz der asymptotischen Momente. Pro Feature reduziert sich damit der Testumfang von 26 Einzeltests auf eine Statistik.</w:t>
      </w:r>
    </w:p>
    <w:p>
      <w:pPr>
        <w:pStyle w:val="Heading2"/>
        <w:spacing w:after="120" w:before="240"/>
      </w:pPr>
      <w:r>
        <w:rPr>
          <w:rFonts w:ascii="Arial" w:cs="Arial" w:eastAsia="Arial" w:hAnsi="Arial"/>
          <w:b/>
          <w:bCs/>
          <w:sz w:val="24"/>
          <w:szCs w:val="24"/>
        </w:rPr>
        <w:t xml:space="preserve">Y.3 Spezifikationen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Komponente</w:t>
            </w:r>
          </w:p>
        </w:tc>
        <w:tc>
          <w:tcPr>
            <w:tcW w:type="dxa" w:w="350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Wahl</w:t>
            </w:r>
          </w:p>
        </w:tc>
        <w:tc>
          <w:tcPr>
            <w:tcW w:type="dxa" w:w="3460"/>
            <w:tcBorders>
              <w:top w:val="single" w:color="BFBFBF" w:sz="4"/>
              <w:left w:val="single" w:color="BFBFBF" w:sz="4"/>
              <w:bottom w:val="single" w:color="BFBFBF" w:sz="4"/>
              <w:right w:val="single" w:color="BFBFBF" w:sz="4"/>
            </w:tcBorders>
            <w:shd w:fill="2F5496"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Begründung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bCs/>
                <w:sz w:val="20"/>
                <w:szCs w:val="20"/>
              </w:rPr>
              <w:t xml:space="preserve">Lag-Selektion ADF</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BIC mit max-Lag nach Schwert (k=4)</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Parsimonöser als AIC; reduziert Größenverzerrung bei MA-Komponente (Ng &amp; Perron 2001).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bCs/>
                <w:sz w:val="20"/>
                <w:szCs w:val="20"/>
              </w:rPr>
              <w:t xml:space="preserve">Lag-Selektion DF-GLS</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BIC mit max-Lag nach Schwert (k=4)</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MAIC wäre der Standard nach Ng &amp; Perron (2001); arch v6 stellt MAIC für DF-GLS nicht bereit.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bCs/>
                <w:sz w:val="20"/>
                <w:szCs w:val="20"/>
              </w:rPr>
              <w:t xml:space="preserve">Bandbreite KPSS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Newey-West, automatisch (Hobijn et al. 1998)</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Sensitivität wird über kpss_*_pval_clipped als Diagnostik mitgeliefert.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bCs/>
                <w:sz w:val="20"/>
                <w:szCs w:val="20"/>
              </w:rPr>
              <w:t xml:space="preserve">Mindestbeobachtungen</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ADF/DF-GLS/KPSS: n ≥ 50; Bai-Perron: n ≥ 100; GPH: n ≥ 200</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Schwert (1989) zeigt erhebliche Größenverzerrung von ADF unter n=50.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bCs/>
                <w:sz w:val="20"/>
                <w:szCs w:val="20"/>
              </w:rPr>
              <w:t xml:space="preserve">Signifikanzniveau</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α = 5 %, mit Benjamini-Hochberg-FDR pro (Horizont × Test)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Kontrolliert die False Discovery Rate bei rund 1.500 Einzeltests pro Horizont.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bCs/>
                <w:sz w:val="20"/>
                <w:szCs w:val="20"/>
              </w:rPr>
              <w:t xml:space="preserve">Trend-Spezifikation</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Tests parallel mit 'c' und 'ct'</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Trendstationarität ist nur unter ct-Tests identifizierbar.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bCs/>
                <w:sz w:val="20"/>
                <w:szCs w:val="20"/>
              </w:rPr>
              <w:t xml:space="preserve">Bruchpunktverfahren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Bai-Perron via Binärsegmentierung (ruptures)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Ersetzt Zivot-Andrews; erlaubt mehrere Bruchpunkte (Lumsdaine &amp; Papell 1997).</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bCs/>
                <w:sz w:val="20"/>
                <w:szCs w:val="20"/>
              </w:rPr>
              <w:t xml:space="preserve">Panel-Test</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CIPS (Pesaran 2007)</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jc w:val="left"/>
            </w:pPr>
            <w:r>
              <w:rPr>
                <w:rFonts w:ascii="Arial" w:cs="Arial" w:eastAsia="Arial" w:hAnsi="Arial"/>
                <w:b w:val="false"/>
                <w:bCs w:val="false"/>
                <w:sz w:val="20"/>
                <w:szCs w:val="20"/>
              </w:rPr>
              <w:t xml:space="preserve">Berücksichtigt Querschnittskorrelation; pro Feature ein Test statt 26.</w:t>
            </w:r>
          </w:p>
        </w:tc>
      </w:tr>
    </w:tbl>
    <w:p>
      <w:pPr>
        <w:spacing w:after="120" w:line="300"/>
        <w:jc w:val="both"/>
      </w:pPr>
      <w:r>
        <w:rPr>
          <w:rFonts w:ascii="Arial" w:cs="Arial" w:eastAsia="Arial" w:hAnsi="Arial"/>
          <w:sz w:val="22"/>
          <w:szCs w:val="22"/>
        </w:rPr>
        <w:t xml:space="preserve"/>
      </w:r>
    </w:p>
    <w:p>
      <w:pPr>
        <w:pStyle w:val="Heading2"/>
        <w:spacing w:after="120" w:before="240"/>
      </w:pPr>
      <w:r>
        <w:rPr>
          <w:rFonts w:ascii="Arial" w:cs="Arial" w:eastAsia="Arial" w:hAnsi="Arial"/>
          <w:b/>
          <w:bCs/>
          <w:sz w:val="24"/>
          <w:szCs w:val="24"/>
        </w:rPr>
        <w:t xml:space="preserve">Y.4 Ergebnisberichterstattung</w:t>
      </w:r>
    </w:p>
    <w:p>
      <w:pPr>
        <w:spacing w:after="120" w:line="300"/>
        <w:jc w:val="both"/>
      </w:pPr>
      <w:r>
        <w:rPr>
          <w:rFonts w:ascii="Arial" w:cs="Arial" w:eastAsia="Arial" w:hAnsi="Arial"/>
          <w:sz w:val="22"/>
          <w:szCs w:val="22"/>
        </w:rPr>
        <w:t xml:space="preserve">Die Ergebnisse werden auf drei Ebenen aufbereitet:</w:t>
      </w:r>
    </w:p>
    <w:p>
      <w:pPr>
        <w:pStyle w:val="ListParagraph"/>
        <w:numPr>
          <w:ilvl w:val="0"/>
          <w:numId w:val="2"/>
        </w:numPr>
        <w:spacing w:after="80" w:line="300"/>
        <w:jc w:val="both"/>
      </w:pPr>
      <w:r>
        <w:rPr>
          <w:rFonts w:ascii="Arial" w:cs="Arial" w:eastAsia="Arial" w:hAnsi="Arial"/>
          <w:b/>
          <w:bCs/>
          <w:sz w:val="22"/>
          <w:szCs w:val="22"/>
        </w:rPr>
        <w:t xml:space="preserve">Verteilungsebene. </w:t>
      </w:r>
      <w:r>
        <w:rPr>
          <w:rFonts w:ascii="Arial" w:cs="Arial" w:eastAsia="Arial" w:hAnsi="Arial"/>
          <w:sz w:val="22"/>
          <w:szCs w:val="22"/>
        </w:rPr>
        <w:t xml:space="preserve">Histogramme der Teststatistiken (DF-GLS, ADF, KPSS) sowie der geschätzten Persistenz ρ̂ und der daraus abgeleiteten Halbwertszeit, getrennt nach Horizont und Postvolumen-Quintil. Diese Darstellung ersetzt die in der Erstfassung verwendete reine Zähltabelle und macht die Heterogenität zwischen volumenstarken und volumenschwachen Tickern sichtbar – ein Aspekt, der bei aggregierten Sentiment-Features besonders relevant ist, weil bei dünnen Bins die Sampling-Varianz das Signal dominiert.</w:t>
      </w:r>
    </w:p>
    <w:p>
      <w:pPr>
        <w:pStyle w:val="ListParagraph"/>
        <w:numPr>
          <w:ilvl w:val="0"/>
          <w:numId w:val="2"/>
        </w:numPr>
        <w:spacing w:after="80" w:line="300"/>
        <w:jc w:val="both"/>
      </w:pPr>
      <w:r>
        <w:rPr>
          <w:rFonts w:ascii="Arial" w:cs="Arial" w:eastAsia="Arial" w:hAnsi="Arial"/>
          <w:b/>
          <w:bCs/>
          <w:sz w:val="22"/>
          <w:szCs w:val="22"/>
        </w:rPr>
        <w:t xml:space="preserve">Einzeltestebene. </w:t>
      </w:r>
      <w:r>
        <w:rPr>
          <w:rFonts w:ascii="Arial" w:cs="Arial" w:eastAsia="Arial" w:hAnsi="Arial"/>
          <w:sz w:val="22"/>
          <w:szCs w:val="22"/>
        </w:rPr>
        <w:t xml:space="preserve">Für jede Kombination aus Ticker, Feature und Horizont werden in Tabelle Y.A berichtet: DF-GLS-, PP-, ADF- und KPSS-Statistik (jeweils c und ct), gewählte Lags, p-Werte (roh und Benjamini-Hochberg-korrigiert), AR(1)-Persistenz, Halbwertszeit, GPH-d̂ falls anwendbar, Bruchpunktdaten und gemeinsame Klassifikation.</w:t>
      </w:r>
    </w:p>
    <w:p>
      <w:pPr>
        <w:pStyle w:val="ListParagraph"/>
        <w:numPr>
          <w:ilvl w:val="0"/>
          <w:numId w:val="2"/>
        </w:numPr>
        <w:spacing w:after="80" w:line="300"/>
        <w:jc w:val="both"/>
      </w:pPr>
      <w:r>
        <w:rPr>
          <w:rFonts w:ascii="Arial" w:cs="Arial" w:eastAsia="Arial" w:hAnsi="Arial"/>
          <w:b/>
          <w:bCs/>
          <w:sz w:val="22"/>
          <w:szCs w:val="22"/>
        </w:rPr>
        <w:t xml:space="preserve">Panel-Ebene. </w:t>
      </w:r>
      <w:r>
        <w:rPr>
          <w:rFonts w:ascii="Arial" w:cs="Arial" w:eastAsia="Arial" w:hAnsi="Arial"/>
          <w:sz w:val="22"/>
          <w:szCs w:val="22"/>
        </w:rPr>
        <w:t xml:space="preserve">Pro Feature und Horizont eine CIPS-Statistik mit kritischem Wert und Verwerfungsentscheidung.</w:t>
      </w:r>
    </w:p>
    <w:p>
      <w:pPr>
        <w:spacing w:after="120" w:line="300"/>
        <w:jc w:val="both"/>
      </w:pPr>
      <w:r>
        <w:rPr>
          <w:rFonts w:ascii="Arial" w:cs="Arial" w:eastAsia="Arial" w:hAnsi="Arial"/>
          <w:sz w:val="22"/>
          <w:szCs w:val="22"/>
        </w:rPr>
        <w:t xml:space="preserve">Rolling-Statistics-Plots (90-Tage-Fenster) für die sechs volumenstärksten Ticker auf Tagesebene dienen als visuelle Ergänzung. Sie sind insbesondere relevant, weil eine global stationäre Reihe regimespezifische Mittelwertverschiebungen aufweisen kann, die die formalen Tests nicht detektieren, für die Generalisierung der Klassifikationsmodelle aber entscheidend sind.</w:t>
      </w:r>
    </w:p>
    <w:p>
      <w:pPr>
        <w:pStyle w:val="Heading2"/>
        <w:spacing w:after="120" w:before="240"/>
      </w:pPr>
      <w:r>
        <w:rPr>
          <w:rFonts w:ascii="Arial" w:cs="Arial" w:eastAsia="Arial" w:hAnsi="Arial"/>
          <w:b/>
          <w:bCs/>
          <w:sz w:val="24"/>
          <w:szCs w:val="24"/>
        </w:rPr>
        <w:t xml:space="preserve">Y.5 Verteilungsstabilität für die Klassifikationsmodelle</w:t>
      </w:r>
    </w:p>
    <w:p>
      <w:pPr>
        <w:spacing w:after="120" w:line="300"/>
        <w:jc w:val="both"/>
      </w:pPr>
      <w:r>
        <w:rPr>
          <w:rFonts w:ascii="Arial" w:cs="Arial" w:eastAsia="Arial" w:hAnsi="Arial"/>
          <w:sz w:val="22"/>
          <w:szCs w:val="22"/>
        </w:rPr>
        <w:t xml:space="preserve">Da die Modelle in Time-Series-Cross-Validation mit expandierendem Trainingsfenster evaluiert werden, ist die Stabilität der Feature-Verteilungen zwischen den Folds die für die Modellgüte unmittelbar wirksame Eigenschaft. Für jedes Feature und jedes Fold-Paar (Train-Fold k, Validation-Fold k+1) werden berechnet:</w:t>
      </w:r>
    </w:p>
    <w:p>
      <w:pPr>
        <w:pStyle w:val="ListParagraph"/>
        <w:numPr>
          <w:ilvl w:val="0"/>
          <w:numId w:val="2"/>
        </w:numPr>
        <w:spacing w:after="80" w:line="300"/>
        <w:jc w:val="both"/>
      </w:pPr>
      <w:r>
        <w:rPr>
          <w:rFonts w:ascii="Arial" w:cs="Arial" w:eastAsia="Arial" w:hAnsi="Arial"/>
          <w:sz w:val="22"/>
          <w:szCs w:val="22"/>
        </w:rPr>
        <w:t xml:space="preserve">Zwei-Stichproben-Kolmogorov-Smirnov-Test (Massey 1951);</w:t>
      </w:r>
    </w:p>
    <w:p>
      <w:pPr>
        <w:pStyle w:val="ListParagraph"/>
        <w:numPr>
          <w:ilvl w:val="0"/>
          <w:numId w:val="2"/>
        </w:numPr>
        <w:spacing w:after="80" w:line="300"/>
        <w:jc w:val="both"/>
      </w:pPr>
      <w:r>
        <w:rPr>
          <w:rFonts w:ascii="Arial" w:cs="Arial" w:eastAsia="Arial" w:hAnsi="Arial"/>
          <w:sz w:val="22"/>
          <w:szCs w:val="22"/>
        </w:rPr>
        <w:t xml:space="preserve">Cramér-von Mises-Test als komplementäres Maß für Verteilungsabweichungen im Tail (Anderson 1962);</w:t>
      </w:r>
    </w:p>
    <w:p>
      <w:pPr>
        <w:spacing w:after="120" w:line="300"/>
        <w:jc w:val="both"/>
      </w:pPr>
      <w:r>
        <w:rPr>
          <w:rFonts w:ascii="Arial" w:cs="Arial" w:eastAsia="Arial" w:hAnsi="Arial"/>
          <w:sz w:val="22"/>
          <w:szCs w:val="22"/>
        </w:rPr>
        <w:t xml:space="preserve">Reichen diese Tests konsistent gegen die Stabilitätsnullhypothese, werden für die betroffenen Features eine der folgenden Transformationen angewendet:</w:t>
      </w:r>
    </w:p>
    <w:p>
      <w:pPr>
        <w:pStyle w:val="ListParagraph"/>
        <w:numPr>
          <w:ilvl w:val="0"/>
          <w:numId w:val="2"/>
        </w:numPr>
        <w:spacing w:after="80" w:line="300"/>
        <w:jc w:val="both"/>
      </w:pPr>
      <w:r>
        <w:rPr>
          <w:rFonts w:ascii="Arial" w:cs="Arial" w:eastAsia="Arial" w:hAnsi="Arial"/>
          <w:sz w:val="22"/>
          <w:szCs w:val="22"/>
        </w:rPr>
        <w:t xml:space="preserve">Erste Differenzierung Δx_t = x_t − x_{t−1};</w:t>
      </w:r>
    </w:p>
    <w:p>
      <w:pPr>
        <w:pStyle w:val="ListParagraph"/>
        <w:numPr>
          <w:ilvl w:val="0"/>
          <w:numId w:val="2"/>
        </w:numPr>
        <w:spacing w:after="80" w:line="300"/>
        <w:jc w:val="both"/>
      </w:pPr>
      <w:r>
        <w:rPr>
          <w:rFonts w:ascii="Arial" w:cs="Arial" w:eastAsia="Arial" w:hAnsi="Arial"/>
          <w:sz w:val="22"/>
          <w:szCs w:val="22"/>
        </w:rPr>
        <w:t xml:space="preserve">Differenzbildung gegen einen rollierenden Median über 30 Beobachtungen;</w:t>
      </w:r>
    </w:p>
    <w:p>
      <w:pPr>
        <w:pStyle w:val="ListParagraph"/>
        <w:numPr>
          <w:ilvl w:val="0"/>
          <w:numId w:val="2"/>
        </w:numPr>
        <w:spacing w:after="80" w:line="300"/>
        <w:jc w:val="both"/>
      </w:pPr>
      <w:r>
        <w:rPr>
          <w:rFonts w:ascii="Arial" w:cs="Arial" w:eastAsia="Arial" w:hAnsi="Arial"/>
          <w:sz w:val="22"/>
          <w:szCs w:val="22"/>
        </w:rPr>
        <w:t xml:space="preserve">Z-Standardisierung pro rollierendem Fenster.</w:t>
      </w:r>
    </w:p>
    <w:p>
      <w:pPr>
        <w:spacing w:after="120" w:line="300"/>
        <w:jc w:val="both"/>
      </w:pPr>
      <w:r>
        <w:rPr>
          <w:rFonts w:ascii="Arial" w:cs="Arial" w:eastAsia="Arial" w:hAnsi="Arial"/>
          <w:sz w:val="22"/>
          <w:szCs w:val="22"/>
        </w:rPr>
        <w:t xml:space="preserve">Die Wahl der Transformation wird im Hauptteil (Kapitel [X]) für jedes betroffene Feature einzeln dokumentiert. Für post_count wird zusätzlich die logarithmische Transformation log(1 + n) geprüft, da die Reihe nicht beschränkt ist und mit Marktvolatilität korreliert.</w:t>
      </w:r>
    </w:p>
    <w:p>
      <w:pPr>
        <w:pStyle w:val="Heading2"/>
        <w:spacing w:after="120" w:before="240"/>
      </w:pPr>
      <w:r>
        <w:rPr>
          <w:rFonts w:ascii="Arial" w:cs="Arial" w:eastAsia="Arial" w:hAnsi="Arial"/>
          <w:b/>
          <w:bCs/>
          <w:sz w:val="24"/>
          <w:szCs w:val="24"/>
        </w:rPr>
        <w:t xml:space="preserve">Y.6 Erwartungen und a-priori-Bewertung</w:t>
      </w:r>
    </w:p>
    <w:p>
      <w:pPr>
        <w:spacing w:after="120" w:line="300"/>
        <w:jc w:val="both"/>
      </w:pPr>
      <w:r>
        <w:rPr>
          <w:rFonts w:ascii="Arial" w:cs="Arial" w:eastAsia="Arial" w:hAnsi="Arial"/>
          <w:sz w:val="22"/>
          <w:szCs w:val="22"/>
        </w:rPr>
        <w:t xml:space="preserve">Aus der theoretischen Struktur der Daten ergeben sich folgende ex-ante-Erwartungen, gegen die die empirischen Ergebnisse zu prüfen sind:</w:t>
      </w:r>
    </w:p>
    <w:p>
      <w:pPr>
        <w:pStyle w:val="ListParagraph"/>
        <w:numPr>
          <w:ilvl w:val="0"/>
          <w:numId w:val="2"/>
        </w:numPr>
        <w:spacing w:after="80" w:line="300"/>
        <w:jc w:val="both"/>
      </w:pPr>
      <w:r>
        <w:rPr>
          <w:rFonts w:ascii="Arial" w:cs="Arial" w:eastAsia="Arial" w:hAnsi="Arial"/>
          <w:sz w:val="22"/>
          <w:szCs w:val="22"/>
        </w:rPr>
        <w:t xml:space="preserve">Sentiment-Score-Mittelwerte sind beschränkt und können daher nicht im strengen Sinn integriert sein. Die zentrale empirische Frage ist die </w:t>
      </w:r>
      <w:r>
        <w:rPr>
          <w:rFonts w:ascii="Arial" w:cs="Arial" w:eastAsia="Arial" w:hAnsi="Arial"/>
          <w:i/>
          <w:iCs/>
          <w:sz w:val="22"/>
          <w:szCs w:val="22"/>
        </w:rPr>
        <w:t xml:space="preserve">Höhe</w:t>
      </w:r>
      <w:r>
        <w:rPr>
          <w:rFonts w:ascii="Arial" w:cs="Arial" w:eastAsia="Arial" w:hAnsi="Arial"/>
          <w:sz w:val="22"/>
          <w:szCs w:val="22"/>
        </w:rPr>
        <w:t xml:space="preserve"> der Persistenz ρ̂ und die daraus abgeleitete Halbwertszeit, nicht die Verwerfung der Einheitswurzelhypothese als solche.</w:t>
      </w:r>
    </w:p>
    <w:p>
      <w:pPr>
        <w:pStyle w:val="ListParagraph"/>
        <w:numPr>
          <w:ilvl w:val="0"/>
          <w:numId w:val="2"/>
        </w:numPr>
        <w:spacing w:after="80" w:line="300"/>
        <w:jc w:val="both"/>
      </w:pPr>
      <w:r>
        <w:rPr>
          <w:rFonts w:ascii="Arial" w:cs="Arial" w:eastAsia="Arial" w:hAnsi="Arial"/>
          <w:sz w:val="22"/>
          <w:szCs w:val="22"/>
        </w:rPr>
        <w:t xml:space="preserve">Das Postvolumen ist nach oben unbeschränkt, korreliert mit Marktvolatilität und kann persistente, möglicherweise fraktional-integrierte Dynamik aufweisen. Hier sind die GPH-Diagnose und die logarithmische Transformation methodisch zentral.</w:t>
      </w:r>
    </w:p>
    <w:p>
      <w:pPr>
        <w:pStyle w:val="ListParagraph"/>
        <w:numPr>
          <w:ilvl w:val="0"/>
          <w:numId w:val="2"/>
        </w:numPr>
        <w:spacing w:after="80" w:line="300"/>
        <w:jc w:val="both"/>
      </w:pPr>
      <w:r>
        <w:rPr>
          <w:rFonts w:ascii="Arial" w:cs="Arial" w:eastAsia="Arial" w:hAnsi="Arial"/>
          <w:sz w:val="22"/>
          <w:szCs w:val="22"/>
        </w:rPr>
        <w:t xml:space="preserve">Bei dünnen Bins (15-min-Horizont, volumenschwache Ticker) dominiert die Sampling-Varianz das Sentimentsignal. Die ADF-Verwerfungsrate wird in diesem Regime mechanisch hoch sein und ist nicht als Evidenz für Stationarität des unterliegenden Sentiment-Prozesses interpretierbar. Die Berichterstattung erfolgt daher stratifiziert nach Postvolumen-Quintil.</w:t>
      </w:r>
    </w:p>
    <w:p>
      <w:pPr>
        <w:pStyle w:val="ListParagraph"/>
        <w:numPr>
          <w:ilvl w:val="0"/>
          <w:numId w:val="2"/>
        </w:numPr>
        <w:spacing w:after="80" w:line="300"/>
        <w:jc w:val="both"/>
      </w:pPr>
      <w:r>
        <w:rPr>
          <w:rFonts w:ascii="Arial" w:cs="Arial" w:eastAsia="Arial" w:hAnsi="Arial"/>
          <w:sz w:val="22"/>
          <w:szCs w:val="22"/>
        </w:rPr>
        <w:t xml:space="preserve">Konfligierende Evidenz zwischen ADF und KPSS unter der </w:t>
      </w:r>
      <w:r>
        <w:rPr>
          <w:rFonts w:ascii="Consolas" w:cs="Consolas" w:eastAsia="Consolas" w:hAnsi="Consolas"/>
          <w:sz w:val="20"/>
          <w:szCs w:val="20"/>
        </w:rPr>
        <w:t xml:space="preserve">c</w:t>
      </w:r>
      <w:r>
        <w:rPr>
          <w:rFonts w:ascii="Arial" w:cs="Arial" w:eastAsia="Arial" w:hAnsi="Arial"/>
          <w:sz w:val="22"/>
          <w:szCs w:val="22"/>
        </w:rPr>
        <w:t xml:space="preserve">-Spezifikation ist nicht als Trendstationarität zu interpretieren, sondern als Hinweis auf Strukturbruch oder fraktionale Integration. Die Erstfassung dieser Arbeit hat diese Fälle fälschlich als trendstationär klassifiziert; die Klassifikationslogik wurde entsprechend korrigiert.</w:t>
      </w:r>
    </w:p>
    <w:p>
      <w:pPr>
        <w:pStyle w:val="Heading2"/>
        <w:spacing w:after="120" w:before="240"/>
      </w:pPr>
      <w:r>
        <w:rPr>
          <w:rFonts w:ascii="Arial" w:cs="Arial" w:eastAsia="Arial" w:hAnsi="Arial"/>
          <w:b/>
          <w:bCs/>
          <w:sz w:val="24"/>
          <w:szCs w:val="24"/>
        </w:rPr>
        <w:t xml:space="preserve">Literaturverzeichnis (Anhang Y)</w:t>
      </w:r>
    </w:p>
    <w:p>
      <w:pPr>
        <w:spacing w:after="100" w:line="280"/>
        <w:ind w:left="567" w:hanging="567"/>
        <w:jc w:val="left"/>
      </w:pPr>
      <w:r>
        <w:rPr>
          <w:rFonts w:ascii="Arial" w:cs="Arial" w:eastAsia="Arial" w:hAnsi="Arial"/>
          <w:sz w:val="20"/>
          <w:szCs w:val="20"/>
        </w:rPr>
        <w:t xml:space="preserve">Anderson, T. W. (1962). On the distribution of the two-sample Cramér-von Mises criterion. </w:t>
      </w:r>
      <w:r>
        <w:rPr>
          <w:rFonts w:ascii="Arial" w:cs="Arial" w:eastAsia="Arial" w:hAnsi="Arial"/>
          <w:i/>
          <w:iCs/>
          <w:sz w:val="20"/>
          <w:szCs w:val="20"/>
        </w:rPr>
        <w:t xml:space="preserve">Annals of Mathematical Statistics</w:t>
      </w:r>
      <w:r>
        <w:rPr>
          <w:rFonts w:ascii="Arial" w:cs="Arial" w:eastAsia="Arial" w:hAnsi="Arial"/>
          <w:sz w:val="20"/>
          <w:szCs w:val="20"/>
        </w:rPr>
        <w:t xml:space="preserve">, 33(3), 1148–1159.</w:t>
      </w:r>
    </w:p>
    <w:p>
      <w:pPr>
        <w:spacing w:after="100" w:line="280"/>
        <w:ind w:left="567" w:hanging="567"/>
        <w:jc w:val="left"/>
      </w:pPr>
      <w:r>
        <w:rPr>
          <w:rFonts w:ascii="Arial" w:cs="Arial" w:eastAsia="Arial" w:hAnsi="Arial"/>
          <w:sz w:val="20"/>
          <w:szCs w:val="20"/>
        </w:rPr>
        <w:t xml:space="preserve">Bai, J., &amp; Perron, P. (2003). Computation and analysis of multiple structural change models. </w:t>
      </w:r>
      <w:r>
        <w:rPr>
          <w:rFonts w:ascii="Arial" w:cs="Arial" w:eastAsia="Arial" w:hAnsi="Arial"/>
          <w:i/>
          <w:iCs/>
          <w:sz w:val="20"/>
          <w:szCs w:val="20"/>
        </w:rPr>
        <w:t xml:space="preserve">Journal of Applied Econometrics</w:t>
      </w:r>
      <w:r>
        <w:rPr>
          <w:rFonts w:ascii="Arial" w:cs="Arial" w:eastAsia="Arial" w:hAnsi="Arial"/>
          <w:sz w:val="20"/>
          <w:szCs w:val="20"/>
        </w:rPr>
        <w:t xml:space="preserve">, 18(1), 1–22.</w:t>
      </w:r>
    </w:p>
    <w:p>
      <w:pPr>
        <w:spacing w:after="100" w:line="280"/>
        <w:ind w:left="567" w:hanging="567"/>
        <w:jc w:val="left"/>
      </w:pPr>
      <w:r>
        <w:rPr>
          <w:rFonts w:ascii="Arial" w:cs="Arial" w:eastAsia="Arial" w:hAnsi="Arial"/>
          <w:sz w:val="20"/>
          <w:szCs w:val="20"/>
        </w:rPr>
        <w:t xml:space="preserve">Diebold, F. X., &amp; Rudebusch, G. D. (1991). On the power of Dickey-Fuller tests against fractional alternatives. </w:t>
      </w:r>
      <w:r>
        <w:rPr>
          <w:rFonts w:ascii="Arial" w:cs="Arial" w:eastAsia="Arial" w:hAnsi="Arial"/>
          <w:i/>
          <w:iCs/>
          <w:sz w:val="20"/>
          <w:szCs w:val="20"/>
        </w:rPr>
        <w:t xml:space="preserve">Economics Letters</w:t>
      </w:r>
      <w:r>
        <w:rPr>
          <w:rFonts w:ascii="Arial" w:cs="Arial" w:eastAsia="Arial" w:hAnsi="Arial"/>
          <w:sz w:val="20"/>
          <w:szCs w:val="20"/>
        </w:rPr>
        <w:t xml:space="preserve">, 35(2), 155–160.</w:t>
      </w:r>
    </w:p>
    <w:p>
      <w:pPr>
        <w:spacing w:after="100" w:line="280"/>
        <w:ind w:left="567" w:hanging="567"/>
        <w:jc w:val="left"/>
      </w:pPr>
      <w:r>
        <w:rPr>
          <w:rFonts w:ascii="Arial" w:cs="Arial" w:eastAsia="Arial" w:hAnsi="Arial"/>
          <w:sz w:val="20"/>
          <w:szCs w:val="20"/>
        </w:rPr>
        <w:t xml:space="preserve">Dickey, D. A., &amp; Fuller, W. A. (1979). Distribution of the estimators for autoregressive time series with a unit root. </w:t>
      </w:r>
      <w:r>
        <w:rPr>
          <w:rFonts w:ascii="Arial" w:cs="Arial" w:eastAsia="Arial" w:hAnsi="Arial"/>
          <w:i/>
          <w:iCs/>
          <w:sz w:val="20"/>
          <w:szCs w:val="20"/>
        </w:rPr>
        <w:t xml:space="preserve">Journal of the American Statistical Association</w:t>
      </w:r>
      <w:r>
        <w:rPr>
          <w:rFonts w:ascii="Arial" w:cs="Arial" w:eastAsia="Arial" w:hAnsi="Arial"/>
          <w:sz w:val="20"/>
          <w:szCs w:val="20"/>
        </w:rPr>
        <w:t xml:space="preserve">, 74(366), 427–431.</w:t>
      </w:r>
    </w:p>
    <w:p>
      <w:pPr>
        <w:spacing w:after="100" w:line="280"/>
        <w:ind w:left="567" w:hanging="567"/>
        <w:jc w:val="left"/>
      </w:pPr>
      <w:r>
        <w:rPr>
          <w:rFonts w:ascii="Arial" w:cs="Arial" w:eastAsia="Arial" w:hAnsi="Arial"/>
          <w:sz w:val="20"/>
          <w:szCs w:val="20"/>
        </w:rPr>
        <w:t xml:space="preserve">Elliott, G., Rothenberg, T. J., &amp; Stock, J. H. (1996). Efficient tests for an autoregressive unit root. </w:t>
      </w:r>
      <w:r>
        <w:rPr>
          <w:rFonts w:ascii="Arial" w:cs="Arial" w:eastAsia="Arial" w:hAnsi="Arial"/>
          <w:i/>
          <w:iCs/>
          <w:sz w:val="20"/>
          <w:szCs w:val="20"/>
        </w:rPr>
        <w:t xml:space="preserve">Econometrica</w:t>
      </w:r>
      <w:r>
        <w:rPr>
          <w:rFonts w:ascii="Arial" w:cs="Arial" w:eastAsia="Arial" w:hAnsi="Arial"/>
          <w:sz w:val="20"/>
          <w:szCs w:val="20"/>
        </w:rPr>
        <w:t xml:space="preserve">, 64(4), 813–836.</w:t>
      </w:r>
    </w:p>
    <w:p>
      <w:pPr>
        <w:spacing w:after="100" w:line="280"/>
        <w:ind w:left="567" w:hanging="567"/>
        <w:jc w:val="left"/>
      </w:pPr>
      <w:r>
        <w:rPr>
          <w:rFonts w:ascii="Arial" w:cs="Arial" w:eastAsia="Arial" w:hAnsi="Arial"/>
          <w:sz w:val="20"/>
          <w:szCs w:val="20"/>
        </w:rPr>
        <w:t xml:space="preserve">Geweke, J., &amp; Porter-Hudak, S. (1983). The estimation and application of long memory time series models. </w:t>
      </w:r>
      <w:r>
        <w:rPr>
          <w:rFonts w:ascii="Arial" w:cs="Arial" w:eastAsia="Arial" w:hAnsi="Arial"/>
          <w:i/>
          <w:iCs/>
          <w:sz w:val="20"/>
          <w:szCs w:val="20"/>
        </w:rPr>
        <w:t xml:space="preserve">Journal of Time Series Analysis</w:t>
      </w:r>
      <w:r>
        <w:rPr>
          <w:rFonts w:ascii="Arial" w:cs="Arial" w:eastAsia="Arial" w:hAnsi="Arial"/>
          <w:sz w:val="20"/>
          <w:szCs w:val="20"/>
        </w:rPr>
        <w:t xml:space="preserve">, 4(4), 221–238.</w:t>
      </w:r>
    </w:p>
    <w:p>
      <w:pPr>
        <w:spacing w:after="100" w:line="280"/>
        <w:ind w:left="567" w:hanging="567"/>
        <w:jc w:val="left"/>
      </w:pPr>
      <w:r>
        <w:rPr>
          <w:rFonts w:ascii="Arial" w:cs="Arial" w:eastAsia="Arial" w:hAnsi="Arial"/>
          <w:sz w:val="20"/>
          <w:szCs w:val="20"/>
        </w:rPr>
        <w:t xml:space="preserve">Granger, C. W. J., &amp; Newbold, P. (1974). Spurious regressions in econometrics. </w:t>
      </w:r>
      <w:r>
        <w:rPr>
          <w:rFonts w:ascii="Arial" w:cs="Arial" w:eastAsia="Arial" w:hAnsi="Arial"/>
          <w:i/>
          <w:iCs/>
          <w:sz w:val="20"/>
          <w:szCs w:val="20"/>
        </w:rPr>
        <w:t xml:space="preserve">Journal of Econometrics</w:t>
      </w:r>
      <w:r>
        <w:rPr>
          <w:rFonts w:ascii="Arial" w:cs="Arial" w:eastAsia="Arial" w:hAnsi="Arial"/>
          <w:sz w:val="20"/>
          <w:szCs w:val="20"/>
        </w:rPr>
        <w:t xml:space="preserve">, 2(2), 111–120.</w:t>
      </w:r>
    </w:p>
    <w:p>
      <w:pPr>
        <w:spacing w:after="100" w:line="280"/>
        <w:ind w:left="567" w:hanging="567"/>
        <w:jc w:val="left"/>
      </w:pPr>
      <w:r>
        <w:rPr>
          <w:rFonts w:ascii="Arial" w:cs="Arial" w:eastAsia="Arial" w:hAnsi="Arial"/>
          <w:sz w:val="20"/>
          <w:szCs w:val="20"/>
        </w:rPr>
        <w:t xml:space="preserve">Hobijn, B., Franses, P. H., &amp; Ooms, M. (1998). Generalizations of the KPSS-test for stationarity. </w:t>
      </w:r>
      <w:r>
        <w:rPr>
          <w:rFonts w:ascii="Arial" w:cs="Arial" w:eastAsia="Arial" w:hAnsi="Arial"/>
          <w:i/>
          <w:iCs/>
          <w:sz w:val="20"/>
          <w:szCs w:val="20"/>
        </w:rPr>
        <w:t xml:space="preserve">Econometric Institute Research Report</w:t>
      </w:r>
      <w:r>
        <w:rPr>
          <w:rFonts w:ascii="Arial" w:cs="Arial" w:eastAsia="Arial" w:hAnsi="Arial"/>
          <w:sz w:val="20"/>
          <w:szCs w:val="20"/>
        </w:rPr>
        <w:t xml:space="preserve">, 9802.</w:t>
      </w:r>
    </w:p>
    <w:p>
      <w:pPr>
        <w:spacing w:after="100" w:line="280"/>
        <w:ind w:left="567" w:hanging="567"/>
        <w:jc w:val="left"/>
      </w:pPr>
      <w:r>
        <w:rPr>
          <w:rFonts w:ascii="Arial" w:cs="Arial" w:eastAsia="Arial" w:hAnsi="Arial"/>
          <w:sz w:val="20"/>
          <w:szCs w:val="20"/>
        </w:rPr>
        <w:t xml:space="preserve">Im, K. S., Pesaran, M. H., &amp; Shin, Y. (2003). Testing for unit roots in heterogeneous panels. </w:t>
      </w:r>
      <w:r>
        <w:rPr>
          <w:rFonts w:ascii="Arial" w:cs="Arial" w:eastAsia="Arial" w:hAnsi="Arial"/>
          <w:i/>
          <w:iCs/>
          <w:sz w:val="20"/>
          <w:szCs w:val="20"/>
        </w:rPr>
        <w:t xml:space="preserve">Journal of Econometrics</w:t>
      </w:r>
      <w:r>
        <w:rPr>
          <w:rFonts w:ascii="Arial" w:cs="Arial" w:eastAsia="Arial" w:hAnsi="Arial"/>
          <w:sz w:val="20"/>
          <w:szCs w:val="20"/>
        </w:rPr>
        <w:t xml:space="preserve">, 115(1), 53–74.</w:t>
      </w:r>
    </w:p>
    <w:p>
      <w:pPr>
        <w:spacing w:after="100" w:line="280"/>
        <w:ind w:left="567" w:hanging="567"/>
        <w:jc w:val="left"/>
      </w:pPr>
      <w:r>
        <w:rPr>
          <w:rFonts w:ascii="Arial" w:cs="Arial" w:eastAsia="Arial" w:hAnsi="Arial"/>
          <w:sz w:val="20"/>
          <w:szCs w:val="20"/>
        </w:rPr>
        <w:t xml:space="preserve">Kraaijeveld, O., &amp; De Smedt, J. (2020). The predictive power of public Twitter sentiment for forecasting cryptocurrency prices. </w:t>
      </w:r>
      <w:r>
        <w:rPr>
          <w:rFonts w:ascii="Arial" w:cs="Arial" w:eastAsia="Arial" w:hAnsi="Arial"/>
          <w:i/>
          <w:iCs/>
          <w:sz w:val="20"/>
          <w:szCs w:val="20"/>
        </w:rPr>
        <w:t xml:space="preserve">Journal of International Financial Markets, Institutions and Money</w:t>
      </w:r>
      <w:r>
        <w:rPr>
          <w:rFonts w:ascii="Arial" w:cs="Arial" w:eastAsia="Arial" w:hAnsi="Arial"/>
          <w:sz w:val="20"/>
          <w:szCs w:val="20"/>
        </w:rPr>
        <w:t xml:space="preserve">, 65, 101188.</w:t>
      </w:r>
    </w:p>
    <w:p>
      <w:pPr>
        <w:spacing w:after="100" w:line="280"/>
        <w:ind w:left="567" w:hanging="567"/>
        <w:jc w:val="left"/>
      </w:pPr>
      <w:r>
        <w:rPr>
          <w:rFonts w:ascii="Arial" w:cs="Arial" w:eastAsia="Arial" w:hAnsi="Arial"/>
          <w:sz w:val="20"/>
          <w:szCs w:val="20"/>
        </w:rPr>
        <w:t xml:space="preserve">Kwiatkowski, D., Phillips, P. C. B., Schmidt, P., &amp; Shin, Y. (1992). Testing the null hypothesis of stationarity against the alternative of a unit root. </w:t>
      </w:r>
      <w:r>
        <w:rPr>
          <w:rFonts w:ascii="Arial" w:cs="Arial" w:eastAsia="Arial" w:hAnsi="Arial"/>
          <w:i/>
          <w:iCs/>
          <w:sz w:val="20"/>
          <w:szCs w:val="20"/>
        </w:rPr>
        <w:t xml:space="preserve">Journal of Econometrics</w:t>
      </w:r>
      <w:r>
        <w:rPr>
          <w:rFonts w:ascii="Arial" w:cs="Arial" w:eastAsia="Arial" w:hAnsi="Arial"/>
          <w:sz w:val="20"/>
          <w:szCs w:val="20"/>
        </w:rPr>
        <w:t xml:space="preserve">, 54(1–3), 159–178.</w:t>
      </w:r>
    </w:p>
    <w:p>
      <w:pPr>
        <w:spacing w:after="100" w:line="280"/>
        <w:ind w:left="567" w:hanging="567"/>
        <w:jc w:val="left"/>
      </w:pPr>
      <w:r>
        <w:rPr>
          <w:rFonts w:ascii="Arial" w:cs="Arial" w:eastAsia="Arial" w:hAnsi="Arial"/>
          <w:sz w:val="20"/>
          <w:szCs w:val="20"/>
        </w:rPr>
        <w:t xml:space="preserve">Lumsdaine, R. L., &amp; Papell, D. H. (1997). Multiple trend breaks and the unit-root hypothesis. </w:t>
      </w:r>
      <w:r>
        <w:rPr>
          <w:rFonts w:ascii="Arial" w:cs="Arial" w:eastAsia="Arial" w:hAnsi="Arial"/>
          <w:i/>
          <w:iCs/>
          <w:sz w:val="20"/>
          <w:szCs w:val="20"/>
        </w:rPr>
        <w:t xml:space="preserve">Review of Economics and Statistics</w:t>
      </w:r>
      <w:r>
        <w:rPr>
          <w:rFonts w:ascii="Arial" w:cs="Arial" w:eastAsia="Arial" w:hAnsi="Arial"/>
          <w:sz w:val="20"/>
          <w:szCs w:val="20"/>
        </w:rPr>
        <w:t xml:space="preserve">, 79(2), 212–218.</w:t>
      </w:r>
    </w:p>
    <w:p>
      <w:pPr>
        <w:spacing w:after="100" w:line="280"/>
        <w:ind w:left="567" w:hanging="567"/>
        <w:jc w:val="left"/>
      </w:pPr>
      <w:r>
        <w:rPr>
          <w:rFonts w:ascii="Arial" w:cs="Arial" w:eastAsia="Arial" w:hAnsi="Arial"/>
          <w:sz w:val="20"/>
          <w:szCs w:val="20"/>
        </w:rPr>
        <w:t xml:space="preserve">Maddala, G. S., &amp; Kim, I.-M. (1998). </w:t>
      </w:r>
      <w:r>
        <w:rPr>
          <w:rFonts w:ascii="Arial" w:cs="Arial" w:eastAsia="Arial" w:hAnsi="Arial"/>
          <w:i/>
          <w:iCs/>
          <w:sz w:val="20"/>
          <w:szCs w:val="20"/>
        </w:rPr>
        <w:t xml:space="preserve">Unit Roots, Cointegration, and Structural Change</w:t>
      </w:r>
      <w:r>
        <w:rPr>
          <w:rFonts w:ascii="Arial" w:cs="Arial" w:eastAsia="Arial" w:hAnsi="Arial"/>
          <w:sz w:val="20"/>
          <w:szCs w:val="20"/>
        </w:rPr>
        <w:t xml:space="preserve">. Cambridge University Press.</w:t>
      </w:r>
    </w:p>
    <w:p>
      <w:pPr>
        <w:spacing w:after="100" w:line="280"/>
        <w:ind w:left="567" w:hanging="567"/>
        <w:jc w:val="left"/>
      </w:pPr>
      <w:r>
        <w:rPr>
          <w:rFonts w:ascii="Arial" w:cs="Arial" w:eastAsia="Arial" w:hAnsi="Arial"/>
          <w:sz w:val="20"/>
          <w:szCs w:val="20"/>
        </w:rPr>
        <w:t xml:space="preserve">Massey, F. J. (1951). The Kolmogorov-Smirnov test for goodness of fit. </w:t>
      </w:r>
      <w:r>
        <w:rPr>
          <w:rFonts w:ascii="Arial" w:cs="Arial" w:eastAsia="Arial" w:hAnsi="Arial"/>
          <w:i/>
          <w:iCs/>
          <w:sz w:val="20"/>
          <w:szCs w:val="20"/>
        </w:rPr>
        <w:t xml:space="preserve">Journal of the American Statistical Association</w:t>
      </w:r>
      <w:r>
        <w:rPr>
          <w:rFonts w:ascii="Arial" w:cs="Arial" w:eastAsia="Arial" w:hAnsi="Arial"/>
          <w:sz w:val="20"/>
          <w:szCs w:val="20"/>
        </w:rPr>
        <w:t xml:space="preserve">, 46(253), 68–78.</w:t>
      </w:r>
    </w:p>
    <w:p>
      <w:pPr>
        <w:spacing w:after="100" w:line="280"/>
        <w:ind w:left="567" w:hanging="567"/>
        <w:jc w:val="left"/>
      </w:pPr>
      <w:r>
        <w:rPr>
          <w:rFonts w:ascii="Arial" w:cs="Arial" w:eastAsia="Arial" w:hAnsi="Arial"/>
          <w:sz w:val="20"/>
          <w:szCs w:val="20"/>
        </w:rPr>
        <w:t xml:space="preserve">Ng, S., &amp; Perron, P. (2001). Lag length selection and the construction of unit root tests with good size and power. </w:t>
      </w:r>
      <w:r>
        <w:rPr>
          <w:rFonts w:ascii="Arial" w:cs="Arial" w:eastAsia="Arial" w:hAnsi="Arial"/>
          <w:i/>
          <w:iCs/>
          <w:sz w:val="20"/>
          <w:szCs w:val="20"/>
        </w:rPr>
        <w:t xml:space="preserve">Econometrica</w:t>
      </w:r>
      <w:r>
        <w:rPr>
          <w:rFonts w:ascii="Arial" w:cs="Arial" w:eastAsia="Arial" w:hAnsi="Arial"/>
          <w:sz w:val="20"/>
          <w:szCs w:val="20"/>
        </w:rPr>
        <w:t xml:space="preserve">, 69(6), 1519–1554.</w:t>
      </w:r>
    </w:p>
    <w:p>
      <w:pPr>
        <w:spacing w:after="100" w:line="280"/>
        <w:ind w:left="567" w:hanging="567"/>
        <w:jc w:val="left"/>
      </w:pPr>
      <w:r>
        <w:rPr>
          <w:rFonts w:ascii="Arial" w:cs="Arial" w:eastAsia="Arial" w:hAnsi="Arial"/>
          <w:sz w:val="20"/>
          <w:szCs w:val="20"/>
        </w:rPr>
        <w:t xml:space="preserve">Pesaran, M. H. (2007). A simple panel unit root test in the presence of cross-section dependence. </w:t>
      </w:r>
      <w:r>
        <w:rPr>
          <w:rFonts w:ascii="Arial" w:cs="Arial" w:eastAsia="Arial" w:hAnsi="Arial"/>
          <w:i/>
          <w:iCs/>
          <w:sz w:val="20"/>
          <w:szCs w:val="20"/>
        </w:rPr>
        <w:t xml:space="preserve">Journal of Applied Econometrics</w:t>
      </w:r>
      <w:r>
        <w:rPr>
          <w:rFonts w:ascii="Arial" w:cs="Arial" w:eastAsia="Arial" w:hAnsi="Arial"/>
          <w:sz w:val="20"/>
          <w:szCs w:val="20"/>
        </w:rPr>
        <w:t xml:space="preserve">, 22(2), 265–312.</w:t>
      </w:r>
    </w:p>
    <w:p>
      <w:pPr>
        <w:spacing w:after="100" w:line="280"/>
        <w:ind w:left="567" w:hanging="567"/>
        <w:jc w:val="left"/>
      </w:pPr>
      <w:r>
        <w:rPr>
          <w:rFonts w:ascii="Arial" w:cs="Arial" w:eastAsia="Arial" w:hAnsi="Arial"/>
          <w:sz w:val="20"/>
          <w:szCs w:val="20"/>
        </w:rPr>
        <w:t xml:space="preserve">Phillips, P. C. B. (1987). Towards a unified asymptotic theory for autoregression. </w:t>
      </w:r>
      <w:r>
        <w:rPr>
          <w:rFonts w:ascii="Arial" w:cs="Arial" w:eastAsia="Arial" w:hAnsi="Arial"/>
          <w:i/>
          <w:iCs/>
          <w:sz w:val="20"/>
          <w:szCs w:val="20"/>
        </w:rPr>
        <w:t xml:space="preserve">Biometrika</w:t>
      </w:r>
      <w:r>
        <w:rPr>
          <w:rFonts w:ascii="Arial" w:cs="Arial" w:eastAsia="Arial" w:hAnsi="Arial"/>
          <w:sz w:val="20"/>
          <w:szCs w:val="20"/>
        </w:rPr>
        <w:t xml:space="preserve">, 74(3), 535–547.</w:t>
      </w:r>
    </w:p>
    <w:p>
      <w:pPr>
        <w:spacing w:after="100" w:line="280"/>
        <w:ind w:left="567" w:hanging="567"/>
        <w:jc w:val="left"/>
      </w:pPr>
      <w:r>
        <w:rPr>
          <w:rFonts w:ascii="Arial" w:cs="Arial" w:eastAsia="Arial" w:hAnsi="Arial"/>
          <w:sz w:val="20"/>
          <w:szCs w:val="20"/>
        </w:rPr>
        <w:t xml:space="preserve">Phillips, P. C. B., &amp; Perron, P. (1988). Testing for a unit root in time series regression. </w:t>
      </w:r>
      <w:r>
        <w:rPr>
          <w:rFonts w:ascii="Arial" w:cs="Arial" w:eastAsia="Arial" w:hAnsi="Arial"/>
          <w:i/>
          <w:iCs/>
          <w:sz w:val="20"/>
          <w:szCs w:val="20"/>
        </w:rPr>
        <w:t xml:space="preserve">Biometrika</w:t>
      </w:r>
      <w:r>
        <w:rPr>
          <w:rFonts w:ascii="Arial" w:cs="Arial" w:eastAsia="Arial" w:hAnsi="Arial"/>
          <w:sz w:val="20"/>
          <w:szCs w:val="20"/>
        </w:rPr>
        <w:t xml:space="preserve">, 75(2), 335–346.</w:t>
      </w:r>
    </w:p>
    <w:p>
      <w:pPr>
        <w:spacing w:after="100" w:line="280"/>
        <w:ind w:left="567" w:hanging="567"/>
        <w:jc w:val="left"/>
      </w:pPr>
      <w:r>
        <w:rPr>
          <w:rFonts w:ascii="Arial" w:cs="Arial" w:eastAsia="Arial" w:hAnsi="Arial"/>
          <w:sz w:val="20"/>
          <w:szCs w:val="20"/>
        </w:rPr>
        <w:t xml:space="preserve">Said, S. E., &amp; Dickey, D. A. (1984). Testing for unit roots in autoregressive-moving average models of unknown order. </w:t>
      </w:r>
      <w:r>
        <w:rPr>
          <w:rFonts w:ascii="Arial" w:cs="Arial" w:eastAsia="Arial" w:hAnsi="Arial"/>
          <w:i/>
          <w:iCs/>
          <w:sz w:val="20"/>
          <w:szCs w:val="20"/>
        </w:rPr>
        <w:t xml:space="preserve">Biometrika</w:t>
      </w:r>
      <w:r>
        <w:rPr>
          <w:rFonts w:ascii="Arial" w:cs="Arial" w:eastAsia="Arial" w:hAnsi="Arial"/>
          <w:sz w:val="20"/>
          <w:szCs w:val="20"/>
        </w:rPr>
        <w:t xml:space="preserve">, 71(3), 599–607.</w:t>
      </w:r>
    </w:p>
    <w:p>
      <w:pPr>
        <w:spacing w:after="100" w:line="280"/>
        <w:ind w:left="567" w:hanging="567"/>
        <w:jc w:val="left"/>
      </w:pPr>
      <w:r>
        <w:rPr>
          <w:rFonts w:ascii="Arial" w:cs="Arial" w:eastAsia="Arial" w:hAnsi="Arial"/>
          <w:sz w:val="20"/>
          <w:szCs w:val="20"/>
        </w:rPr>
        <w:t xml:space="preserve">Schwert, G. W. (1989). Tests for unit roots: A Monte Carlo investigation. </w:t>
      </w:r>
      <w:r>
        <w:rPr>
          <w:rFonts w:ascii="Arial" w:cs="Arial" w:eastAsia="Arial" w:hAnsi="Arial"/>
          <w:i/>
          <w:iCs/>
          <w:sz w:val="20"/>
          <w:szCs w:val="20"/>
        </w:rPr>
        <w:t xml:space="preserve">Journal of Business &amp; Economic Statistics</w:t>
      </w:r>
      <w:r>
        <w:rPr>
          <w:rFonts w:ascii="Arial" w:cs="Arial" w:eastAsia="Arial" w:hAnsi="Arial"/>
          <w:sz w:val="20"/>
          <w:szCs w:val="20"/>
        </w:rPr>
        <w:t xml:space="preserve">, 7(2), 147–159.</w:t>
      </w:r>
    </w:p>
    <w:p>
      <w:pPr>
        <w:spacing w:after="100" w:line="280"/>
        <w:ind w:left="567" w:hanging="567"/>
        <w:jc w:val="left"/>
      </w:pPr>
      <w:r>
        <w:rPr>
          <w:rFonts w:ascii="Arial" w:cs="Arial" w:eastAsia="Arial" w:hAnsi="Arial"/>
          <w:sz w:val="20"/>
          <w:szCs w:val="20"/>
        </w:rPr>
        <w:t xml:space="preserve">Stock, J. H. (1991). Confidence intervals for the largest autoregressive root in U.S. macroeconomic time series. </w:t>
      </w:r>
      <w:r>
        <w:rPr>
          <w:rFonts w:ascii="Arial" w:cs="Arial" w:eastAsia="Arial" w:hAnsi="Arial"/>
          <w:i/>
          <w:iCs/>
          <w:sz w:val="20"/>
          <w:szCs w:val="20"/>
        </w:rPr>
        <w:t xml:space="preserve">Journal of Monetary Economics</w:t>
      </w:r>
      <w:r>
        <w:rPr>
          <w:rFonts w:ascii="Arial" w:cs="Arial" w:eastAsia="Arial" w:hAnsi="Arial"/>
          <w:sz w:val="20"/>
          <w:szCs w:val="20"/>
        </w:rPr>
        <w:t xml:space="preserve">, 28(3), 435–459.</w:t>
      </w:r>
    </w:p>
    <w:p>
      <w:pPr>
        <w:spacing w:after="100" w:line="280"/>
        <w:ind w:left="567" w:hanging="567"/>
        <w:jc w:val="left"/>
      </w:pPr>
      <w:r>
        <w:rPr>
          <w:rFonts w:ascii="Arial" w:cs="Arial" w:eastAsia="Arial" w:hAnsi="Arial"/>
          <w:sz w:val="20"/>
          <w:szCs w:val="20"/>
        </w:rPr>
        <w:t xml:space="preserve">Stock, J. H. (1994). Unit roots, structural breaks and trends. In R. F. Engle &amp; D. L. McFadden (Eds.), </w:t>
      </w:r>
      <w:r>
        <w:rPr>
          <w:rFonts w:ascii="Arial" w:cs="Arial" w:eastAsia="Arial" w:hAnsi="Arial"/>
          <w:i/>
          <w:iCs/>
          <w:sz w:val="20"/>
          <w:szCs w:val="20"/>
        </w:rPr>
        <w:t xml:space="preserve">Handbook of Econometrics, Vol. 4</w:t>
      </w:r>
      <w:r>
        <w:rPr>
          <w:rFonts w:ascii="Arial" w:cs="Arial" w:eastAsia="Arial" w:hAnsi="Arial"/>
          <w:sz w:val="20"/>
          <w:szCs w:val="20"/>
        </w:rPr>
        <w:t xml:space="preserve"> (pp. 2739–2841). Elsevier.</w:t>
      </w:r>
    </w:p>
    <w:p>
      <w:pPr>
        <w:spacing w:after="100" w:line="280"/>
        <w:ind w:left="567" w:hanging="567"/>
        <w:jc w:val="left"/>
      </w:pPr>
      <w:r>
        <w:rPr>
          <w:rFonts w:ascii="Arial" w:cs="Arial" w:eastAsia="Arial" w:hAnsi="Arial"/>
          <w:sz w:val="20"/>
          <w:szCs w:val="20"/>
        </w:rPr>
        <w:t xml:space="preserve">Sugiyama, M., Krauledat, M., &amp; Müller, K.-R. (2007). Covariate shift adaptation by importance weighted cross validation. </w:t>
      </w:r>
      <w:r>
        <w:rPr>
          <w:rFonts w:ascii="Arial" w:cs="Arial" w:eastAsia="Arial" w:hAnsi="Arial"/>
          <w:i/>
          <w:iCs/>
          <w:sz w:val="20"/>
          <w:szCs w:val="20"/>
        </w:rPr>
        <w:t xml:space="preserve">Journal of Machine Learning Research</w:t>
      </w:r>
      <w:r>
        <w:rPr>
          <w:rFonts w:ascii="Arial" w:cs="Arial" w:eastAsia="Arial" w:hAnsi="Arial"/>
          <w:sz w:val="20"/>
          <w:szCs w:val="20"/>
        </w:rPr>
        <w:t xml:space="preserve">, 8, 985–1005.</w:t>
      </w:r>
    </w:p>
    <w:p>
      <w:pPr>
        <w:spacing w:after="100" w:line="280"/>
        <w:ind w:left="567" w:hanging="567"/>
        <w:jc w:val="left"/>
      </w:pPr>
      <w:r>
        <w:rPr>
          <w:rFonts w:ascii="Arial" w:cs="Arial" w:eastAsia="Arial" w:hAnsi="Arial"/>
          <w:sz w:val="20"/>
          <w:szCs w:val="20"/>
        </w:rPr>
        <w:t xml:space="preserve">Zivot, E., &amp; Andrews, D. W. K. (1992). Further evidence on the great crash, the oil-price shock, and the unit-root hypothesis. </w:t>
      </w:r>
      <w:r>
        <w:rPr>
          <w:rFonts w:ascii="Arial" w:cs="Arial" w:eastAsia="Arial" w:hAnsi="Arial"/>
          <w:i/>
          <w:iCs/>
          <w:sz w:val="20"/>
          <w:szCs w:val="20"/>
        </w:rPr>
        <w:t xml:space="preserve">Journal of Business &amp; Economic Statistics</w:t>
      </w:r>
      <w:r>
        <w:rPr>
          <w:rFonts w:ascii="Arial" w:cs="Arial" w:eastAsia="Arial" w:hAnsi="Arial"/>
          <w:sz w:val="20"/>
          <w:szCs w:val="20"/>
        </w:rPr>
        <w:t xml:space="preserve">, 20(1), 25–44.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20"/>
        <w:szCs w:val="20"/>
      </w:rPr>
      <w:t xml:space="preserve">Seite </w:t>
    </w:r>
    <w:r>
      <w:rPr>
        <w:rFonts w:ascii="Arial" w:cs="Arial" w:eastAsia="Arial" w:hAnsi="Arial"/>
        <w:color w:val="8080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20"/>
        <w:szCs w:val="20"/>
      </w:rPr>
      <w:t xml:space="preserve">Anhang Y – Stationaritätsdiagnostik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F5496"/>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Stationaritaet (v2)</dc:title>
  <dc:creator>Philip</dc:creator>
  <cp:lastModifiedBy>Un-named</cp:lastModifiedBy>
  <cp:revision>1</cp:revision>
  <dcterms:created xsi:type="dcterms:W3CDTF">2026-05-04T08:53:30.449Z</dcterms:created>
  <dcterms:modified xsi:type="dcterms:W3CDTF">2026-05-04T08:53:30.449Z</dcterms:modified>
</cp:coreProperties>
</file>

<file path=docProps/custom.xml><?xml version="1.0" encoding="utf-8"?>
<Properties xmlns="http://schemas.openxmlformats.org/officeDocument/2006/custom-properties" xmlns:vt="http://schemas.openxmlformats.org/officeDocument/2006/docPropsVTypes"/>
</file>