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embeddings/oleObject1.bin" ContentType="application/vnd.openxmlformats-officedocument.oleObject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spacing w:val="16"/>
          <w:sz w:val="23"/>
        </w:rPr>
      </w:pPr>
      <w:r>
        <w:rPr>
          <w:rFonts w:cs="Times New Roman" w:ascii="Times New Roman" w:hAnsi="Times New Roman"/>
          <w:spacing w:val="16"/>
          <w:sz w:val="23"/>
        </w:rPr>
        <w:object>
          <v:shape id="ole_rId2" style="width:56.9pt;height:56.9pt" o:ole="">
            <v:imagedata r:id="rId3" o:title=""/>
          </v:shape>
          <o:OLEObject Type="Embed" ProgID="" ShapeID="ole_rId2" DrawAspect="Content" ObjectID="_650937866" r:id="rId2"/>
        </w:object>
      </w:r>
      <w:r>
        <w:rPr>
          <w:rFonts w:cs="Times New Roman" w:ascii="Times New Roman" w:hAnsi="Times New Roman"/>
          <w:spacing w:val="16"/>
          <w:sz w:val="23"/>
        </w:rPr>
        <w:t>UNIVERSITY OF CALIFORNIA, BERKELEY</w:t>
      </w: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5642610</wp:posOffset>
                </wp:positionH>
                <wp:positionV relativeFrom="paragraph">
                  <wp:posOffset>256540</wp:posOffset>
                </wp:positionV>
                <wp:extent cx="1463040" cy="274320"/>
                <wp:effectExtent l="0" t="0" r="0" b="0"/>
                <wp:wrapSquare wrapText="largest"/>
                <wp:docPr id="1" name="Rahmen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74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30"/>
                              <w:jc w:val="right"/>
                              <w:rPr>
                                <w:rFonts w:ascii="Times New Roman" w:hAnsi="Times New Roman" w:cs="Times New Roman"/>
                                <w:spacing w:val="8"/>
                                <w:sz w:val="1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pacing w:val="8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cs="Times New Roman" w:ascii="Times New Roman" w:hAnsi="Times New Roman"/>
                                <w:spacing w:val="8"/>
                                <w:sz w:val="12"/>
                              </w:rPr>
                              <w:t>SANTA BARBARA  • SANTA CRUZ</w:t>
                            </w:r>
                          </w:p>
                          <w:p>
                            <w:pPr>
                              <w:pStyle w:val="Normal"/>
                              <w:spacing w:before="0" w:after="30"/>
                              <w:rPr>
                                <w:rFonts w:ascii="NewCenturySchlbk" w:hAnsi="NewCenturySchlbk" w:cs="NewCenturySchlbk"/>
                                <w:spacing w:val="8"/>
                                <w:sz w:val="11"/>
                              </w:rPr>
                            </w:pPr>
                            <w:r>
                              <w:rPr>
                                <w:rFonts w:cs="NewCenturySchlbk" w:ascii="NewCenturySchlbk" w:hAnsi="NewCenturySchlbk"/>
                                <w:spacing w:val="8"/>
                                <w:sz w:val="11"/>
                              </w:rPr>
                            </w:r>
                          </w:p>
                        </w:txbxContent>
                      </wps:txbx>
                      <wps:bodyPr anchor="t" lIns="0" tIns="50800" rIns="0" b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5.2pt;height:21.6pt;margin-top:20.2pt;mso-position-vertical-relative:text;margin-left:444.3pt;mso-position-horizontal-relative:page">
                <v:fill opacity="0f"/>
                <v:textbox inset="0in,0.0555555555555556in,0in,0.0555555555555556in">
                  <w:txbxContent>
                    <w:p>
                      <w:pPr>
                        <w:pStyle w:val="Normal"/>
                        <w:spacing w:before="0" w:after="30"/>
                        <w:jc w:val="right"/>
                        <w:rPr>
                          <w:rFonts w:ascii="Times New Roman" w:hAnsi="Times New Roman" w:cs="Times New Roman"/>
                          <w:spacing w:val="8"/>
                          <w:sz w:val="12"/>
                        </w:rPr>
                      </w:pPr>
                      <w:r>
                        <w:rPr>
                          <w:rFonts w:cs="Times New Roman" w:ascii="Times New Roman" w:hAnsi="Times New Roman"/>
                          <w:spacing w:val="8"/>
                          <w:sz w:val="12"/>
                        </w:rPr>
                        <w:t xml:space="preserve"> </w:t>
                      </w:r>
                      <w:r>
                        <w:rPr>
                          <w:rFonts w:cs="Times New Roman" w:ascii="Times New Roman" w:hAnsi="Times New Roman"/>
                          <w:spacing w:val="8"/>
                          <w:sz w:val="12"/>
                        </w:rPr>
                        <w:t>SANTA BARBARA  • SANTA CRUZ</w:t>
                      </w:r>
                    </w:p>
                    <w:p>
                      <w:pPr>
                        <w:pStyle w:val="Normal"/>
                        <w:spacing w:before="0" w:after="30"/>
                        <w:rPr>
                          <w:rFonts w:ascii="NewCenturySchlbk" w:hAnsi="NewCenturySchlbk" w:cs="NewCenturySchlbk"/>
                          <w:spacing w:val="8"/>
                          <w:sz w:val="11"/>
                        </w:rPr>
                      </w:pPr>
                      <w:r>
                        <w:rPr>
                          <w:rFonts w:cs="NewCenturySchlbk" w:ascii="NewCenturySchlbk" w:hAnsi="NewCenturySchlbk"/>
                          <w:spacing w:val="8"/>
                          <w:sz w:val="11"/>
                        </w:rPr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margin">
                  <wp:posOffset>0</wp:posOffset>
                </wp:positionH>
                <wp:positionV relativeFrom="paragraph">
                  <wp:posOffset>256540</wp:posOffset>
                </wp:positionV>
                <wp:extent cx="4142105" cy="274320"/>
                <wp:effectExtent l="0" t="0" r="0" b="0"/>
                <wp:wrapSquare wrapText="largest"/>
                <wp:docPr id="2" name="Rahmen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2105" cy="2743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Times New Roman" w:hAnsi="Times New Roman" w:cs="Times New Roman"/>
                                <w:spacing w:val="6"/>
                                <w:sz w:val="1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pacing w:val="6"/>
                                <w:sz w:val="12"/>
                              </w:rPr>
                              <w:t>BERKELEY  • DAVIS  •  IRVINE  • LOS ANGELES  • MERCED  • RIVERSIDE  • SAN DIEGO  • SAN FRANCISCO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NewCenturySchlbk" w:hAnsi="NewCenturySchlbk" w:cs="NewCenturySchlbk"/>
                                <w:spacing w:val="6"/>
                                <w:sz w:val="11"/>
                              </w:rPr>
                            </w:pPr>
                            <w:r>
                              <w:rPr>
                                <w:rFonts w:cs="NewCenturySchlbk" w:ascii="NewCenturySchlbk" w:hAnsi="NewCenturySchlbk"/>
                                <w:spacing w:val="6"/>
                                <w:sz w:val="11"/>
                              </w:rPr>
                            </w:r>
                          </w:p>
                        </w:txbxContent>
                      </wps:txbx>
                      <wps:bodyPr anchor="t" lIns="0" tIns="50800" rIns="0" bIns="508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326.15pt;height:21.6pt;margin-top:20.2pt;mso-position-vertical-relative:text;margin-left:0pt;mso-position-horizontal-relative:margin">
                <v:fill opacity="0f"/>
                <v:textbox inset="0in,0.0555555555555556in,0in,0.0555555555555556in">
                  <w:txbxContent>
                    <w:p>
                      <w:pPr>
                        <w:pStyle w:val="Normal"/>
                        <w:rPr>
                          <w:rFonts w:ascii="Times New Roman" w:hAnsi="Times New Roman" w:cs="Times New Roman"/>
                          <w:spacing w:val="6"/>
                          <w:sz w:val="12"/>
                        </w:rPr>
                      </w:pPr>
                      <w:r>
                        <w:rPr>
                          <w:rFonts w:cs="Times New Roman" w:ascii="Times New Roman" w:hAnsi="Times New Roman"/>
                          <w:spacing w:val="6"/>
                          <w:sz w:val="12"/>
                        </w:rPr>
                        <w:t>BERKELEY  • DAVIS  •  IRVINE  • LOS ANGELES  • MERCED  • RIVERSIDE  • SAN DIEGO  • SAN FRANCISCO</w:t>
                      </w:r>
                    </w:p>
                    <w:p>
                      <w:pPr>
                        <w:pStyle w:val="Normal"/>
                        <w:rPr>
                          <w:rFonts w:ascii="NewCenturySchlbk" w:hAnsi="NewCenturySchlbk" w:cs="NewCenturySchlbk"/>
                          <w:spacing w:val="6"/>
                          <w:sz w:val="11"/>
                        </w:rPr>
                      </w:pPr>
                      <w:r>
                        <w:rPr>
                          <w:rFonts w:cs="NewCenturySchlbk" w:ascii="NewCenturySchlbk" w:hAnsi="NewCenturySchlbk"/>
                          <w:spacing w:val="6"/>
                          <w:sz w:val="11"/>
                        </w:rPr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>
          <w:rFonts w:ascii="NewCenturySchlbk" w:hAnsi="NewCenturySchlbk" w:cs="NewCenturySchlbk"/>
          <w:sz w:val="21"/>
          <w:szCs w:val="21"/>
        </w:rPr>
      </w:pPr>
      <w:r>
        <w:rPr>
          <w:rFonts w:cs="NewCenturySchlbk" w:ascii="NewCenturySchlbk" w:hAnsi="NewCenturySchlbk"/>
          <w:sz w:val="21"/>
          <w:szCs w:val="21"/>
        </w:rPr>
      </w:r>
    </w:p>
    <w:p>
      <w:pPr>
        <w:pStyle w:val="Normal"/>
        <w:numPr>
          <w:ilvl w:val="0"/>
          <w:numId w:val="0"/>
        </w:numPr>
        <w:tabs>
          <w:tab w:val="left" w:pos="5760" w:leader="none"/>
        </w:tabs>
        <w:outlineLvl w:val="0"/>
        <w:rPr>
          <w:rFonts w:ascii="Times New Roman" w:hAnsi="Times New Roman" w:cs="Times New Roman"/>
          <w:b/>
          <w:b/>
          <w:bCs/>
          <w:sz w:val="21"/>
          <w:szCs w:val="21"/>
        </w:rPr>
      </w:pPr>
      <w:r>
        <w:rPr>
          <w:rFonts w:cs="Times New Roman" w:ascii="Times New Roman" w:hAnsi="Times New Roman"/>
          <w:b/>
          <w:bCs/>
          <w:sz w:val="21"/>
          <w:szCs w:val="21"/>
        </w:rPr>
        <w:t>Research Statement: Philipp Strack</w:t>
      </w:r>
    </w:p>
    <w:p>
      <w:pPr>
        <w:pStyle w:val="Normal"/>
        <w:tabs>
          <w:tab w:val="left" w:pos="5760" w:leader="none"/>
        </w:tabs>
        <w:rPr>
          <w:rFonts w:ascii="Times New Roman" w:hAnsi="Times New Roman" w:cs="Times New Roman"/>
          <w:sz w:val="12"/>
          <w:szCs w:val="12"/>
        </w:rPr>
      </w:pPr>
      <w:r>
        <w:rPr>
          <w:rFonts w:cs="Times New Roman" w:ascii="Times New Roman" w:hAnsi="Times New Roman"/>
          <w:sz w:val="12"/>
          <w:szCs w:val="12"/>
        </w:rPr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I am a microeconomic theorist interested in how people behave and interact in dynamic situations. M</w:t>
      </w:r>
      <w:r>
        <w:rPr>
          <w:rFonts w:cs="Times New Roman" w:ascii="Times New Roman" w:hAnsi="Times New Roman"/>
          <w:sz w:val="21"/>
          <w:szCs w:val="21"/>
        </w:rPr>
        <w:t xml:space="preserve">y research </w:t>
      </w:r>
      <w:r>
        <w:rPr>
          <w:rFonts w:cs="Times New Roman" w:ascii="Times New Roman" w:hAnsi="Times New Roman"/>
          <w:sz w:val="21"/>
          <w:szCs w:val="21"/>
        </w:rPr>
        <w:t>explores</w:t>
      </w:r>
      <w:r>
        <w:rPr>
          <w:rFonts w:cs="Times New Roman" w:ascii="Times New Roman" w:hAnsi="Times New Roman"/>
          <w:sz w:val="21"/>
          <w:szCs w:val="21"/>
        </w:rPr>
        <w:t xml:space="preserve"> </w:t>
      </w:r>
      <w:r>
        <w:rPr>
          <w:rFonts w:cs="Times New Roman" w:ascii="Times New Roman" w:hAnsi="Times New Roman"/>
          <w:sz w:val="21"/>
          <w:szCs w:val="21"/>
        </w:rPr>
        <w:t>questions of</w:t>
      </w:r>
      <w:r>
        <w:rPr>
          <w:rFonts w:cs="Times New Roman" w:ascii="Times New Roman" w:hAnsi="Times New Roman"/>
          <w:sz w:val="21"/>
          <w:szCs w:val="21"/>
        </w:rPr>
        <w:t xml:space="preserve"> mechanism design, learning, dynamic </w:t>
      </w:r>
      <w:r>
        <w:rPr>
          <w:rFonts w:cs="Times New Roman" w:ascii="Times New Roman" w:hAnsi="Times New Roman"/>
          <w:sz w:val="21"/>
          <w:szCs w:val="21"/>
        </w:rPr>
        <w:t xml:space="preserve">non-expected utility models </w:t>
      </w:r>
      <w:r>
        <w:rPr>
          <w:rFonts w:cs="Times New Roman" w:ascii="Times New Roman" w:hAnsi="Times New Roman"/>
          <w:sz w:val="21"/>
          <w:szCs w:val="21"/>
        </w:rPr>
        <w:t>and contests.</w:t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 w:cs="Times New Roman"/>
          <w:sz w:val="12"/>
          <w:szCs w:val="12"/>
          <w:u w:val="single"/>
        </w:rPr>
      </w:pPr>
      <w:r>
        <w:rPr>
          <w:rFonts w:cs="Times New Roman" w:ascii="Times New Roman" w:hAnsi="Times New Roman"/>
          <w:sz w:val="12"/>
          <w:szCs w:val="12"/>
          <w:u w:val="single"/>
        </w:rPr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Learning and the Timing of Decisions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 xml:space="preserve">: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Consider a customer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who chooses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between two product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s.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I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s she more likely to pick the product which maximizes her utility when she chooses quickly?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Fudenberg, Strack &amp; Strzalecki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(2016) study the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correlation between the timing of decisions and their likelihood of being correct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.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We find that in a sequential sampling model (Wald, 19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47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), where the difference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between the utilities of the choices is ex-ante unknown, quick choice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s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are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on average more likely to be correct.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This provides an explanation for the common empirical finding that quick decision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s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tend to be better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in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experiments (cf. Swensson, 1972; Luce, 1986; Ratcliff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&amp;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McKoon, 2008).</w:t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 w:cs="Times New Roman"/>
          <w:i w:val="false"/>
          <w:i w:val="false"/>
          <w:iCs w:val="false"/>
          <w:sz w:val="12"/>
          <w:szCs w:val="12"/>
          <w:u w:val="none"/>
        </w:rPr>
      </w:pPr>
      <w:r>
        <w:rPr>
          <w:rFonts w:cs="Times New Roman" w:ascii="Times New Roman" w:hAnsi="Times New Roman"/>
          <w:i w:val="false"/>
          <w:iCs w:val="false"/>
          <w:sz w:val="12"/>
          <w:szCs w:val="12"/>
          <w:u w:val="none"/>
        </w:rPr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 xml:space="preserve">Learning under Misspecification: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H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ow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do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economic agents with misspecified </w:t>
      </w:r>
      <w:r>
        <w:rPr>
          <w:rFonts w:cs="Times New Roman" w:ascii="Times New Roman" w:hAnsi="Times New Roman"/>
          <w:sz w:val="21"/>
          <w:szCs w:val="21"/>
          <w:u w:val="none"/>
        </w:rPr>
        <w:t>beliefs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learn? </w:t>
      </w:r>
      <w:r>
        <w:rPr>
          <w:rFonts w:cs="Times New Roman" w:ascii="Times New Roman" w:hAnsi="Times New Roman"/>
          <w:sz w:val="21"/>
          <w:szCs w:val="21"/>
          <w:u w:val="none"/>
        </w:rPr>
        <w:t>C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onsider,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for example,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an agent who is overconfident about her own ability and observes the output of </w:t>
      </w:r>
      <w:r>
        <w:rPr>
          <w:rFonts w:cs="Times New Roman" w:ascii="Times New Roman" w:hAnsi="Times New Roman"/>
          <w:sz w:val="21"/>
          <w:szCs w:val="21"/>
          <w:u w:val="none"/>
        </w:rPr>
        <w:t>her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team. As she overestimates her own produc</w:t>
      </w:r>
      <w:r>
        <w:rPr>
          <w:rFonts w:cs="Times New Roman" w:ascii="Times New Roman" w:hAnsi="Times New Roman"/>
          <w:sz w:val="21"/>
          <w:szCs w:val="21"/>
          <w:u w:val="none"/>
        </w:rPr>
        <w:t>tivity,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she will be disappointed by the team’</w:t>
      </w:r>
      <w:r>
        <w:rPr>
          <w:rFonts w:cs="Times New Roman" w:ascii="Times New Roman" w:hAnsi="Times New Roman"/>
          <w:sz w:val="21"/>
          <w:szCs w:val="21"/>
          <w:u w:val="none"/>
        </w:rPr>
        <w:t>s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output and thus tend to think that her team mates are of lower ability than </w:t>
      </w:r>
      <w:r>
        <w:rPr>
          <w:rFonts w:cs="Times New Roman" w:ascii="Times New Roman" w:hAnsi="Times New Roman"/>
          <w:sz w:val="21"/>
          <w:szCs w:val="21"/>
          <w:u w:val="none"/>
        </w:rPr>
        <w:t>they truly are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. Heidhues, Koszegi &amp; Strack (2016)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show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that this miss-inference caused by the agent’s overconfidence </w:t>
      </w:r>
      <w:r>
        <w:rPr>
          <w:rFonts w:cs="Times New Roman" w:ascii="Times New Roman" w:hAnsi="Times New Roman"/>
          <w:sz w:val="21"/>
          <w:szCs w:val="21"/>
          <w:u w:val="none"/>
        </w:rPr>
        <w:t>is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self-reinforcing and </w:t>
      </w:r>
      <w:r>
        <w:rPr>
          <w:rFonts w:cs="Times New Roman" w:ascii="Times New Roman" w:hAnsi="Times New Roman"/>
          <w:sz w:val="21"/>
          <w:szCs w:val="21"/>
          <w:u w:val="none"/>
        </w:rPr>
        <w:t>drives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sz w:val="21"/>
          <w:szCs w:val="21"/>
          <w:u w:val="none"/>
        </w:rPr>
        <w:t>her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beliefs systematically away from the truth.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The ability to learn consequently harms overconfident agents as learning leads them to worse decisions.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In Fudenberg, Romanyuk &amp; Strack (2016), we characterize long-run beliefs and actions for general misspecified beliefs under a Binomial prior. </w:t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 w:cs="Times New Roman"/>
          <w:sz w:val="12"/>
          <w:szCs w:val="12"/>
          <w:u w:val="none"/>
        </w:rPr>
      </w:pPr>
      <w:r>
        <w:rPr>
          <w:rFonts w:cs="Times New Roman" w:ascii="Times New Roman" w:hAnsi="Times New Roman"/>
          <w:sz w:val="12"/>
          <w:szCs w:val="12"/>
          <w:u w:val="none"/>
        </w:rPr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Social Learning: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sz w:val="21"/>
          <w:szCs w:val="21"/>
          <w:u w:val="none"/>
        </w:rPr>
        <w:t>E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conomic agents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often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do not only learn from their own experience. </w:t>
      </w:r>
      <w:r>
        <w:rPr>
          <w:rFonts w:cs="Times New Roman" w:ascii="Times New Roman" w:hAnsi="Times New Roman"/>
          <w:sz w:val="21"/>
          <w:szCs w:val="21"/>
          <w:u w:val="none"/>
        </w:rPr>
        <w:t>A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customer </w:t>
      </w:r>
      <w:r>
        <w:rPr>
          <w:rFonts w:cs="Times New Roman" w:ascii="Times New Roman" w:hAnsi="Times New Roman"/>
          <w:sz w:val="21"/>
          <w:szCs w:val="21"/>
          <w:u w:val="none"/>
        </w:rPr>
        <w:t>could learn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about the quality of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a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product by observing other customers’ choices.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In </w:t>
      </w:r>
      <w:r>
        <w:rPr>
          <w:rFonts w:ascii="Times New Roman" w:hAnsi="Times New Roman"/>
          <w:sz w:val="21"/>
          <w:szCs w:val="21"/>
          <w:u w:val="none"/>
        </w:rPr>
        <w:t xml:space="preserve">Harel, Mossel, Strack &amp; Tamuz (2016), </w:t>
      </w:r>
      <w:r>
        <w:rPr>
          <w:rFonts w:ascii="Times New Roman" w:hAnsi="Times New Roman"/>
          <w:sz w:val="21"/>
          <w:szCs w:val="21"/>
          <w:u w:val="none"/>
        </w:rPr>
        <w:t xml:space="preserve">we </w:t>
      </w:r>
      <w:r>
        <w:rPr>
          <w:rFonts w:ascii="Times New Roman" w:hAnsi="Times New Roman"/>
          <w:sz w:val="21"/>
          <w:szCs w:val="21"/>
          <w:u w:val="none"/>
        </w:rPr>
        <w:t xml:space="preserve">explore how </w:t>
      </w:r>
      <w:r>
        <w:rPr>
          <w:rFonts w:ascii="Times New Roman" w:hAnsi="Times New Roman"/>
          <w:sz w:val="21"/>
          <w:szCs w:val="21"/>
          <w:u w:val="none"/>
        </w:rPr>
        <w:t>rational</w:t>
      </w:r>
      <w:r>
        <w:rPr>
          <w:rFonts w:ascii="Times New Roman" w:hAnsi="Times New Roman"/>
          <w:sz w:val="21"/>
          <w:szCs w:val="21"/>
          <w:u w:val="none"/>
        </w:rPr>
        <w:t xml:space="preserve"> agents learn </w:t>
      </w:r>
      <w:r>
        <w:rPr>
          <w:rFonts w:ascii="Times New Roman" w:hAnsi="Times New Roman"/>
          <w:sz w:val="21"/>
          <w:szCs w:val="21"/>
          <w:u w:val="none"/>
        </w:rPr>
        <w:t>from</w:t>
      </w:r>
      <w:r>
        <w:rPr>
          <w:rFonts w:ascii="Times New Roman" w:hAnsi="Times New Roman"/>
          <w:sz w:val="21"/>
          <w:szCs w:val="21"/>
          <w:u w:val="none"/>
        </w:rPr>
        <w:t xml:space="preserve"> the actions of other</w:t>
      </w:r>
      <w:r>
        <w:rPr>
          <w:rFonts w:ascii="Times New Roman" w:hAnsi="Times New Roman"/>
          <w:sz w:val="21"/>
          <w:szCs w:val="21"/>
          <w:u w:val="none"/>
        </w:rPr>
        <w:t>s</w:t>
      </w:r>
      <w:r>
        <w:rPr>
          <w:rFonts w:ascii="Times New Roman" w:hAnsi="Times New Roman"/>
          <w:sz w:val="21"/>
          <w:szCs w:val="21"/>
          <w:u w:val="none"/>
        </w:rPr>
        <w:t xml:space="preserve"> </w:t>
      </w:r>
      <w:r>
        <w:rPr>
          <w:rFonts w:ascii="Times New Roman" w:hAnsi="Times New Roman"/>
          <w:sz w:val="21"/>
          <w:szCs w:val="21"/>
          <w:u w:val="none"/>
        </w:rPr>
        <w:t>who face</w:t>
      </w:r>
      <w:r>
        <w:rPr>
          <w:rFonts w:ascii="Times New Roman" w:hAnsi="Times New Roman"/>
          <w:sz w:val="21"/>
          <w:szCs w:val="21"/>
          <w:u w:val="none"/>
        </w:rPr>
        <w:t xml:space="preserve"> similar decision problems. </w:t>
      </w:r>
      <w:r>
        <w:rPr>
          <w:rFonts w:ascii="Times New Roman" w:hAnsi="Times New Roman"/>
          <w:sz w:val="21"/>
          <w:szCs w:val="21"/>
          <w:u w:val="none"/>
        </w:rPr>
        <w:t xml:space="preserve">We </w:t>
      </w:r>
      <w:r>
        <w:rPr>
          <w:rFonts w:ascii="Times New Roman" w:hAnsi="Times New Roman"/>
          <w:sz w:val="21"/>
          <w:szCs w:val="21"/>
          <w:u w:val="none"/>
        </w:rPr>
        <w:t>show</w:t>
      </w:r>
      <w:r>
        <w:rPr>
          <w:rFonts w:ascii="Times New Roman" w:hAnsi="Times New Roman"/>
          <w:sz w:val="21"/>
          <w:szCs w:val="21"/>
          <w:u w:val="none"/>
        </w:rPr>
        <w:t xml:space="preserve"> that only a small fraction of the original </w:t>
      </w:r>
      <w:r>
        <w:rPr>
          <w:rFonts w:ascii="Times New Roman" w:hAnsi="Times New Roman"/>
          <w:sz w:val="21"/>
          <w:szCs w:val="21"/>
          <w:u w:val="none"/>
        </w:rPr>
        <w:t xml:space="preserve">private </w:t>
      </w:r>
      <w:r>
        <w:rPr>
          <w:rFonts w:ascii="Times New Roman" w:hAnsi="Times New Roman"/>
          <w:sz w:val="21"/>
          <w:szCs w:val="21"/>
          <w:u w:val="none"/>
        </w:rPr>
        <w:t xml:space="preserve">information can be </w:t>
      </w:r>
      <w:r>
        <w:rPr>
          <w:rFonts w:ascii="Times New Roman" w:hAnsi="Times New Roman"/>
          <w:sz w:val="21"/>
          <w:szCs w:val="21"/>
          <w:u w:val="none"/>
        </w:rPr>
        <w:t>learned</w:t>
      </w:r>
      <w:r>
        <w:rPr>
          <w:rFonts w:ascii="Times New Roman" w:hAnsi="Times New Roman"/>
          <w:sz w:val="21"/>
          <w:szCs w:val="21"/>
          <w:u w:val="none"/>
        </w:rPr>
        <w:t xml:space="preserve"> from actions. </w:t>
      </w:r>
      <w:r>
        <w:rPr>
          <w:rFonts w:ascii="Times New Roman" w:hAnsi="Times New Roman"/>
          <w:sz w:val="21"/>
          <w:szCs w:val="21"/>
          <w:u w:val="none"/>
        </w:rPr>
        <w:t xml:space="preserve">This result </w:t>
      </w:r>
      <w:r>
        <w:rPr>
          <w:rFonts w:ascii="Times New Roman" w:hAnsi="Times New Roman"/>
          <w:sz w:val="21"/>
          <w:szCs w:val="21"/>
          <w:u w:val="none"/>
        </w:rPr>
        <w:t>implies</w:t>
      </w:r>
      <w:r>
        <w:rPr>
          <w:rFonts w:ascii="Times New Roman" w:hAnsi="Times New Roman"/>
          <w:sz w:val="21"/>
          <w:szCs w:val="21"/>
          <w:u w:val="none"/>
        </w:rPr>
        <w:t xml:space="preserve"> that decentralized information aggregation with rational agents will fail in many contexts and provides a justification for institutions that aggregate information. </w:t>
      </w:r>
      <w:r>
        <w:rPr>
          <w:rFonts w:cs="Times New Roman" w:ascii="Times New Roman" w:hAnsi="Times New Roman"/>
          <w:sz w:val="21"/>
          <w:szCs w:val="21"/>
          <w:u w:val="none"/>
        </w:rPr>
        <w:t>Heidhues, Rady &amp; Strack (2015)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show that communication through cheap talk messages can sometimes incentivize efficient information acquisition and transmission. </w:t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 w:cs="Times New Roman"/>
          <w:sz w:val="12"/>
          <w:szCs w:val="12"/>
          <w:u w:val="none"/>
        </w:rPr>
      </w:pPr>
      <w:r>
        <w:rPr>
          <w:rFonts w:cs="Times New Roman" w:ascii="Times New Roman" w:hAnsi="Times New Roman"/>
          <w:sz w:val="12"/>
          <w:szCs w:val="12"/>
          <w:u w:val="none"/>
        </w:rPr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/>
          <w:sz w:val="21"/>
          <w:szCs w:val="21"/>
        </w:rPr>
      </w:pP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Mechanism Design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: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sz w:val="21"/>
          <w:szCs w:val="21"/>
          <w:u w:val="none"/>
        </w:rPr>
        <w:t>Many contracts - like phone contracts, gym memberships, repeated procurement auctions - govern long-</w:t>
      </w:r>
      <w:r>
        <w:rPr>
          <w:rFonts w:cs="Times New Roman" w:ascii="Times New Roman" w:hAnsi="Times New Roman"/>
          <w:sz w:val="21"/>
          <w:szCs w:val="21"/>
          <w:u w:val="none"/>
        </w:rPr>
        <w:t>term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relationships. The recent literature in dynamic mechanism design studies how to </w:t>
      </w:r>
      <w:r>
        <w:rPr>
          <w:rFonts w:cs="Times New Roman" w:ascii="Times New Roman" w:hAnsi="Times New Roman"/>
          <w:sz w:val="21"/>
          <w:szCs w:val="21"/>
          <w:u w:val="none"/>
        </w:rPr>
        <w:t>structure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such long-</w:t>
      </w:r>
      <w:r>
        <w:rPr>
          <w:rFonts w:cs="Times New Roman" w:ascii="Times New Roman" w:hAnsi="Times New Roman"/>
          <w:sz w:val="21"/>
          <w:szCs w:val="21"/>
          <w:u w:val="none"/>
        </w:rPr>
        <w:t>term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contracts in order to maximize a given objective like social welfare or revenue. In Kruse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&amp;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Strack (2015, </w:t>
      </w:r>
      <w:r>
        <w:rPr>
          <w:rFonts w:cs="Times New Roman" w:ascii="Times New Roman" w:hAnsi="Times New Roman"/>
          <w:sz w:val="21"/>
          <w:szCs w:val="21"/>
          <w:u w:val="none"/>
        </w:rPr>
        <w:t>2016a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), we derive optimal contracts for irreversible investment and general optimal stopping problems. In Bergemann </w:t>
      </w:r>
      <w:r>
        <w:rPr>
          <w:rFonts w:cs="Times New Roman" w:ascii="Times New Roman" w:hAnsi="Times New Roman"/>
          <w:sz w:val="21"/>
          <w:szCs w:val="21"/>
          <w:u w:val="none"/>
        </w:rPr>
        <w:t>&amp;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Strack (2015, 2016),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we </w:t>
      </w:r>
      <w:r>
        <w:rPr>
          <w:rFonts w:cs="Times New Roman" w:ascii="Times New Roman" w:hAnsi="Times New Roman"/>
          <w:sz w:val="21"/>
          <w:szCs w:val="21"/>
          <w:u w:val="none"/>
        </w:rPr>
        <w:t>explore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optimal contracts for repeated sales and procurement situations.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Gershkov, Moldovanu &amp; Strack (2016) </w:t>
      </w:r>
      <w:r>
        <w:rPr>
          <w:rFonts w:cs="Times New Roman" w:ascii="Times New Roman" w:hAnsi="Times New Roman"/>
          <w:sz w:val="21"/>
          <w:szCs w:val="21"/>
          <w:u w:val="none"/>
        </w:rPr>
        <w:t>derive a revenue maximizing sales mechanism when buyer</w:t>
      </w:r>
      <w:r>
        <w:rPr>
          <w:rFonts w:cs="Times New Roman" w:ascii="Times New Roman" w:hAnsi="Times New Roman"/>
          <w:sz w:val="21"/>
          <w:szCs w:val="21"/>
          <w:u w:val="none"/>
        </w:rPr>
        <w:t>s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arrive stochastically and time their purchase strategically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.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In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Strack &amp; Kruse (2016b),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we want to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analyze </w:t>
      </w:r>
      <w:r>
        <w:rPr>
          <w:rFonts w:cs="Times New Roman" w:ascii="Times New Roman" w:hAnsi="Times New Roman"/>
          <w:sz w:val="21"/>
          <w:szCs w:val="21"/>
          <w:u w:val="none"/>
        </w:rPr>
        <w:t>under what circumstances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local incentive compatibility conditions imply global incentive compatibility in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dynamic mechanism design problems.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Fu, Immorlica, Lucier &amp; Strack (2015) consider the optimal design of a </w:t>
      </w:r>
      <w:r>
        <w:rPr>
          <w:rFonts w:cs="Times New Roman" w:ascii="Times New Roman" w:hAnsi="Times New Roman"/>
          <w:sz w:val="21"/>
          <w:szCs w:val="21"/>
          <w:u w:val="none"/>
        </w:rPr>
        <w:t>static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auction when the designer does not know the distributions of the bidders’ valuations and 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takes </w:t>
      </w:r>
      <w:r>
        <w:rPr>
          <w:rFonts w:cs="Times New Roman" w:ascii="Times New Roman" w:hAnsi="Times New Roman"/>
          <w:sz w:val="21"/>
          <w:szCs w:val="21"/>
          <w:u w:val="none"/>
        </w:rPr>
        <w:t>a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 worst case </w:t>
      </w:r>
      <w:r>
        <w:rPr>
          <w:rFonts w:cs="Times New Roman" w:ascii="Times New Roman" w:hAnsi="Times New Roman"/>
          <w:sz w:val="21"/>
          <w:szCs w:val="21"/>
          <w:u w:val="none"/>
        </w:rPr>
        <w:t>approach</w:t>
      </w:r>
      <w:r>
        <w:rPr>
          <w:rFonts w:cs="Times New Roman" w:ascii="Times New Roman" w:hAnsi="Times New Roman"/>
          <w:sz w:val="21"/>
          <w:szCs w:val="21"/>
          <w:u w:val="none"/>
        </w:rPr>
        <w:t xml:space="preserve">. </w:t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 w:cs="Times New Roman"/>
          <w:sz w:val="12"/>
          <w:szCs w:val="12"/>
          <w:u w:val="none"/>
        </w:rPr>
      </w:pPr>
      <w:r>
        <w:rPr>
          <w:rFonts w:cs="Times New Roman" w:ascii="Times New Roman" w:hAnsi="Times New Roman"/>
          <w:sz w:val="12"/>
          <w:szCs w:val="12"/>
          <w:u w:val="none"/>
        </w:rPr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 w:cs="Times New Roman"/>
          <w:sz w:val="21"/>
          <w:szCs w:val="21"/>
          <w:u w:val="none"/>
        </w:rPr>
      </w:pP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D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 xml:space="preserve">ynamic 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M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 xml:space="preserve">odels of 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N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on-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E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 xml:space="preserve">xpected 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U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tility: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While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e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xpected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u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tility (EU) is well understood in a static as well as in a dynamic context, a lot of research on non-EU preferences has focused on static context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s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. Ebert &amp; Strack (2015) consider an extension of prospect theory (PT) to the dynamic context. We find that a 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 xml:space="preserve">naive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PT decision maker without commitment will never stop gambling, which predicts that she will always go bankrupt in a casino and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never sell a stock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even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if it is profitable to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do so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immediately.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In contrast,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Ebert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&amp;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Strack (2016) show that a 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 xml:space="preserve">sophisticated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PT decision maker without commitment will never start gambling, i.e. will behave like an infinitely risk-averse EU agent. Viefers &amp; Strack (2016a,b) explore anticipated regret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(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Lomes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&amp;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Sugden,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1982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)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in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a dynamic model both analytically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and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experimentally.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We find that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subjects are reluctant to accept an offer below the best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past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offer and show that this is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consistent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with the minimization of anticipated regret.</w:t>
      </w:r>
    </w:p>
    <w:p>
      <w:pPr>
        <w:pStyle w:val="Normal"/>
        <w:tabs>
          <w:tab w:val="left" w:pos="5760" w:leader="none"/>
        </w:tabs>
        <w:spacing w:lineRule="auto" w:line="240"/>
        <w:rPr>
          <w:rFonts w:ascii="Times New Roman" w:hAnsi="Times New Roman" w:cs="Times New Roman"/>
          <w:sz w:val="12"/>
          <w:szCs w:val="12"/>
          <w:u w:val="none"/>
        </w:rPr>
      </w:pPr>
      <w:r>
        <w:rPr>
          <w:rFonts w:cs="Times New Roman" w:ascii="Times New Roman" w:hAnsi="Times New Roman"/>
          <w:sz w:val="12"/>
          <w:szCs w:val="12"/>
          <w:u w:val="none"/>
        </w:rPr>
      </w:r>
    </w:p>
    <w:p>
      <w:pPr>
        <w:pStyle w:val="Normal"/>
        <w:tabs>
          <w:tab w:val="left" w:pos="5760" w:leader="none"/>
          <w:tab w:val="left" w:pos="7338" w:leader="none"/>
        </w:tabs>
        <w:spacing w:lineRule="auto" w:line="240"/>
        <w:rPr>
          <w:rFonts w:ascii="Times New Roman" w:hAnsi="Times New Roman"/>
        </w:rPr>
      </w:pP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>C</w:t>
      </w:r>
      <w:r>
        <w:rPr>
          <w:rFonts w:cs="Times New Roman" w:ascii="Times New Roman" w:hAnsi="Times New Roman"/>
          <w:i/>
          <w:iCs/>
          <w:sz w:val="21"/>
          <w:szCs w:val="21"/>
          <w:u w:val="none"/>
        </w:rPr>
        <w:t xml:space="preserve">ontests: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Many economic situations take the form of a contest. As fund managers’ compensation mainly depends on their relative performance, they should behave as if they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were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competing in a contest. Strack (2016) studies the competition between fund managers in a dynamic financial market model </w:t>
      </w:r>
      <w:r>
        <w:rPr>
          <w:rFonts w:eastAsia="Times New Roman" w:cs="Times New Roman" w:ascii="Times New Roman" w:hAnsi="Times New Roman"/>
          <w:i w:val="false"/>
          <w:iCs w:val="false"/>
          <w:sz w:val="21"/>
          <w:szCs w:val="21"/>
          <w:u w:val="none"/>
        </w:rPr>
        <w:t>à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la Black Scholes.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The paper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proves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that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in equilibrium, fund managers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use inefficiently risky investment strategies.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T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he more competitive the managed fund market becomes, the larger the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resulting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welfare loss.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As in 2013, 46.3% of US households held investments into managed funds valued at 17.1 trillion US dollars, this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excessive risk-taking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is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clearly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relevant for social welfare.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Seel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&amp;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Strack (2013, 2015) develop a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novel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continuous time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contest model where contestants learn about their own performance over time, but not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about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their competitors’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performance,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 and can dynamically decide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 xml:space="preserve">when </w:t>
      </w:r>
      <w:r>
        <w:rPr>
          <w:rFonts w:cs="Times New Roman" w:ascii="Times New Roman" w:hAnsi="Times New Roman"/>
          <w:i w:val="false"/>
          <w:iCs w:val="false"/>
          <w:sz w:val="21"/>
          <w:szCs w:val="21"/>
          <w:u w:val="none"/>
        </w:rPr>
        <w:t>to stop exerting effort. Lang, Seel and Strack (2014) study the role of deadlines in such a dynamic contest model.</w:t>
      </w:r>
    </w:p>
    <w:sectPr>
      <w:type w:val="nextPage"/>
      <w:pgSz w:w="12240" w:h="15840"/>
      <w:pgMar w:left="1037" w:right="1080" w:header="0" w:top="778" w:footer="0" w:bottom="630" w:gutter="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ewCenturySchlbk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Berschrift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" w:hAnsi="Times" w:eastAsia="Times New Roman" w:cs="Times New Roman"/>
      <w:color w:val="auto"/>
      <w:sz w:val="24"/>
      <w:szCs w:val="20"/>
      <w:lang w:val="en-US" w:bidi="ar-SA" w:eastAsia="zh-CN"/>
    </w:rPr>
  </w:style>
  <w:style w:type="paragraph" w:styleId="Berschrift1">
    <w:name w:val="Heading 1"/>
    <w:basedOn w:val="Normal"/>
    <w:next w:val="Normal"/>
    <w:qFormat/>
    <w:pPr>
      <w:keepNext/>
      <w:numPr>
        <w:ilvl w:val="0"/>
        <w:numId w:val="1"/>
      </w:numPr>
      <w:jc w:val="center"/>
      <w:outlineLvl w:val="0"/>
      <w:outlineLvl w:val="0"/>
    </w:pPr>
    <w:rPr>
      <w:rFonts w:eastAsia="Times"/>
      <w:b/>
      <w:sz w:val="40"/>
    </w:rPr>
  </w:style>
  <w:style w:type="character" w:styleId="DefaultParagraphFont">
    <w:name w:val="Default Paragraph Font"/>
    <w:qFormat/>
    <w:rPr/>
  </w:style>
  <w:style w:type="character" w:styleId="Funotenzeichen">
    <w:name w:val="Fußnotenzeichen"/>
    <w:qFormat/>
    <w:rPr>
      <w:position w:val="6"/>
      <w:sz w:val="18"/>
    </w:rPr>
  </w:style>
  <w:style w:type="character" w:styleId="Internetlink">
    <w:name w:val="Internetlink"/>
    <w:rPr>
      <w:color w:val="0000FF"/>
      <w:u w:val="single"/>
    </w:rPr>
  </w:style>
  <w:style w:type="paragraph" w:styleId="Berschrift">
    <w:name w:val="Überschrift"/>
    <w:basedOn w:val="Normal"/>
    <w:next w:val="Textkrper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krper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Textkrper"/>
    <w:pPr/>
    <w:rPr>
      <w:rFonts w:cs="FreeSans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Inhaltsverzeichnis3">
    <w:name w:val="TOC 3"/>
    <w:basedOn w:val="Normal"/>
    <w:next w:val="Normal"/>
    <w:pPr>
      <w:tabs>
        <w:tab w:val="left" w:pos="8280" w:leader="dot"/>
        <w:tab w:val="right" w:pos="8640" w:leader="none"/>
      </w:tabs>
      <w:ind w:left="1440" w:right="720" w:hanging="0"/>
    </w:pPr>
    <w:rPr/>
  </w:style>
  <w:style w:type="paragraph" w:styleId="Inhaltsverzeichnis2">
    <w:name w:val="TOC 2"/>
    <w:basedOn w:val="Normal"/>
    <w:next w:val="Normal"/>
    <w:pPr>
      <w:tabs>
        <w:tab w:val="left" w:pos="8280" w:leader="dot"/>
        <w:tab w:val="right" w:pos="8640" w:leader="none"/>
      </w:tabs>
      <w:ind w:left="720" w:right="720" w:hanging="0"/>
    </w:pPr>
    <w:rPr/>
  </w:style>
  <w:style w:type="paragraph" w:styleId="Inhaltsverzeichnis1">
    <w:name w:val="TOC 1"/>
    <w:basedOn w:val="Normal"/>
    <w:next w:val="Normal"/>
    <w:pPr>
      <w:tabs>
        <w:tab w:val="left" w:pos="8280" w:leader="dot"/>
        <w:tab w:val="right" w:pos="8640" w:leader="none"/>
      </w:tabs>
      <w:ind w:left="0" w:right="720" w:hanging="0"/>
    </w:pPr>
    <w:rPr/>
  </w:style>
  <w:style w:type="paragraph" w:styleId="Fuzeile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Kopfzeile">
    <w:name w:val="Head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Funote">
    <w:name w:val="Footnote Text"/>
    <w:basedOn w:val="Normal"/>
    <w:pPr/>
    <w:rPr>
      <w:sz w:val="20"/>
    </w:rPr>
  </w:style>
  <w:style w:type="paragraph" w:styleId="PostScript">
    <w:name w:val="PostScript"/>
    <w:basedOn w:val="Normal"/>
    <w:next w:val="Normal"/>
    <w:qFormat/>
    <w:pPr/>
    <w:rPr>
      <w:b/>
      <w:vanish/>
      <w:sz w:val="20"/>
    </w:rPr>
  </w:style>
  <w:style w:type="paragraph" w:styleId="DocumentMap">
    <w:name w:val="Document Map"/>
    <w:basedOn w:val="Normal"/>
    <w:qFormat/>
    <w:pPr/>
    <w:rPr>
      <w:rFonts w:ascii="Helvetica" w:hAnsi="Helvetica" w:eastAsia="MS Gothic;ＭＳ ゴシック" w:cs="Helvetica"/>
    </w:rPr>
  </w:style>
  <w:style w:type="paragraph" w:styleId="Rahmeninhalt">
    <w:name w:val="Rahmeninhalt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689</TotalTime>
  <Application>LibreOffice/5.1.4.2$Linux_X86_64 LibreOffice_project/10m0$Build-2</Application>
  <Pages>1</Pages>
  <Words>872</Words>
  <Characters>4853</Characters>
  <CharactersWithSpaces>5727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2010-11-20T00:40:00Z</dcterms:created>
  <dc:creator>cannon</dc:creator>
  <dc:description>Using BMP UC Seal</dc:description>
  <dc:language>en-US</dc:language>
  <cp:lastModifiedBy/>
  <cp:lastPrinted>2011-11-30T15:03:00Z</cp:lastPrinted>
  <dcterms:modified xsi:type="dcterms:W3CDTF">2016-09-02T12:39:51Z</dcterms:modified>
  <cp:revision>96</cp:revision>
  <dc:subject/>
  <dc:title>UCB Letterhead TT</dc:title>
</cp:coreProperties>
</file>