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2ED3" w14:textId="6A381CC4" w:rsidR="00711FD1" w:rsidRDefault="00545EE1">
      <w:r>
        <w:t>Der Code setzt sich zusammen aus</w:t>
      </w:r>
      <w:r w:rsidR="0083765F">
        <w:t xml:space="preserve"> </w:t>
      </w:r>
      <w:r>
        <w:t>Einzelplan, Kapitel</w:t>
      </w:r>
      <w:r w:rsidR="00711FD1">
        <w:t xml:space="preserve"> u</w:t>
      </w:r>
      <w:r w:rsidR="0083765F">
        <w:t>nd dem Haushaltstitel</w:t>
      </w:r>
      <w:r w:rsidR="00711FD1">
        <w:t>.</w:t>
      </w:r>
      <w:r w:rsidR="0083765F">
        <w:t xml:space="preserve"> </w:t>
      </w:r>
      <w:r w:rsidR="00711FD1">
        <w:t xml:space="preserve">Der </w:t>
      </w:r>
      <w:r w:rsidR="0083765F">
        <w:t>Haushaltstitel</w:t>
      </w:r>
      <w:r w:rsidR="00711FD1">
        <w:t xml:space="preserve"> hat die Struktur </w:t>
      </w:r>
      <w:proofErr w:type="spellStart"/>
      <w:r w:rsidR="00711FD1" w:rsidRPr="00711FD1">
        <w:rPr>
          <w:b/>
          <w:bCs/>
          <w:color w:val="51275F" w:themeColor="accent2"/>
        </w:rPr>
        <w:t>d</w:t>
      </w:r>
      <w:r w:rsidR="00711FD1" w:rsidRPr="00711FD1">
        <w:rPr>
          <w:b/>
          <w:bCs/>
          <w:color w:val="A55FBD" w:themeColor="accent2" w:themeTint="99"/>
        </w:rPr>
        <w:t>d</w:t>
      </w:r>
      <w:r w:rsidR="00711FD1" w:rsidRPr="00711FD1">
        <w:rPr>
          <w:b/>
          <w:bCs/>
          <w:color w:val="C394D3" w:themeColor="accent2" w:themeTint="66"/>
        </w:rPr>
        <w:t>d</w:t>
      </w:r>
      <w:proofErr w:type="spellEnd"/>
      <w:r w:rsidR="00711FD1" w:rsidRPr="00711FD1">
        <w:rPr>
          <w:b/>
          <w:bCs/>
        </w:rPr>
        <w:t xml:space="preserve"> </w:t>
      </w:r>
      <w:proofErr w:type="spellStart"/>
      <w:r w:rsidR="00711FD1" w:rsidRPr="00711FD1">
        <w:rPr>
          <w:b/>
          <w:bCs/>
          <w:color w:val="636CC8" w:themeColor="accent1" w:themeTint="80"/>
        </w:rPr>
        <w:t>dd</w:t>
      </w:r>
      <w:proofErr w:type="spellEnd"/>
      <w:r w:rsidR="00711FD1" w:rsidRPr="00711FD1">
        <w:rPr>
          <w:b/>
          <w:bCs/>
        </w:rPr>
        <w:t xml:space="preserve"> – </w:t>
      </w:r>
      <w:proofErr w:type="spellStart"/>
      <w:r w:rsidR="00711FD1" w:rsidRPr="00711FD1">
        <w:rPr>
          <w:b/>
          <w:bCs/>
          <w:color w:val="E21833" w:themeColor="accent5" w:themeShade="BF"/>
        </w:rPr>
        <w:t>ddd</w:t>
      </w:r>
      <w:proofErr w:type="spellEnd"/>
      <w:r w:rsidR="00711FD1">
        <w:t xml:space="preserve"> oder F </w:t>
      </w:r>
      <w:proofErr w:type="spellStart"/>
      <w:r w:rsidR="00711FD1">
        <w:t>ddd</w:t>
      </w:r>
      <w:proofErr w:type="spellEnd"/>
      <w:r w:rsidR="00711FD1">
        <w:t xml:space="preserve"> </w:t>
      </w:r>
      <w:proofErr w:type="spellStart"/>
      <w:r w:rsidR="00711FD1">
        <w:t>dd</w:t>
      </w:r>
      <w:proofErr w:type="spellEnd"/>
      <w:r w:rsidR="00711FD1">
        <w:t xml:space="preserve"> – </w:t>
      </w:r>
      <w:proofErr w:type="spellStart"/>
      <w:r w:rsidR="00711FD1">
        <w:t>ddd</w:t>
      </w:r>
      <w:proofErr w:type="spellEnd"/>
      <w:r w:rsidR="00711FD1">
        <w:t>.</w:t>
      </w:r>
    </w:p>
    <w:p w14:paraId="5E53ADE6" w14:textId="28272B06" w:rsidR="00545EE1" w:rsidRPr="00711FD1" w:rsidRDefault="00545EE1">
      <w:pPr>
        <w:rPr>
          <w:color w:val="E21833" w:themeColor="accent5" w:themeShade="BF"/>
        </w:rPr>
      </w:pPr>
      <w:r w:rsidRPr="00711FD1">
        <w:rPr>
          <w:b/>
          <w:bCs/>
          <w:color w:val="3C1D47" w:themeColor="accent2" w:themeShade="BF"/>
        </w:rPr>
        <w:t>Hauptgruppe</w:t>
      </w:r>
      <w:r>
        <w:t xml:space="preserve">, </w:t>
      </w:r>
      <w:r w:rsidRPr="00711FD1">
        <w:rPr>
          <w:b/>
          <w:bCs/>
          <w:color w:val="A55FBD" w:themeColor="accent2" w:themeTint="99"/>
        </w:rPr>
        <w:t>Obergruppe</w:t>
      </w:r>
      <w:r>
        <w:t xml:space="preserve">, </w:t>
      </w:r>
      <w:r w:rsidRPr="00711FD1">
        <w:rPr>
          <w:b/>
          <w:bCs/>
          <w:color w:val="C394D3" w:themeColor="accent2" w:themeTint="66"/>
        </w:rPr>
        <w:t>Gruppe</w:t>
      </w:r>
      <w:r w:rsidR="00711FD1">
        <w:rPr>
          <w:b/>
          <w:bCs/>
          <w:color w:val="C394D3" w:themeColor="accent2" w:themeTint="66"/>
        </w:rPr>
        <w:t xml:space="preserve"> </w:t>
      </w:r>
      <w:r w:rsidR="00711FD1">
        <w:rPr>
          <w:b/>
          <w:bCs/>
          <w:color w:val="C394D3" w:themeColor="accent2" w:themeTint="66"/>
        </w:rPr>
        <w:tab/>
      </w:r>
      <w:r w:rsidR="00711FD1" w:rsidRPr="00711FD1">
        <w:rPr>
          <w:b/>
          <w:bCs/>
          <w:color w:val="636CC8" w:themeColor="accent1" w:themeTint="80"/>
        </w:rPr>
        <w:t>Titelgruppe</w:t>
      </w:r>
      <w:r w:rsidR="0083765F">
        <w:rPr>
          <w:b/>
          <w:bCs/>
          <w:color w:val="636CC8" w:themeColor="accent1" w:themeTint="80"/>
        </w:rPr>
        <w:t>/Zählnummer</w:t>
      </w:r>
      <w:r w:rsidR="00711FD1">
        <w:rPr>
          <w:b/>
          <w:bCs/>
          <w:color w:val="636CC8" w:themeColor="accent1" w:themeTint="80"/>
        </w:rPr>
        <w:t xml:space="preserve"> </w:t>
      </w:r>
      <w:r w:rsidR="00711FD1" w:rsidRPr="00711FD1">
        <w:rPr>
          <w:b/>
          <w:bCs/>
        </w:rPr>
        <w:t>-</w:t>
      </w:r>
      <w:r w:rsidR="00711FD1">
        <w:rPr>
          <w:b/>
          <w:bCs/>
          <w:color w:val="636CC8" w:themeColor="accent1" w:themeTint="80"/>
        </w:rPr>
        <w:t xml:space="preserve">  </w:t>
      </w:r>
      <w:r w:rsidR="00711FD1" w:rsidRPr="00711FD1">
        <w:rPr>
          <w:b/>
          <w:bCs/>
          <w:color w:val="E21833" w:themeColor="accent5" w:themeShade="BF"/>
        </w:rPr>
        <w:t>Funktion</w:t>
      </w:r>
    </w:p>
    <w:p w14:paraId="545C5FA4" w14:textId="133297D2" w:rsidR="00545EE1" w:rsidRDefault="00711FD1">
      <w:r>
        <w:t xml:space="preserve">Kapitel sind teils festgelegt, die Gruppierung und Funktionen auch, siehe Links unten. </w:t>
      </w:r>
    </w:p>
    <w:p w14:paraId="7DC76E9C" w14:textId="6B9545A9" w:rsidR="0083765F" w:rsidRDefault="0083765F">
      <w:r>
        <w:t xml:space="preserve">Quelle fürs Grundsätzliche: </w:t>
      </w:r>
      <w:hyperlink r:id="rId4" w:history="1">
        <w:r w:rsidRPr="0083765F">
          <w:rPr>
            <w:rStyle w:val="Hyperlink"/>
          </w:rPr>
          <w:t>System der öffentlichen Haushalte</w:t>
        </w:r>
      </w:hyperlink>
      <w:r>
        <w:t xml:space="preserve"> </w:t>
      </w:r>
    </w:p>
    <w:p w14:paraId="32331445" w14:textId="7B3163CF" w:rsidR="00B330E8" w:rsidRDefault="00B330E8">
      <w:pPr>
        <w:rPr>
          <w:b/>
          <w:bCs/>
        </w:rPr>
      </w:pPr>
      <w:r w:rsidRPr="00B330E8">
        <w:rPr>
          <w:b/>
          <w:bCs/>
        </w:rPr>
        <w:t>Kapitel</w:t>
      </w:r>
    </w:p>
    <w:p w14:paraId="4F7D6BEE" w14:textId="741586CC" w:rsidR="00943987" w:rsidRPr="00943987" w:rsidRDefault="00943987">
      <w:r>
        <w:t>Ausgaben des Bundesministeriums waren früher in Kapitel 1 veranschlagt, ab 2016 (?) in Kapitel 12</w:t>
      </w:r>
    </w:p>
    <w:p w14:paraId="0D1AEB2C" w14:textId="4C5319F7" w:rsidR="00B330E8" w:rsidRDefault="00B330E8">
      <w:r w:rsidRPr="00FE58AC">
        <w:drawing>
          <wp:inline distT="0" distB="0" distL="0" distR="0" wp14:anchorId="2B1803CE" wp14:editId="55C6DAA6">
            <wp:extent cx="5760720" cy="3021965"/>
            <wp:effectExtent l="0" t="0" r="0" b="6985"/>
            <wp:docPr id="837174370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4370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A57" w14:textId="2E29BC86" w:rsidR="00545EE1" w:rsidRPr="00545EE1" w:rsidRDefault="00545EE1">
      <w:pPr>
        <w:rPr>
          <w:b/>
          <w:bCs/>
        </w:rPr>
      </w:pPr>
      <w:r w:rsidRPr="00545EE1">
        <w:rPr>
          <w:b/>
          <w:bCs/>
        </w:rPr>
        <w:t>Gruppierung</w:t>
      </w:r>
    </w:p>
    <w:p w14:paraId="10061696" w14:textId="5C46BA51" w:rsidR="00545EE1" w:rsidRDefault="00545EE1">
      <w:r>
        <w:t>D</w:t>
      </w:r>
      <w:r w:rsidRPr="00545EE1">
        <w:t>ie Hauptgruppen beginnen mit der Ziffer 0, die Obergruppen mit der Ziffer 1.</w:t>
      </w:r>
    </w:p>
    <w:p w14:paraId="1E6CBD82" w14:textId="2F5C9AE8" w:rsidR="00545EE1" w:rsidRDefault="00545EE1" w:rsidP="00545EE1">
      <w:pPr>
        <w:spacing w:after="0"/>
      </w:pPr>
      <w:r>
        <w:t>Zahlungen innerhalb des öffentlichen Bereichs:</w:t>
      </w:r>
    </w:p>
    <w:p w14:paraId="5AC2921E" w14:textId="77777777" w:rsidR="00545EE1" w:rsidRDefault="00545EE1" w:rsidP="00545EE1">
      <w:pPr>
        <w:spacing w:after="0"/>
      </w:pPr>
      <w:r>
        <w:t>Einnahmen: Obergruppen/Gruppen 15, 17, 21 bis 23, 291 bis 293, 31, 33</w:t>
      </w:r>
    </w:p>
    <w:p w14:paraId="7CEE8CD3" w14:textId="756C5E04" w:rsidR="00545EE1" w:rsidRDefault="00545EE1" w:rsidP="00545EE1">
      <w:r>
        <w:t>Ausgaben: Obergruppen/Gruppen 56, 58, 61 bis 63, 691 bis 693, 85, 88</w:t>
      </w:r>
    </w:p>
    <w:p w14:paraId="5110B8A5" w14:textId="7C837FAE" w:rsidR="00545EE1" w:rsidRDefault="00545EE1" w:rsidP="00545EE1">
      <w:pPr>
        <w:spacing w:after="0"/>
      </w:pPr>
      <w:r>
        <w:t>Z</w:t>
      </w:r>
      <w:r w:rsidRPr="00545EE1">
        <w:t>ahlungen zwischen dem öffentlichen Bereich und den sonstigen Bereichen im Inland</w:t>
      </w:r>
      <w:r>
        <w:t>:</w:t>
      </w:r>
    </w:p>
    <w:p w14:paraId="3469A36E" w14:textId="77777777" w:rsidR="00545EE1" w:rsidRDefault="00545EE1" w:rsidP="00545EE1">
      <w:pPr>
        <w:spacing w:after="0"/>
      </w:pPr>
      <w:r>
        <w:t>Einnahmen: Obergruppen/Gruppen 14, 16, 18, 26 bis 28, 297 bis 299, 32, 34</w:t>
      </w:r>
    </w:p>
    <w:p w14:paraId="45828D3B" w14:textId="53AF8E4C" w:rsidR="00545EE1" w:rsidRDefault="00545EE1" w:rsidP="00545EE1">
      <w:r>
        <w:t xml:space="preserve">Ausgaben: Obergruppen/Gruppen </w:t>
      </w:r>
      <w:r w:rsidRPr="00A12CA6">
        <w:rPr>
          <w:highlight w:val="yellow"/>
        </w:rPr>
        <w:t>57, 59, 66 bis 68, 697 bis 699, 86, 87, 89</w:t>
      </w:r>
    </w:p>
    <w:p w14:paraId="0BC394AC" w14:textId="6F6D0FCF" w:rsidR="00B330E8" w:rsidRDefault="00B330E8" w:rsidP="00B330E8">
      <w:pPr>
        <w:spacing w:after="0"/>
      </w:pPr>
      <w:r>
        <w:t>Zahlungen zwischen Inland und Ausland</w:t>
      </w:r>
      <w:r>
        <w:t>:</w:t>
      </w:r>
    </w:p>
    <w:p w14:paraId="692B4C7E" w14:textId="77777777" w:rsidR="00B330E8" w:rsidRDefault="00B330E8" w:rsidP="00B330E8">
      <w:pPr>
        <w:spacing w:after="0"/>
      </w:pPr>
      <w:r>
        <w:t>Einnahmen: Obergruppen/Gruppen 14, 16, 18, 26 bis 29, 32, 34</w:t>
      </w:r>
    </w:p>
    <w:p w14:paraId="641C6D3E" w14:textId="3D227EF3" w:rsidR="00B330E8" w:rsidRDefault="00B330E8" w:rsidP="00B330E8">
      <w:r>
        <w:t>Ausgaben: Obergruppen/Gruppen 57, 59, 66 bis 69, 83, 86, 89</w:t>
      </w:r>
    </w:p>
    <w:p w14:paraId="7EBE489A" w14:textId="238E5B14" w:rsidR="00B330E8" w:rsidRDefault="008D27D4" w:rsidP="00B330E8">
      <w:r>
        <w:t>Interessante Gruppen:</w:t>
      </w:r>
    </w:p>
    <w:p w14:paraId="32144FF5" w14:textId="529ED07C" w:rsidR="008D27D4" w:rsidRDefault="008D27D4" w:rsidP="00551520">
      <w:pPr>
        <w:spacing w:after="0"/>
      </w:pPr>
      <w:r>
        <w:t>21</w:t>
      </w:r>
      <w:r w:rsidR="00E74CC7">
        <w:t>1</w:t>
      </w:r>
      <w:r>
        <w:t xml:space="preserve">: Nicht zweckgebundene Zuwendungen </w:t>
      </w:r>
      <w:r w:rsidR="00E74CC7">
        <w:t>vom Bund</w:t>
      </w:r>
    </w:p>
    <w:p w14:paraId="70E3DCF7" w14:textId="01507A2A" w:rsidR="00E74CC7" w:rsidRDefault="00E74CC7" w:rsidP="00551520">
      <w:pPr>
        <w:spacing w:after="0"/>
      </w:pPr>
      <w:r>
        <w:t xml:space="preserve">214: </w:t>
      </w:r>
      <w:r>
        <w:t>Nicht zweckgebundene Zuwendungen</w:t>
      </w:r>
      <w:r>
        <w:t xml:space="preserve"> von Sondervermögen</w:t>
      </w:r>
    </w:p>
    <w:p w14:paraId="07B71086" w14:textId="7BD59DC5" w:rsidR="008D27D4" w:rsidRDefault="00E74CC7" w:rsidP="00551520">
      <w:pPr>
        <w:spacing w:after="0"/>
      </w:pPr>
      <w:r>
        <w:t>231</w:t>
      </w:r>
      <w:r w:rsidR="008D27D4">
        <w:t xml:space="preserve">: Zweckgebundene Zuwendungen </w:t>
      </w:r>
      <w:r>
        <w:t>vom Bund</w:t>
      </w:r>
    </w:p>
    <w:p w14:paraId="19EF7620" w14:textId="71FC32F8" w:rsidR="00E74CC7" w:rsidRDefault="00E74CC7" w:rsidP="00551520">
      <w:pPr>
        <w:spacing w:after="0"/>
      </w:pPr>
      <w:r>
        <w:t>23</w:t>
      </w:r>
      <w:r>
        <w:t>4</w:t>
      </w:r>
      <w:r>
        <w:t>: Zweckgebundene Zuwendungen</w:t>
      </w:r>
      <w:r>
        <w:t xml:space="preserve"> von Sondervermögen</w:t>
      </w:r>
    </w:p>
    <w:p w14:paraId="6AFCE621" w14:textId="67CBB455" w:rsidR="00E74CC7" w:rsidRDefault="00E74CC7" w:rsidP="00551520">
      <w:pPr>
        <w:spacing w:after="0"/>
      </w:pPr>
      <w:r>
        <w:t xml:space="preserve">331: </w:t>
      </w:r>
      <w:r w:rsidRPr="00E74CC7">
        <w:t xml:space="preserve">Zuweisungen für Investitionen </w:t>
      </w:r>
      <w:r>
        <w:t>vom Bund</w:t>
      </w:r>
    </w:p>
    <w:p w14:paraId="6BBD01E4" w14:textId="2A41BDA3" w:rsidR="00E74CC7" w:rsidRDefault="00E74CC7" w:rsidP="00551520">
      <w:pPr>
        <w:spacing w:after="0"/>
      </w:pPr>
      <w:r>
        <w:lastRenderedPageBreak/>
        <w:t>334: Zuweisungen für Investitionen von Sondervermögen</w:t>
      </w:r>
    </w:p>
    <w:p w14:paraId="240167BA" w14:textId="6BE7A0D3" w:rsidR="006100D2" w:rsidRDefault="006100D2" w:rsidP="00551520">
      <w:pPr>
        <w:spacing w:after="0"/>
      </w:pPr>
      <w:r>
        <w:t>35: Entnahmen aus Rücklagen</w:t>
      </w:r>
    </w:p>
    <w:p w14:paraId="30ABEDB9" w14:textId="1B49C602" w:rsidR="006100D2" w:rsidRDefault="006100D2" w:rsidP="00551520">
      <w:pPr>
        <w:spacing w:after="0"/>
      </w:pPr>
      <w:r>
        <w:t>36: Einnahmen aus Überschüssen der Vorjahre</w:t>
      </w:r>
    </w:p>
    <w:p w14:paraId="7DBC71F8" w14:textId="584CEF82" w:rsidR="006100D2" w:rsidRDefault="006100D2" w:rsidP="00551520">
      <w:pPr>
        <w:spacing w:after="0"/>
      </w:pPr>
      <w:r>
        <w:t>37: Globale Mehr- und Mindereinnahme</w:t>
      </w:r>
    </w:p>
    <w:p w14:paraId="334FB0F9" w14:textId="2D212A3D" w:rsidR="006100D2" w:rsidRDefault="006100D2" w:rsidP="00551520">
      <w:pPr>
        <w:spacing w:after="0"/>
      </w:pPr>
      <w:r>
        <w:t>38: Haushaltstechnische Verrechnung</w:t>
      </w:r>
    </w:p>
    <w:p w14:paraId="776B0A6D" w14:textId="03F20602" w:rsidR="006100D2" w:rsidRDefault="006100D2" w:rsidP="00551520">
      <w:pPr>
        <w:spacing w:after="0"/>
      </w:pPr>
      <w:r>
        <w:t>4: Personalausgaben</w:t>
      </w:r>
    </w:p>
    <w:p w14:paraId="1DA159CF" w14:textId="6CB6018A" w:rsidR="006100D2" w:rsidRDefault="006100D2" w:rsidP="00551520">
      <w:pPr>
        <w:spacing w:after="0"/>
      </w:pPr>
      <w:r>
        <w:t>51-54: Sächliche Verwaltungsausgaben</w:t>
      </w:r>
    </w:p>
    <w:p w14:paraId="06ADD01A" w14:textId="4C4EA579" w:rsidR="00100348" w:rsidRDefault="00100348" w:rsidP="00551520">
      <w:pPr>
        <w:spacing w:after="0"/>
      </w:pPr>
      <w:r>
        <w:t>57: Zinsausgaben</w:t>
      </w:r>
    </w:p>
    <w:p w14:paraId="23A69B21" w14:textId="05D85EDB" w:rsidR="00100348" w:rsidRDefault="00100348" w:rsidP="00551520">
      <w:pPr>
        <w:spacing w:after="0"/>
      </w:pPr>
      <w:r>
        <w:t>59: Tilgungsausgaben</w:t>
      </w:r>
    </w:p>
    <w:p w14:paraId="75FEDF05" w14:textId="0D8B085D" w:rsidR="00D62434" w:rsidRDefault="00D62434" w:rsidP="00B330E8">
      <w:r>
        <w:t>…</w:t>
      </w:r>
    </w:p>
    <w:p w14:paraId="1FC3100A" w14:textId="77777777" w:rsidR="008D27D4" w:rsidRDefault="008D27D4" w:rsidP="008D27D4">
      <w:hyperlink r:id="rId6" w:history="1">
        <w:r w:rsidRPr="003C0F99">
          <w:rPr>
            <w:rStyle w:val="Hyperlink"/>
          </w:rPr>
          <w:t>https://www.bundesfinanzministerium.de/Content/DE/Downloads/Oeffentliche-Finanzen/Haushaltsrecht-und-Haushaltssystematik/gruppierungsplan.pdf?__blob=publicationFile&amp;v=4</w:t>
        </w:r>
      </w:hyperlink>
    </w:p>
    <w:p w14:paraId="11E825DC" w14:textId="039184E2" w:rsidR="00BD7E4D" w:rsidRPr="00711FD1" w:rsidRDefault="00711FD1">
      <w:pPr>
        <w:rPr>
          <w:b/>
          <w:bCs/>
        </w:rPr>
      </w:pPr>
      <w:r w:rsidRPr="00711FD1">
        <w:rPr>
          <w:b/>
          <w:bCs/>
        </w:rPr>
        <w:t>Funktion</w:t>
      </w:r>
    </w:p>
    <w:p w14:paraId="1C4290B3" w14:textId="1C1DE297" w:rsidR="00711FD1" w:rsidRDefault="00711FD1">
      <w:r w:rsidRPr="00711FD1">
        <w:t>https://www.bundesfinanzministerium.de/Content/DE/Downloads/Oeffentliche-Finanzen/Haushaltsrecht-und-Haushaltssystematik/funktionenplan.pdf?__blob=publicationFile&amp;v=3</w:t>
      </w:r>
    </w:p>
    <w:sectPr w:rsidR="00711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AC"/>
    <w:rsid w:val="00052773"/>
    <w:rsid w:val="000B168B"/>
    <w:rsid w:val="00100348"/>
    <w:rsid w:val="00212146"/>
    <w:rsid w:val="00545EE1"/>
    <w:rsid w:val="00551520"/>
    <w:rsid w:val="006100D2"/>
    <w:rsid w:val="00711FD1"/>
    <w:rsid w:val="007833C7"/>
    <w:rsid w:val="0083765F"/>
    <w:rsid w:val="008A4F5E"/>
    <w:rsid w:val="008D27D4"/>
    <w:rsid w:val="00943987"/>
    <w:rsid w:val="00A12CA6"/>
    <w:rsid w:val="00B330E8"/>
    <w:rsid w:val="00BD7E4D"/>
    <w:rsid w:val="00C20D9F"/>
    <w:rsid w:val="00D62434"/>
    <w:rsid w:val="00E74CC7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7285"/>
  <w15:chartTrackingRefBased/>
  <w15:docId w15:val="{8B444947-70CD-4609-956B-C6334373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21432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21432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58AC"/>
    <w:pPr>
      <w:keepNext/>
      <w:keepLines/>
      <w:spacing w:before="160" w:after="80"/>
      <w:outlineLvl w:val="2"/>
    </w:pPr>
    <w:rPr>
      <w:rFonts w:eastAsiaTheme="majorEastAsia" w:cstheme="majorBidi"/>
      <w:color w:val="121432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2143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58AC"/>
    <w:pPr>
      <w:keepNext/>
      <w:keepLines/>
      <w:spacing w:before="80" w:after="40"/>
      <w:outlineLvl w:val="4"/>
    </w:pPr>
    <w:rPr>
      <w:rFonts w:eastAsiaTheme="majorEastAsia" w:cstheme="majorBidi"/>
      <w:color w:val="12143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8AC"/>
    <w:rPr>
      <w:rFonts w:asciiTheme="majorHAnsi" w:eastAsiaTheme="majorEastAsia" w:hAnsiTheme="majorHAnsi" w:cstheme="majorBidi"/>
      <w:color w:val="121432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58AC"/>
    <w:rPr>
      <w:rFonts w:asciiTheme="majorHAnsi" w:eastAsiaTheme="majorEastAsia" w:hAnsiTheme="majorHAnsi" w:cstheme="majorBidi"/>
      <w:color w:val="121432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58AC"/>
    <w:rPr>
      <w:rFonts w:eastAsiaTheme="majorEastAsia" w:cstheme="majorBidi"/>
      <w:color w:val="121432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58AC"/>
    <w:rPr>
      <w:rFonts w:eastAsiaTheme="majorEastAsia" w:cstheme="majorBidi"/>
      <w:i/>
      <w:iCs/>
      <w:color w:val="12143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58AC"/>
    <w:rPr>
      <w:rFonts w:eastAsiaTheme="majorEastAsia" w:cstheme="majorBidi"/>
      <w:color w:val="12143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58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58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58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58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58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58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58AC"/>
    <w:rPr>
      <w:i/>
      <w:iCs/>
      <w:color w:val="121432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58AC"/>
    <w:pPr>
      <w:pBdr>
        <w:top w:val="single" w:sz="4" w:space="10" w:color="121432" w:themeColor="accent1" w:themeShade="BF"/>
        <w:bottom w:val="single" w:sz="4" w:space="10" w:color="121432" w:themeColor="accent1" w:themeShade="BF"/>
      </w:pBdr>
      <w:spacing w:before="360" w:after="360"/>
      <w:ind w:left="864" w:right="864"/>
      <w:jc w:val="center"/>
    </w:pPr>
    <w:rPr>
      <w:i/>
      <w:iCs/>
      <w:color w:val="121432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58AC"/>
    <w:rPr>
      <w:i/>
      <w:iCs/>
      <w:color w:val="121432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58AC"/>
    <w:rPr>
      <w:b/>
      <w:bCs/>
      <w:smallCaps/>
      <w:color w:val="121432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330E8"/>
    <w:rPr>
      <w:color w:val="181C4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3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ndesfinanzministerium.de/Content/DE/Downloads/Oeffentliche-Finanzen/Haushaltsrecht-und-Haushaltssystematik/gruppierungsplan.pdf?__blob=publicationFile&amp;v=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bundesfinanzministerium.de/Content/DE/Downloads/Oeffentliche-Finanzen/Haushaltsrecht-und-Haushaltssystematik/das-system-der-oeffentlichen-haushalte.pdf?__blob=publicationFile&amp;v=1" TargetMode="External"/></Relationships>
</file>

<file path=word/theme/theme1.xml><?xml version="1.0" encoding="utf-8"?>
<a:theme xmlns:a="http://schemas.openxmlformats.org/drawingml/2006/main" name="Office">
  <a:themeElements>
    <a:clrScheme name="DZ-Farben">
      <a:dk1>
        <a:sysClr val="windowText" lastClr="000000"/>
      </a:dk1>
      <a:lt1>
        <a:sysClr val="window" lastClr="FFFFFF"/>
      </a:lt1>
      <a:dk2>
        <a:srgbClr val="F39433"/>
      </a:dk2>
      <a:lt2>
        <a:srgbClr val="36A9E1"/>
      </a:lt2>
      <a:accent1>
        <a:srgbClr val="181C44"/>
      </a:accent1>
      <a:accent2>
        <a:srgbClr val="51275F"/>
      </a:accent2>
      <a:accent3>
        <a:srgbClr val="88536F"/>
      </a:accent3>
      <a:accent4>
        <a:srgbClr val="BE4776"/>
      </a:accent4>
      <a:accent5>
        <a:srgbClr val="EE6174"/>
      </a:accent5>
      <a:accent6>
        <a:srgbClr val="CDCADC"/>
      </a:accent6>
      <a:hlink>
        <a:srgbClr val="181C44"/>
      </a:hlink>
      <a:folHlink>
        <a:srgbClr val="8853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Sigl-Glöckner</dc:creator>
  <cp:keywords/>
  <dc:description/>
  <cp:lastModifiedBy>Philippa Sigl-Glöckner</cp:lastModifiedBy>
  <cp:revision>3</cp:revision>
  <dcterms:created xsi:type="dcterms:W3CDTF">2025-04-21T12:42:00Z</dcterms:created>
  <dcterms:modified xsi:type="dcterms:W3CDTF">2025-04-25T21:16:00Z</dcterms:modified>
</cp:coreProperties>
</file>