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b/>
          <w:bCs/>
          <w:color w:val="0F62FE"/>
          <w:spacing w:val="40"/>
          <w:sz w:val="20"/>
          <w:szCs w:val="20"/>
        </w:rPr>
        <w:t xml:space="preserve">IBM SOFTWARE PORTFOLIO ADVISOR</w:t>
      </w:r>
    </w:p>
    <w:p>
      <w:pPr>
        <w:spacing w:after="0" w:before="60"/>
      </w:pPr>
      <w:r>
        <w:rPr>
          <w:i/>
          <w:iCs/>
          <w:color w:val="525252"/>
          <w:sz w:val="20"/>
          <w:szCs w:val="20"/>
        </w:rPr>
        <w:t xml:space="preserve">Powered by watsonx</w:t>
      </w:r>
    </w:p>
    <w:p>
      <w:pPr>
        <w:spacing w:after="120" w:before="300"/>
      </w:pPr>
      <w:r>
        <w:rPr>
          <w:b/>
          <w:bCs/>
          <w:color w:val="161616"/>
          <w:sz w:val="52"/>
          <w:szCs w:val="52"/>
        </w:rPr>
        <w:t xml:space="preserve">Agent Context &amp; Application Organization Guide</w:t>
      </w:r>
    </w:p>
    <w:p>
      <w:pPr>
        <w:spacing w:after="400"/>
      </w:pPr>
      <w:r>
        <w:rPr>
          <w:color w:val="525252"/>
          <w:sz w:val="24"/>
          <w:szCs w:val="24"/>
        </w:rPr>
        <w:t xml:space="preserve">Restructuring the single-page advisor into a tabbed, phase-driven experience — with agent grounding for IBM sellers and architects.</w:t>
      </w:r>
    </w:p>
    <w:p>
      <w:pPr>
        <w:pBdr>
          <w:bottom w:val="single" w:color="D0D0D0" w:sz="6" w:space="1"/>
        </w:pBdr>
        <w:spacing w:after="160"/>
      </w:pPr>
      <w:r>
        <w:t xml:space="preserve"/>
      </w:r>
    </w:p>
    <w:p>
      <w:pPr>
        <w:spacing w:after="80" w:line="264"/>
      </w:pPr>
      <w:r>
        <w:rPr>
          <w:b/>
          <w:bCs/>
          <w:color w:val="0043CE"/>
          <w:sz w:val="21"/>
          <w:szCs w:val="21"/>
        </w:rPr>
        <w:t xml:space="preserve">Audience: </w:t>
      </w:r>
      <w:r>
        <w:rPr>
          <w:color w:val="1A1A1A"/>
          <w:sz w:val="21"/>
          <w:szCs w:val="21"/>
        </w:rPr>
        <w:t xml:space="preserve">IBM sellers, brand technical specialists, ATLs, and CSEs</w:t>
      </w:r>
    </w:p>
    <w:p>
      <w:pPr>
        <w:spacing w:after="80" w:line="264"/>
      </w:pPr>
      <w:r>
        <w:rPr>
          <w:b/>
          <w:bCs/>
          <w:color w:val="0043CE"/>
          <w:sz w:val="21"/>
          <w:szCs w:val="21"/>
        </w:rPr>
        <w:t xml:space="preserve">Purpose: </w:t>
      </w:r>
      <w:r>
        <w:rPr>
          <w:color w:val="1A1A1A"/>
          <w:sz w:val="21"/>
          <w:szCs w:val="21"/>
        </w:rPr>
        <w:t xml:space="preserve">Dual-use: (1) UI organization plan for splitting phases into tabs, (2) context document to ground the watsonx embedded agent</w:t>
      </w:r>
    </w:p>
    <w:p>
      <w:pPr>
        <w:spacing w:after="80" w:line="264"/>
      </w:pPr>
      <w:r>
        <w:rPr>
          <w:b/>
          <w:bCs/>
          <w:color w:val="0043CE"/>
          <w:sz w:val="21"/>
          <w:szCs w:val="21"/>
        </w:rPr>
        <w:t xml:space="preserve">Source application: </w:t>
      </w:r>
      <w:r>
        <w:rPr>
          <w:color w:val="1A1A1A"/>
          <w:sz w:val="21"/>
          <w:szCs w:val="21"/>
        </w:rPr>
        <w:t xml:space="preserve">Client-specific account planning and deployment acceleration tool</w:t>
      </w:r>
    </w:p>
    <w:p>
      <w:pPr>
        <w:spacing w:after="80" w:line="264"/>
      </w:pPr>
      <w:r>
        <w:rPr>
          <w:b/>
          <w:bCs/>
          <w:color w:val="0043CE"/>
          <w:sz w:val="21"/>
          <w:szCs w:val="21"/>
        </w:rPr>
        <w:t xml:space="preserve">Document version: </w:t>
      </w:r>
      <w:r>
        <w:rPr>
          <w:color w:val="1A1A1A"/>
          <w:sz w:val="21"/>
          <w:szCs w:val="21"/>
        </w:rPr>
        <w:t xml:space="preserve">1.0</w:t>
      </w:r>
    </w:p>
    <w:p>
      <w:r>
        <w:br w:type="page"/>
      </w:r>
    </w:p>
    <w:p>
      <w:pPr>
        <w:pStyle w:val="Heading1"/>
        <w:spacing w:after="140" w:before="320"/>
      </w:pPr>
      <w:r>
        <w:rPr>
          <w:b/>
          <w:bCs/>
          <w:color w:val="0F62FE"/>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b/>
          <w:bCs/>
          <w:color w:val="0F62FE"/>
          <w:sz w:val="30"/>
          <w:szCs w:val="30"/>
        </w:rPr>
        <w:t xml:space="preserve">1. Application overview</w:t>
      </w:r>
    </w:p>
    <w:p>
      <w:pPr>
        <w:spacing w:after="120" w:line="276"/>
      </w:pPr>
      <w:r>
        <w:rPr>
          <w:color w:val="1A1A1A"/>
          <w:sz w:val="21"/>
          <w:szCs w:val="21"/>
        </w:rPr>
        <w:t xml:space="preserve">The IBM Software Portfolio Advisor is a watsonx-powered tool that turns an uploaded IBM ACP license catalog (XLSX) into a complete, client-specific account plan. From a single spreadsheet it generates a client knowledge base, executive presentations, deployment value analysis, sales and technical plans, license modernization recommendations, price-increase alerts, and workback timelines — all aligned to IBM's account planning methodology.</w:t>
      </w:r>
    </w:p>
    <w:p>
      <w:pPr>
        <w:spacing w:after="120" w:line="276"/>
      </w:pPr>
      <w:r>
        <w:rPr>
          <w:b/>
          <w:bCs/>
          <w:color w:val="0043CE"/>
          <w:sz w:val="21"/>
          <w:szCs w:val="21"/>
        </w:rPr>
        <w:t xml:space="preserve">Input: </w:t>
      </w:r>
      <w:r>
        <w:rPr>
          <w:color w:val="1A1A1A"/>
          <w:sz w:val="21"/>
          <w:szCs w:val="21"/>
        </w:rPr>
        <w:t xml:space="preserve">An IBM ACP-format catalog XLSX with columns for Description, S&amp;S part number, License part number, Royalty, Consumption rate, and NTE prices for 2029 and 2030, plus a target deployment date. A built-in 30-entry sample is available for demos.</w:t>
      </w:r>
    </w:p>
    <w:p>
      <w:pPr>
        <w:spacing w:after="120" w:line="276"/>
      </w:pPr>
      <w:r>
        <w:rPr>
          <w:b/>
          <w:bCs/>
          <w:color w:val="0043CE"/>
          <w:sz w:val="21"/>
          <w:szCs w:val="21"/>
        </w:rPr>
        <w:t xml:space="preserve">Output: </w:t>
      </w:r>
      <w:r>
        <w:rPr>
          <w:color w:val="1A1A1A"/>
          <w:sz w:val="21"/>
          <w:szCs w:val="21"/>
        </w:rPr>
        <w:t xml:space="preserve">A multi-phase account plan rendered on screen, with an embedded watsonx agent for deeper questions and drill-downs.</w:t>
      </w:r>
    </w:p>
    <w:p>
      <w:pPr>
        <w:spacing w:after="60"/>
      </w:pPr>
      <w:r>
        <w:t xml:space="preserve"/>
      </w:r>
    </w:p>
    <w:tbl>
      <w:tblPr>
        <w:tblW w:type="pct" w:w="100%"/>
        <w:tblBorders>
          <w:top w:val="single" w:color="0F62FE" w:sz="4"/>
          <w:left w:val="single" w:color="0F62FE" w:sz="12"/>
          <w:bottom w:val="single" w:color="0F62FE" w:sz="4"/>
          <w:right w:val="single" w:color="0F62FE" w:sz="4"/>
          <w:insideH w:val="none"/>
          <w:insideV w:val="none"/>
        </w:tblBorders>
      </w:tblPr>
      <w:tblGrid>
        <w:gridCol w:w="9360"/>
      </w:tblGrid>
      <w:tr>
        <w:tc>
          <w:tcPr>
            <w:tcW w:type="dxa" w:w="9360"/>
            <w:shd w:fill="EDF5FF" w:color="auto" w:val="clear"/>
            <w:tcMar>
              <w:top w:type="dxa" w:w="120"/>
              <w:left w:type="dxa" w:w="160"/>
              <w:bottom w:type="dxa" w:w="120"/>
              <w:right w:type="dxa" w:w="160"/>
            </w:tcMar>
          </w:tcPr>
          <w:p>
            <w:pPr>
              <w:spacing w:after="80"/>
            </w:pPr>
            <w:r>
              <w:rPr>
                <w:b/>
                <w:bCs/>
                <w:color w:val="161616"/>
                <w:sz w:val="21"/>
                <w:szCs w:val="21"/>
              </w:rPr>
              <w:t xml:space="preserve">The problem this document solves</w:t>
            </w:r>
          </w:p>
          <w:p>
            <w:pPr>
              <w:spacing w:after="120" w:line="276"/>
            </w:pPr>
            <w:r>
              <w:rPr>
                <w:color w:val="1A1A1A"/>
                <w:sz w:val="21"/>
                <w:szCs w:val="21"/>
              </w:rPr>
              <w:t xml:space="preserve">Today the entire plan renders as one long vertical scroll — Phases 1 through 5b, portfolio snapshot, modernization, market signals, price alerts, and trend watchlist all stacked on a single page. For a seller walking a client through the plan, that means excessive scrolling and no clear way to jump to the section that matters in the moment.</w:t>
            </w:r>
          </w:p>
          <w:p>
            <w:pPr>
              <w:spacing w:after="0"/>
            </w:pPr>
            <w:r>
              <w:rPr>
                <w:color w:val="1A1A1A"/>
                <w:sz w:val="21"/>
                <w:szCs w:val="21"/>
              </w:rPr>
              <w:t xml:space="preserve">This guide proposes a tabbed reorganization that groups the existing phases into a small number of purpose-built sections, and provides the agent with the context it needs to guide users to the right tab.</w:t>
            </w:r>
          </w:p>
        </w:tc>
      </w:tr>
    </w:tbl>
    <w:p>
      <w:r>
        <w:br w:type="page"/>
      </w:r>
    </w:p>
    <w:p>
      <w:pPr>
        <w:pStyle w:val="Heading1"/>
        <w:spacing w:after="140" w:before="320"/>
      </w:pPr>
      <w:r>
        <w:rPr>
          <w:b/>
          <w:bCs/>
          <w:color w:val="0F62FE"/>
          <w:sz w:val="30"/>
          <w:szCs w:val="30"/>
        </w:rPr>
        <w:t xml:space="preserve">2. Current structure (as built)</w:t>
      </w:r>
    </w:p>
    <w:p>
      <w:pPr>
        <w:spacing w:after="120" w:line="276"/>
      </w:pPr>
      <w:r>
        <w:rPr>
          <w:color w:val="1A1A1A"/>
          <w:sz w:val="21"/>
          <w:szCs w:val="21"/>
        </w:rPr>
        <w:t xml:space="preserve">The application currently presents the following sections in a single continuous scroll. This inventory is the raw material for the tab grouping in Section 3.</w:t>
      </w:r>
    </w:p>
    <w:tbl>
      <w:tblPr>
        <w:tblW w:type="dxa" w:w="9360"/>
        <w:tblBorders>
          <w:top w:val="single" w:color="C0C0C0" w:sz="2"/>
          <w:left w:val="single" w:color="C0C0C0" w:sz="2"/>
          <w:bottom w:val="single" w:color="C0C0C0" w:sz="2"/>
          <w:right w:val="single" w:color="C0C0C0" w:sz="2"/>
          <w:insideH w:val="single" w:color="E0E0E0" w:sz="2"/>
          <w:insideV w:val="single" w:color="E0E0E0" w:sz="2"/>
        </w:tblBorders>
      </w:tblPr>
      <w:tblGrid>
        <w:gridCol w:w="3000"/>
        <w:gridCol w:w="6360"/>
      </w:tblGrid>
      <w:tr>
        <w:trPr>
          <w:tblHeader/>
        </w:trPr>
        <w:tc>
          <w:tcPr>
            <w:tcW w:type="dxa" w:w="3000"/>
            <w:shd w:fill="0F62FE" w:color="auto" w:val="clear"/>
            <w:tcMar>
              <w:top w:type="dxa" w:w="80"/>
              <w:left w:type="dxa" w:w="100"/>
              <w:bottom w:type="dxa" w:w="80"/>
              <w:right w:type="dxa" w:w="100"/>
            </w:tcMar>
          </w:tcPr>
          <w:p>
            <w:r>
              <w:rPr>
                <w:b/>
                <w:bCs/>
                <w:color w:val="FFFFFF"/>
                <w:sz w:val="19"/>
                <w:szCs w:val="19"/>
              </w:rPr>
              <w:t xml:space="preserve">Section</w:t>
            </w:r>
          </w:p>
        </w:tc>
        <w:tc>
          <w:tcPr>
            <w:tcW w:type="dxa" w:w="6360"/>
            <w:shd w:fill="0F62FE" w:color="auto" w:val="clear"/>
            <w:tcMar>
              <w:top w:type="dxa" w:w="80"/>
              <w:left w:type="dxa" w:w="100"/>
              <w:bottom w:type="dxa" w:w="80"/>
              <w:right w:type="dxa" w:w="100"/>
            </w:tcMar>
          </w:tcPr>
          <w:p>
            <w:r>
              <w:rPr>
                <w:b/>
                <w:bCs/>
                <w:color w:val="FFFFFF"/>
                <w:sz w:val="19"/>
                <w:szCs w:val="19"/>
              </w:rPr>
              <w:t xml:space="preserve">What it shows</w:t>
            </w:r>
          </w:p>
        </w:tc>
      </w:tr>
      <w:tr>
        <w:tc>
          <w:tcPr>
            <w:tcW w:type="dxa" w:w="3000"/>
            <w:shd w:fill="FFFFFF" w:color="auto" w:val="clear"/>
            <w:tcMar>
              <w:top w:type="dxa" w:w="60"/>
              <w:left w:type="dxa" w:w="100"/>
              <w:bottom w:type="dxa" w:w="60"/>
              <w:right w:type="dxa" w:w="100"/>
            </w:tcMar>
          </w:tcPr>
          <w:p>
            <w:r>
              <w:rPr>
                <w:color w:val="1A1A1A"/>
                <w:sz w:val="19"/>
                <w:szCs w:val="19"/>
              </w:rPr>
              <w:t xml:space="preserve">Header / Upload</w:t>
            </w:r>
          </w:p>
        </w:tc>
        <w:tc>
          <w:tcPr>
            <w:tcW w:type="dxa" w:w="6360"/>
            <w:shd w:fill="FFFFFF" w:color="auto" w:val="clear"/>
            <w:tcMar>
              <w:top w:type="dxa" w:w="60"/>
              <w:left w:type="dxa" w:w="100"/>
              <w:bottom w:type="dxa" w:w="60"/>
              <w:right w:type="dxa" w:w="100"/>
            </w:tcMar>
          </w:tcPr>
          <w:p>
            <w:r>
              <w:rPr>
                <w:color w:val="1A1A1A"/>
                <w:sz w:val="19"/>
                <w:szCs w:val="19"/>
              </w:rPr>
              <w:t xml:space="preserve">Catalog XLSX upload, target deployment date, built-in sample loader</w:t>
            </w:r>
          </w:p>
        </w:tc>
      </w:tr>
      <w:tr>
        <w:tc>
          <w:tcPr>
            <w:tcW w:type="dxa" w:w="3000"/>
            <w:shd w:fill="F2F6FC" w:color="auto" w:val="clear"/>
            <w:tcMar>
              <w:top w:type="dxa" w:w="60"/>
              <w:left w:type="dxa" w:w="100"/>
              <w:bottom w:type="dxa" w:w="60"/>
              <w:right w:type="dxa" w:w="100"/>
            </w:tcMar>
          </w:tcPr>
          <w:p>
            <w:r>
              <w:rPr>
                <w:color w:val="1A1A1A"/>
                <w:sz w:val="19"/>
                <w:szCs w:val="19"/>
              </w:rPr>
              <w:t xml:space="preserve">Phase 1: Client-specific knowledge base</w:t>
            </w:r>
          </w:p>
        </w:tc>
        <w:tc>
          <w:tcPr>
            <w:tcW w:type="dxa" w:w="6360"/>
            <w:shd w:fill="F2F6FC" w:color="auto" w:val="clear"/>
            <w:tcMar>
              <w:top w:type="dxa" w:w="60"/>
              <w:left w:type="dxa" w:w="100"/>
              <w:bottom w:type="dxa" w:w="60"/>
              <w:right w:type="dxa" w:w="100"/>
            </w:tcMar>
          </w:tcPr>
          <w:p>
            <w:r>
              <w:rPr>
                <w:color w:val="1A1A1A"/>
                <w:sz w:val="19"/>
                <w:szCs w:val="19"/>
              </w:rPr>
              <w:t xml:space="preserve">Total solutions in catalog, solution categories, top market signals</w:t>
            </w:r>
          </w:p>
        </w:tc>
      </w:tr>
      <w:tr>
        <w:tc>
          <w:tcPr>
            <w:tcW w:type="dxa" w:w="3000"/>
            <w:shd w:fill="FFFFFF" w:color="auto" w:val="clear"/>
            <w:tcMar>
              <w:top w:type="dxa" w:w="60"/>
              <w:left w:type="dxa" w:w="100"/>
              <w:bottom w:type="dxa" w:w="60"/>
              <w:right w:type="dxa" w:w="100"/>
            </w:tcMar>
          </w:tcPr>
          <w:p>
            <w:r>
              <w:rPr>
                <w:color w:val="1A1A1A"/>
                <w:sz w:val="19"/>
                <w:szCs w:val="19"/>
              </w:rPr>
              <w:t xml:space="preserve">Phase 2: Executive client presentations</w:t>
            </w:r>
          </w:p>
        </w:tc>
        <w:tc>
          <w:tcPr>
            <w:tcW w:type="dxa" w:w="6360"/>
            <w:shd w:fill="FFFFFF" w:color="auto" w:val="clear"/>
            <w:tcMar>
              <w:top w:type="dxa" w:w="60"/>
              <w:left w:type="dxa" w:w="100"/>
              <w:bottom w:type="dxa" w:w="60"/>
              <w:right w:type="dxa" w:w="100"/>
            </w:tcMar>
          </w:tcPr>
          <w:p>
            <w:r>
              <w:rPr>
                <w:color w:val="1A1A1A"/>
                <w:sz w:val="19"/>
                <w:szCs w:val="19"/>
              </w:rPr>
              <w:t xml:space="preserve">Per-product What / Why / How / Why Now narrative cards</w:t>
            </w:r>
          </w:p>
        </w:tc>
      </w:tr>
      <w:tr>
        <w:tc>
          <w:tcPr>
            <w:tcW w:type="dxa" w:w="3000"/>
            <w:shd w:fill="F2F6FC" w:color="auto" w:val="clear"/>
            <w:tcMar>
              <w:top w:type="dxa" w:w="60"/>
              <w:left w:type="dxa" w:w="100"/>
              <w:bottom w:type="dxa" w:w="60"/>
              <w:right w:type="dxa" w:w="100"/>
            </w:tcMar>
          </w:tcPr>
          <w:p>
            <w:r>
              <w:rPr>
                <w:color w:val="1A1A1A"/>
                <w:sz w:val="19"/>
                <w:szCs w:val="19"/>
              </w:rPr>
              <w:t xml:space="preserve">Phase 3: Workback plan to target deployment</w:t>
            </w:r>
          </w:p>
        </w:tc>
        <w:tc>
          <w:tcPr>
            <w:tcW w:type="dxa" w:w="6360"/>
            <w:shd w:fill="F2F6FC" w:color="auto" w:val="clear"/>
            <w:tcMar>
              <w:top w:type="dxa" w:w="60"/>
              <w:left w:type="dxa" w:w="100"/>
              <w:bottom w:type="dxa" w:w="60"/>
              <w:right w:type="dxa" w:w="100"/>
            </w:tcMar>
          </w:tcPr>
          <w:p>
            <w:r>
              <w:rPr>
                <w:color w:val="1A1A1A"/>
                <w:sz w:val="19"/>
                <w:szCs w:val="19"/>
              </w:rPr>
              <w:t xml:space="preserve">Use-case selector, week-by-week activity/owner/date/dependency table, milestones</w:t>
            </w:r>
          </w:p>
        </w:tc>
      </w:tr>
      <w:tr>
        <w:tc>
          <w:tcPr>
            <w:tcW w:type="dxa" w:w="3000"/>
            <w:shd w:fill="FFFFFF" w:color="auto" w:val="clear"/>
            <w:tcMar>
              <w:top w:type="dxa" w:w="60"/>
              <w:left w:type="dxa" w:w="100"/>
              <w:bottom w:type="dxa" w:w="60"/>
              <w:right w:type="dxa" w:w="100"/>
            </w:tcMar>
          </w:tcPr>
          <w:p>
            <w:r>
              <w:rPr>
                <w:color w:val="1A1A1A"/>
                <w:sz w:val="19"/>
                <w:szCs w:val="19"/>
              </w:rPr>
              <w:t xml:space="preserve">Phase 4: Deployment value prioritization</w:t>
            </w:r>
          </w:p>
        </w:tc>
        <w:tc>
          <w:tcPr>
            <w:tcW w:type="dxa" w:w="6360"/>
            <w:shd w:fill="FFFFFF" w:color="auto" w:val="clear"/>
            <w:tcMar>
              <w:top w:type="dxa" w:w="60"/>
              <w:left w:type="dxa" w:w="100"/>
              <w:bottom w:type="dxa" w:w="60"/>
              <w:right w:type="dxa" w:w="100"/>
            </w:tcMar>
          </w:tcPr>
          <w:p>
            <w:r>
              <w:rPr>
                <w:color w:val="1A1A1A"/>
                <w:sz w:val="19"/>
                <w:szCs w:val="19"/>
              </w:rPr>
              <w:t xml:space="preserve">Value vs. effort scoring cards, priority tiers (1–4), top 10 by consumption</w:t>
            </w:r>
          </w:p>
        </w:tc>
      </w:tr>
      <w:tr>
        <w:tc>
          <w:tcPr>
            <w:tcW w:type="dxa" w:w="3000"/>
            <w:shd w:fill="F2F6FC" w:color="auto" w:val="clear"/>
            <w:tcMar>
              <w:top w:type="dxa" w:w="60"/>
              <w:left w:type="dxa" w:w="100"/>
              <w:bottom w:type="dxa" w:w="60"/>
              <w:right w:type="dxa" w:w="100"/>
            </w:tcMar>
          </w:tcPr>
          <w:p>
            <w:r>
              <w:rPr>
                <w:color w:val="1A1A1A"/>
                <w:sz w:val="19"/>
                <w:szCs w:val="19"/>
              </w:rPr>
              <w:t xml:space="preserve">Product catalog table</w:t>
            </w:r>
          </w:p>
        </w:tc>
        <w:tc>
          <w:tcPr>
            <w:tcW w:type="dxa" w:w="6360"/>
            <w:shd w:fill="F2F6FC" w:color="auto" w:val="clear"/>
            <w:tcMar>
              <w:top w:type="dxa" w:w="60"/>
              <w:left w:type="dxa" w:w="100"/>
              <w:bottom w:type="dxa" w:w="60"/>
              <w:right w:type="dxa" w:w="100"/>
            </w:tcMar>
          </w:tcPr>
          <w:p>
            <w:r>
              <w:rPr>
                <w:color w:val="1A1A1A"/>
                <w:sz w:val="19"/>
                <w:szCs w:val="19"/>
              </w:rPr>
              <w:t xml:space="preserve">Product, Category, License Model, Consumption Rate, 2029 NTE</w:t>
            </w:r>
          </w:p>
        </w:tc>
      </w:tr>
      <w:tr>
        <w:tc>
          <w:tcPr>
            <w:tcW w:type="dxa" w:w="3000"/>
            <w:shd w:fill="FFFFFF" w:color="auto" w:val="clear"/>
            <w:tcMar>
              <w:top w:type="dxa" w:w="60"/>
              <w:left w:type="dxa" w:w="100"/>
              <w:bottom w:type="dxa" w:w="60"/>
              <w:right w:type="dxa" w:w="100"/>
            </w:tcMar>
          </w:tcPr>
          <w:p>
            <w:r>
              <w:rPr>
                <w:color w:val="1A1A1A"/>
                <w:sz w:val="19"/>
                <w:szCs w:val="19"/>
              </w:rPr>
              <w:t xml:space="preserve">Phase 5a: Business plan for tech sales leaders</w:t>
            </w:r>
          </w:p>
        </w:tc>
        <w:tc>
          <w:tcPr>
            <w:tcW w:type="dxa" w:w="6360"/>
            <w:shd w:fill="FFFFFF" w:color="auto" w:val="clear"/>
            <w:tcMar>
              <w:top w:type="dxa" w:w="60"/>
              <w:left w:type="dxa" w:w="100"/>
              <w:bottom w:type="dxa" w:w="60"/>
              <w:right w:type="dxa" w:w="100"/>
            </w:tcMar>
          </w:tcPr>
          <w:p>
            <w:r>
              <w:rPr>
                <w:color w:val="1A1A1A"/>
                <w:sz w:val="19"/>
                <w:szCs w:val="19"/>
              </w:rPr>
              <w:t xml:space="preserve">Priority opportunity, expected outcome, renewal impact, executive strategy</w:t>
            </w:r>
          </w:p>
        </w:tc>
      </w:tr>
      <w:tr>
        <w:tc>
          <w:tcPr>
            <w:tcW w:type="dxa" w:w="3000"/>
            <w:shd w:fill="F2F6FC" w:color="auto" w:val="clear"/>
            <w:tcMar>
              <w:top w:type="dxa" w:w="60"/>
              <w:left w:type="dxa" w:w="100"/>
              <w:bottom w:type="dxa" w:w="60"/>
              <w:right w:type="dxa" w:w="100"/>
            </w:tcMar>
          </w:tcPr>
          <w:p>
            <w:r>
              <w:rPr>
                <w:color w:val="1A1A1A"/>
                <w:sz w:val="19"/>
                <w:szCs w:val="19"/>
              </w:rPr>
              <w:t xml:space="preserve">Phase 5b: Technical plan for ATLs and CSEs</w:t>
            </w:r>
          </w:p>
        </w:tc>
        <w:tc>
          <w:tcPr>
            <w:tcW w:type="dxa" w:w="6360"/>
            <w:shd w:fill="F2F6FC" w:color="auto" w:val="clear"/>
            <w:tcMar>
              <w:top w:type="dxa" w:w="60"/>
              <w:left w:type="dxa" w:w="100"/>
              <w:bottom w:type="dxa" w:w="60"/>
              <w:right w:type="dxa" w:w="100"/>
            </w:tcMar>
          </w:tcPr>
          <w:p>
            <w:r>
              <w:rPr>
                <w:color w:val="1A1A1A"/>
                <w:sz w:val="19"/>
                <w:szCs w:val="19"/>
              </w:rPr>
              <w:t xml:space="preserve">Recommended deployment sequence, architecture considerations, prerequisites, risks</w:t>
            </w:r>
          </w:p>
        </w:tc>
      </w:tr>
      <w:tr>
        <w:tc>
          <w:tcPr>
            <w:tcW w:type="dxa" w:w="3000"/>
            <w:shd w:fill="FFFFFF" w:color="auto" w:val="clear"/>
            <w:tcMar>
              <w:top w:type="dxa" w:w="60"/>
              <w:left w:type="dxa" w:w="100"/>
              <w:bottom w:type="dxa" w:w="60"/>
              <w:right w:type="dxa" w:w="100"/>
            </w:tcMar>
          </w:tcPr>
          <w:p>
            <w:r>
              <w:rPr>
                <w:color w:val="1A1A1A"/>
                <w:sz w:val="19"/>
                <w:szCs w:val="19"/>
              </w:rPr>
              <w:t xml:space="preserve">Portfolio snapshot</w:t>
            </w:r>
          </w:p>
        </w:tc>
        <w:tc>
          <w:tcPr>
            <w:tcW w:type="dxa" w:w="6360"/>
            <w:shd w:fill="FFFFFF" w:color="auto" w:val="clear"/>
            <w:tcMar>
              <w:top w:type="dxa" w:w="60"/>
              <w:left w:type="dxa" w:w="100"/>
              <w:bottom w:type="dxa" w:w="60"/>
              <w:right w:type="dxa" w:w="100"/>
            </w:tcMar>
          </w:tcPr>
          <w:p>
            <w:r>
              <w:rPr>
                <w:color w:val="1A1A1A"/>
                <w:sz w:val="19"/>
                <w:szCs w:val="19"/>
              </w:rPr>
              <w:t xml:space="preserve">KPI tiles (line items, license actions, use-case ideas, price alerts, total consumption, most common license) + category/license breakdowns</w:t>
            </w:r>
          </w:p>
        </w:tc>
      </w:tr>
      <w:tr>
        <w:tc>
          <w:tcPr>
            <w:tcW w:type="dxa" w:w="3000"/>
            <w:shd w:fill="F2F6FC" w:color="auto" w:val="clear"/>
            <w:tcMar>
              <w:top w:type="dxa" w:w="60"/>
              <w:left w:type="dxa" w:w="100"/>
              <w:bottom w:type="dxa" w:w="60"/>
              <w:right w:type="dxa" w:w="100"/>
            </w:tcMar>
          </w:tcPr>
          <w:p>
            <w:r>
              <w:rPr>
                <w:color w:val="1A1A1A"/>
                <w:sz w:val="19"/>
                <w:szCs w:val="19"/>
              </w:rPr>
              <w:t xml:space="preserve">License modernization</w:t>
            </w:r>
          </w:p>
        </w:tc>
        <w:tc>
          <w:tcPr>
            <w:tcW w:type="dxa" w:w="6360"/>
            <w:shd w:fill="F2F6FC" w:color="auto" w:val="clear"/>
            <w:tcMar>
              <w:top w:type="dxa" w:w="60"/>
              <w:left w:type="dxa" w:w="100"/>
              <w:bottom w:type="dxa" w:w="60"/>
              <w:right w:type="dxa" w:w="100"/>
            </w:tcMar>
          </w:tcPr>
          <w:p>
            <w:r>
              <w:rPr>
                <w:color w:val="1A1A1A"/>
                <w:sz w:val="19"/>
                <w:szCs w:val="19"/>
              </w:rPr>
              <w:t xml:space="preserve">25 license-change recommendations with consumption and NTE figures + part numbers</w:t>
            </w:r>
          </w:p>
        </w:tc>
      </w:tr>
      <w:tr>
        <w:tc>
          <w:tcPr>
            <w:tcW w:type="dxa" w:w="3000"/>
            <w:shd w:fill="FFFFFF" w:color="auto" w:val="clear"/>
            <w:tcMar>
              <w:top w:type="dxa" w:w="60"/>
              <w:left w:type="dxa" w:w="100"/>
              <w:bottom w:type="dxa" w:w="60"/>
              <w:right w:type="dxa" w:w="100"/>
            </w:tcMar>
          </w:tcPr>
          <w:p>
            <w:r>
              <w:rPr>
                <w:color w:val="1A1A1A"/>
                <w:sz w:val="19"/>
                <w:szCs w:val="19"/>
              </w:rPr>
              <w:t xml:space="preserve">New use cases from market signals</w:t>
            </w:r>
          </w:p>
        </w:tc>
        <w:tc>
          <w:tcPr>
            <w:tcW w:type="dxa" w:w="6360"/>
            <w:shd w:fill="FFFFFF" w:color="auto" w:val="clear"/>
            <w:tcMar>
              <w:top w:type="dxa" w:w="60"/>
              <w:left w:type="dxa" w:w="100"/>
              <w:bottom w:type="dxa" w:w="60"/>
              <w:right w:type="dxa" w:w="100"/>
            </w:tcMar>
          </w:tcPr>
          <w:p>
            <w:r>
              <w:rPr>
                <w:color w:val="1A1A1A"/>
                <w:sz w:val="19"/>
                <w:szCs w:val="19"/>
              </w:rPr>
              <w:t xml:space="preserve">34 demand-tagged use-case ideas per product</w:t>
            </w:r>
          </w:p>
        </w:tc>
      </w:tr>
      <w:tr>
        <w:tc>
          <w:tcPr>
            <w:tcW w:type="dxa" w:w="3000"/>
            <w:shd w:fill="F2F6FC" w:color="auto" w:val="clear"/>
            <w:tcMar>
              <w:top w:type="dxa" w:w="60"/>
              <w:left w:type="dxa" w:w="100"/>
              <w:bottom w:type="dxa" w:w="60"/>
              <w:right w:type="dxa" w:w="100"/>
            </w:tcMar>
          </w:tcPr>
          <w:p>
            <w:r>
              <w:rPr>
                <w:color w:val="1A1A1A"/>
                <w:sz w:val="19"/>
                <w:szCs w:val="19"/>
              </w:rPr>
              <w:t xml:space="preserve">Price increase alerts (2029 → 2030)</w:t>
            </w:r>
          </w:p>
        </w:tc>
        <w:tc>
          <w:tcPr>
            <w:tcW w:type="dxa" w:w="6360"/>
            <w:shd w:fill="F2F6FC" w:color="auto" w:val="clear"/>
            <w:tcMar>
              <w:top w:type="dxa" w:w="60"/>
              <w:left w:type="dxa" w:w="100"/>
              <w:bottom w:type="dxa" w:w="60"/>
              <w:right w:type="dxa" w:w="100"/>
            </w:tcMar>
          </w:tcPr>
          <w:p>
            <w:r>
              <w:rPr>
                <w:color w:val="1A1A1A"/>
                <w:sz w:val="19"/>
                <w:szCs w:val="19"/>
              </w:rPr>
              <w:t xml:space="preserve">30 proactive renewal / co-term opportunities with savings per unit</w:t>
            </w:r>
          </w:p>
        </w:tc>
      </w:tr>
      <w:tr>
        <w:tc>
          <w:tcPr>
            <w:tcW w:type="dxa" w:w="3000"/>
            <w:shd w:fill="FFFFFF" w:color="auto" w:val="clear"/>
            <w:tcMar>
              <w:top w:type="dxa" w:w="60"/>
              <w:left w:type="dxa" w:w="100"/>
              <w:bottom w:type="dxa" w:w="60"/>
              <w:right w:type="dxa" w:w="100"/>
            </w:tcMar>
          </w:tcPr>
          <w:p>
            <w:r>
              <w:rPr>
                <w:color w:val="1A1A1A"/>
                <w:sz w:val="19"/>
                <w:szCs w:val="19"/>
              </w:rPr>
              <w:t xml:space="preserve">Market trend watchlist</w:t>
            </w:r>
          </w:p>
        </w:tc>
        <w:tc>
          <w:tcPr>
            <w:tcW w:type="dxa" w:w="6360"/>
            <w:shd w:fill="FFFFFF" w:color="auto" w:val="clear"/>
            <w:tcMar>
              <w:top w:type="dxa" w:w="60"/>
              <w:left w:type="dxa" w:w="100"/>
              <w:bottom w:type="dxa" w:w="60"/>
              <w:right w:type="dxa" w:w="100"/>
            </w:tcMar>
          </w:tcPr>
          <w:p>
            <w:r>
              <w:rPr>
                <w:color w:val="1A1A1A"/>
                <w:sz w:val="19"/>
                <w:szCs w:val="19"/>
              </w:rPr>
              <w:t xml:space="preserve">Six market themes with demand levels</w:t>
            </w:r>
          </w:p>
        </w:tc>
      </w:tr>
    </w:tbl>
    <w:p>
      <w:r>
        <w:br w:type="page"/>
      </w:r>
    </w:p>
    <w:p>
      <w:pPr>
        <w:pStyle w:val="Heading1"/>
        <w:spacing w:after="140" w:before="320"/>
      </w:pPr>
      <w:r>
        <w:rPr>
          <w:b/>
          <w:bCs/>
          <w:color w:val="0F62FE"/>
          <w:sz w:val="30"/>
          <w:szCs w:val="30"/>
        </w:rPr>
        <w:t xml:space="preserve">3. Proposed tab structure</w:t>
      </w:r>
    </w:p>
    <w:p>
      <w:pPr>
        <w:spacing w:after="120" w:line="276"/>
      </w:pPr>
      <w:r>
        <w:rPr>
          <w:color w:val="1A1A1A"/>
          <w:sz w:val="21"/>
          <w:szCs w:val="21"/>
        </w:rPr>
        <w:t xml:space="preserve">The twelve-plus sections above collapse cleanly into six tabs. Each tab maps to a distinct moment in the account-planning conversation, so a seller can navigate to exactly the view a given stakeholder needs. The upload/date controls remain persistent (a header bar or a first "Setup" step) since every tab depends on them.</w:t>
      </w:r>
    </w:p>
    <w:p>
      <w:pPr>
        <w:spacing w:after="60"/>
      </w:pPr>
      <w:r>
        <w:t xml:space="preserve"/>
      </w:r>
    </w:p>
    <w:tbl>
      <w:tblPr>
        <w:tblW w:type="dxa" w:w="9360"/>
        <w:tblBorders>
          <w:top w:val="single" w:color="C0C0C0" w:sz="2"/>
          <w:left w:val="single" w:color="C0C0C0" w:sz="2"/>
          <w:bottom w:val="single" w:color="C0C0C0" w:sz="2"/>
          <w:right w:val="single" w:color="C0C0C0" w:sz="2"/>
          <w:insideH w:val="single" w:color="E0E0E0" w:sz="2"/>
          <w:insideV w:val="single" w:color="E0E0E0" w:sz="2"/>
        </w:tblBorders>
      </w:tblPr>
      <w:tblGrid>
        <w:gridCol w:w="2400"/>
        <w:gridCol w:w="3960"/>
        <w:gridCol w:w="3000"/>
      </w:tblGrid>
      <w:tr>
        <w:trPr>
          <w:tblHeader/>
        </w:trPr>
        <w:tc>
          <w:tcPr>
            <w:tcW w:type="dxa" w:w="2400"/>
            <w:shd w:fill="0F62FE" w:color="auto" w:val="clear"/>
            <w:tcMar>
              <w:top w:type="dxa" w:w="80"/>
              <w:left w:type="dxa" w:w="100"/>
              <w:bottom w:type="dxa" w:w="80"/>
              <w:right w:type="dxa" w:w="100"/>
            </w:tcMar>
          </w:tcPr>
          <w:p>
            <w:r>
              <w:rPr>
                <w:b/>
                <w:bCs/>
                <w:color w:val="FFFFFF"/>
                <w:sz w:val="19"/>
                <w:szCs w:val="19"/>
              </w:rPr>
              <w:t xml:space="preserve">Tab</w:t>
            </w:r>
          </w:p>
        </w:tc>
        <w:tc>
          <w:tcPr>
            <w:tcW w:type="dxa" w:w="3960"/>
            <w:shd w:fill="0F62FE" w:color="auto" w:val="clear"/>
            <w:tcMar>
              <w:top w:type="dxa" w:w="80"/>
              <w:left w:type="dxa" w:w="100"/>
              <w:bottom w:type="dxa" w:w="80"/>
              <w:right w:type="dxa" w:w="100"/>
            </w:tcMar>
          </w:tcPr>
          <w:p>
            <w:r>
              <w:rPr>
                <w:b/>
                <w:bCs/>
                <w:color w:val="FFFFFF"/>
                <w:sz w:val="19"/>
                <w:szCs w:val="19"/>
              </w:rPr>
              <w:t xml:space="preserve">Rolls up</w:t>
            </w:r>
          </w:p>
        </w:tc>
        <w:tc>
          <w:tcPr>
            <w:tcW w:type="dxa" w:w="3000"/>
            <w:shd w:fill="0F62FE" w:color="auto" w:val="clear"/>
            <w:tcMar>
              <w:top w:type="dxa" w:w="80"/>
              <w:left w:type="dxa" w:w="100"/>
              <w:bottom w:type="dxa" w:w="80"/>
              <w:right w:type="dxa" w:w="100"/>
            </w:tcMar>
          </w:tcPr>
          <w:p>
            <w:r>
              <w:rPr>
                <w:b/>
                <w:bCs/>
                <w:color w:val="FFFFFF"/>
                <w:sz w:val="19"/>
                <w:szCs w:val="19"/>
              </w:rPr>
              <w:t xml:space="preserve">Primary user moment</w:t>
            </w:r>
          </w:p>
        </w:tc>
      </w:tr>
      <w:tr>
        <w:tc>
          <w:tcPr>
            <w:tcW w:type="dxa" w:w="2400"/>
            <w:shd w:fill="FFFFFF" w:color="auto" w:val="clear"/>
            <w:tcMar>
              <w:top w:type="dxa" w:w="60"/>
              <w:left w:type="dxa" w:w="100"/>
              <w:bottom w:type="dxa" w:w="60"/>
              <w:right w:type="dxa" w:w="100"/>
            </w:tcMar>
          </w:tcPr>
          <w:p>
            <w:r>
              <w:rPr>
                <w:color w:val="1A1A1A"/>
                <w:sz w:val="19"/>
                <w:szCs w:val="19"/>
              </w:rPr>
              <w:t xml:space="preserve">1. Overview</w:t>
            </w:r>
          </w:p>
        </w:tc>
        <w:tc>
          <w:tcPr>
            <w:tcW w:type="dxa" w:w="3960"/>
            <w:shd w:fill="FFFFFF" w:color="auto" w:val="clear"/>
            <w:tcMar>
              <w:top w:type="dxa" w:w="60"/>
              <w:left w:type="dxa" w:w="100"/>
              <w:bottom w:type="dxa" w:w="60"/>
              <w:right w:type="dxa" w:w="100"/>
            </w:tcMar>
          </w:tcPr>
          <w:p>
            <w:r>
              <w:rPr>
                <w:color w:val="1A1A1A"/>
                <w:sz w:val="19"/>
                <w:szCs w:val="19"/>
              </w:rPr>
              <w:t xml:space="preserve">Header/Upload, Phase 1, Portfolio snapshot</w:t>
            </w:r>
          </w:p>
        </w:tc>
        <w:tc>
          <w:tcPr>
            <w:tcW w:type="dxa" w:w="3000"/>
            <w:shd w:fill="FFFFFF" w:color="auto" w:val="clear"/>
            <w:tcMar>
              <w:top w:type="dxa" w:w="60"/>
              <w:left w:type="dxa" w:w="100"/>
              <w:bottom w:type="dxa" w:w="60"/>
              <w:right w:type="dxa" w:w="100"/>
            </w:tcMar>
          </w:tcPr>
          <w:p>
            <w:r>
              <w:rPr>
                <w:color w:val="1A1A1A"/>
                <w:sz w:val="19"/>
                <w:szCs w:val="19"/>
              </w:rPr>
              <w:t xml:space="preserve">Orientation &amp; catalog health at a glance</w:t>
            </w:r>
          </w:p>
        </w:tc>
      </w:tr>
      <w:tr>
        <w:tc>
          <w:tcPr>
            <w:tcW w:type="dxa" w:w="2400"/>
            <w:shd w:fill="F2F6FC" w:color="auto" w:val="clear"/>
            <w:tcMar>
              <w:top w:type="dxa" w:w="60"/>
              <w:left w:type="dxa" w:w="100"/>
              <w:bottom w:type="dxa" w:w="60"/>
              <w:right w:type="dxa" w:w="100"/>
            </w:tcMar>
          </w:tcPr>
          <w:p>
            <w:r>
              <w:rPr>
                <w:color w:val="1A1A1A"/>
                <w:sz w:val="19"/>
                <w:szCs w:val="19"/>
              </w:rPr>
              <w:t xml:space="preserve">2. Client Presentations</w:t>
            </w:r>
          </w:p>
        </w:tc>
        <w:tc>
          <w:tcPr>
            <w:tcW w:type="dxa" w:w="3960"/>
            <w:shd w:fill="F2F6FC" w:color="auto" w:val="clear"/>
            <w:tcMar>
              <w:top w:type="dxa" w:w="60"/>
              <w:left w:type="dxa" w:w="100"/>
              <w:bottom w:type="dxa" w:w="60"/>
              <w:right w:type="dxa" w:w="100"/>
            </w:tcMar>
          </w:tcPr>
          <w:p>
            <w:r>
              <w:rPr>
                <w:color w:val="1A1A1A"/>
                <w:sz w:val="19"/>
                <w:szCs w:val="19"/>
              </w:rPr>
              <w:t xml:space="preserve">Phase 2</w:t>
            </w:r>
          </w:p>
        </w:tc>
        <w:tc>
          <w:tcPr>
            <w:tcW w:type="dxa" w:w="3000"/>
            <w:shd w:fill="F2F6FC" w:color="auto" w:val="clear"/>
            <w:tcMar>
              <w:top w:type="dxa" w:w="60"/>
              <w:left w:type="dxa" w:w="100"/>
              <w:bottom w:type="dxa" w:w="60"/>
              <w:right w:type="dxa" w:w="100"/>
            </w:tcMar>
          </w:tcPr>
          <w:p>
            <w:r>
              <w:rPr>
                <w:color w:val="1A1A1A"/>
                <w:sz w:val="19"/>
                <w:szCs w:val="19"/>
              </w:rPr>
              <w:t xml:space="preserve">Walking an executive through the value story</w:t>
            </w:r>
          </w:p>
        </w:tc>
      </w:tr>
      <w:tr>
        <w:tc>
          <w:tcPr>
            <w:tcW w:type="dxa" w:w="2400"/>
            <w:shd w:fill="FFFFFF" w:color="auto" w:val="clear"/>
            <w:tcMar>
              <w:top w:type="dxa" w:w="60"/>
              <w:left w:type="dxa" w:w="100"/>
              <w:bottom w:type="dxa" w:w="60"/>
              <w:right w:type="dxa" w:w="100"/>
            </w:tcMar>
          </w:tcPr>
          <w:p>
            <w:r>
              <w:rPr>
                <w:color w:val="1A1A1A"/>
                <w:sz w:val="19"/>
                <w:szCs w:val="19"/>
              </w:rPr>
              <w:t xml:space="preserve">3. Deployment Plan</w:t>
            </w:r>
          </w:p>
        </w:tc>
        <w:tc>
          <w:tcPr>
            <w:tcW w:type="dxa" w:w="3960"/>
            <w:shd w:fill="FFFFFF" w:color="auto" w:val="clear"/>
            <w:tcMar>
              <w:top w:type="dxa" w:w="60"/>
              <w:left w:type="dxa" w:w="100"/>
              <w:bottom w:type="dxa" w:w="60"/>
              <w:right w:type="dxa" w:w="100"/>
            </w:tcMar>
          </w:tcPr>
          <w:p>
            <w:r>
              <w:rPr>
                <w:color w:val="1A1A1A"/>
                <w:sz w:val="19"/>
                <w:szCs w:val="19"/>
              </w:rPr>
              <w:t xml:space="preserve">Phase 3, Phase 4</w:t>
            </w:r>
          </w:p>
        </w:tc>
        <w:tc>
          <w:tcPr>
            <w:tcW w:type="dxa" w:w="3000"/>
            <w:shd w:fill="FFFFFF" w:color="auto" w:val="clear"/>
            <w:tcMar>
              <w:top w:type="dxa" w:w="60"/>
              <w:left w:type="dxa" w:w="100"/>
              <w:bottom w:type="dxa" w:w="60"/>
              <w:right w:type="dxa" w:w="100"/>
            </w:tcMar>
          </w:tcPr>
          <w:p>
            <w:r>
              <w:rPr>
                <w:color w:val="1A1A1A"/>
                <w:sz w:val="19"/>
                <w:szCs w:val="19"/>
              </w:rPr>
              <w:t xml:space="preserve">Sequencing and prioritizing what to deploy</w:t>
            </w:r>
          </w:p>
        </w:tc>
      </w:tr>
      <w:tr>
        <w:tc>
          <w:tcPr>
            <w:tcW w:type="dxa" w:w="2400"/>
            <w:shd w:fill="F2F6FC" w:color="auto" w:val="clear"/>
            <w:tcMar>
              <w:top w:type="dxa" w:w="60"/>
              <w:left w:type="dxa" w:w="100"/>
              <w:bottom w:type="dxa" w:w="60"/>
              <w:right w:type="dxa" w:w="100"/>
            </w:tcMar>
          </w:tcPr>
          <w:p>
            <w:r>
              <w:rPr>
                <w:color w:val="1A1A1A"/>
                <w:sz w:val="19"/>
                <w:szCs w:val="19"/>
              </w:rPr>
              <w:t xml:space="preserve">4. Sales &amp; Technical Plans</w:t>
            </w:r>
          </w:p>
        </w:tc>
        <w:tc>
          <w:tcPr>
            <w:tcW w:type="dxa" w:w="3960"/>
            <w:shd w:fill="F2F6FC" w:color="auto" w:val="clear"/>
            <w:tcMar>
              <w:top w:type="dxa" w:w="60"/>
              <w:left w:type="dxa" w:w="100"/>
              <w:bottom w:type="dxa" w:w="60"/>
              <w:right w:type="dxa" w:w="100"/>
            </w:tcMar>
          </w:tcPr>
          <w:p>
            <w:r>
              <w:rPr>
                <w:color w:val="1A1A1A"/>
                <w:sz w:val="19"/>
                <w:szCs w:val="19"/>
              </w:rPr>
              <w:t xml:space="preserve">Phase 5a, Phase 5b</w:t>
            </w:r>
          </w:p>
        </w:tc>
        <w:tc>
          <w:tcPr>
            <w:tcW w:type="dxa" w:w="3000"/>
            <w:shd w:fill="F2F6FC" w:color="auto" w:val="clear"/>
            <w:tcMar>
              <w:top w:type="dxa" w:w="60"/>
              <w:left w:type="dxa" w:w="100"/>
              <w:bottom w:type="dxa" w:w="60"/>
              <w:right w:type="dxa" w:w="100"/>
            </w:tcMar>
          </w:tcPr>
          <w:p>
            <w:r>
              <w:rPr>
                <w:color w:val="1A1A1A"/>
                <w:sz w:val="19"/>
                <w:szCs w:val="19"/>
              </w:rPr>
              <w:t xml:space="preserve">Handoff between sales leaders and ATLs/CSEs</w:t>
            </w:r>
          </w:p>
        </w:tc>
      </w:tr>
      <w:tr>
        <w:tc>
          <w:tcPr>
            <w:tcW w:type="dxa" w:w="2400"/>
            <w:shd w:fill="FFFFFF" w:color="auto" w:val="clear"/>
            <w:tcMar>
              <w:top w:type="dxa" w:w="60"/>
              <w:left w:type="dxa" w:w="100"/>
              <w:bottom w:type="dxa" w:w="60"/>
              <w:right w:type="dxa" w:w="100"/>
            </w:tcMar>
          </w:tcPr>
          <w:p>
            <w:r>
              <w:rPr>
                <w:color w:val="1A1A1A"/>
                <w:sz w:val="19"/>
                <w:szCs w:val="19"/>
              </w:rPr>
              <w:t xml:space="preserve">5. Licensing &amp; Cost</w:t>
            </w:r>
          </w:p>
        </w:tc>
        <w:tc>
          <w:tcPr>
            <w:tcW w:type="dxa" w:w="3960"/>
            <w:shd w:fill="FFFFFF" w:color="auto" w:val="clear"/>
            <w:tcMar>
              <w:top w:type="dxa" w:w="60"/>
              <w:left w:type="dxa" w:w="100"/>
              <w:bottom w:type="dxa" w:w="60"/>
              <w:right w:type="dxa" w:w="100"/>
            </w:tcMar>
          </w:tcPr>
          <w:p>
            <w:r>
              <w:rPr>
                <w:color w:val="1A1A1A"/>
                <w:sz w:val="19"/>
                <w:szCs w:val="19"/>
              </w:rPr>
              <w:t xml:space="preserve">Product catalog table, License modernization, Price alerts</w:t>
            </w:r>
          </w:p>
        </w:tc>
        <w:tc>
          <w:tcPr>
            <w:tcW w:type="dxa" w:w="3000"/>
            <w:shd w:fill="FFFFFF" w:color="auto" w:val="clear"/>
            <w:tcMar>
              <w:top w:type="dxa" w:w="60"/>
              <w:left w:type="dxa" w:w="100"/>
              <w:bottom w:type="dxa" w:w="60"/>
              <w:right w:type="dxa" w:w="100"/>
            </w:tcMar>
          </w:tcPr>
          <w:p>
            <w:r>
              <w:rPr>
                <w:color w:val="1A1A1A"/>
                <w:sz w:val="19"/>
                <w:szCs w:val="19"/>
              </w:rPr>
              <w:t xml:space="preserve">Renewal, modernization, and cost conversations</w:t>
            </w:r>
          </w:p>
        </w:tc>
      </w:tr>
      <w:tr>
        <w:tc>
          <w:tcPr>
            <w:tcW w:type="dxa" w:w="2400"/>
            <w:shd w:fill="F2F6FC" w:color="auto" w:val="clear"/>
            <w:tcMar>
              <w:top w:type="dxa" w:w="60"/>
              <w:left w:type="dxa" w:w="100"/>
              <w:bottom w:type="dxa" w:w="60"/>
              <w:right w:type="dxa" w:w="100"/>
            </w:tcMar>
          </w:tcPr>
          <w:p>
            <w:r>
              <w:rPr>
                <w:color w:val="1A1A1A"/>
                <w:sz w:val="19"/>
                <w:szCs w:val="19"/>
              </w:rPr>
              <w:t xml:space="preserve">6. Market Signals</w:t>
            </w:r>
          </w:p>
        </w:tc>
        <w:tc>
          <w:tcPr>
            <w:tcW w:type="dxa" w:w="3960"/>
            <w:shd w:fill="F2F6FC" w:color="auto" w:val="clear"/>
            <w:tcMar>
              <w:top w:type="dxa" w:w="60"/>
              <w:left w:type="dxa" w:w="100"/>
              <w:bottom w:type="dxa" w:w="60"/>
              <w:right w:type="dxa" w:w="100"/>
            </w:tcMar>
          </w:tcPr>
          <w:p>
            <w:r>
              <w:rPr>
                <w:color w:val="1A1A1A"/>
                <w:sz w:val="19"/>
                <w:szCs w:val="19"/>
              </w:rPr>
              <w:t xml:space="preserve">Market use cases, Market trend watchlist</w:t>
            </w:r>
          </w:p>
        </w:tc>
        <w:tc>
          <w:tcPr>
            <w:tcW w:type="dxa" w:w="3000"/>
            <w:shd w:fill="F2F6FC" w:color="auto" w:val="clear"/>
            <w:tcMar>
              <w:top w:type="dxa" w:w="60"/>
              <w:left w:type="dxa" w:w="100"/>
              <w:bottom w:type="dxa" w:w="60"/>
              <w:right w:type="dxa" w:w="100"/>
            </w:tcMar>
          </w:tcPr>
          <w:p>
            <w:r>
              <w:rPr>
                <w:color w:val="1A1A1A"/>
                <w:sz w:val="19"/>
                <w:szCs w:val="19"/>
              </w:rPr>
              <w:t xml:space="preserve">Positioning against current demand</w:t>
            </w:r>
          </w:p>
        </w:tc>
      </w:tr>
    </w:tbl>
    <w:p>
      <w:pPr>
        <w:spacing w:after="60"/>
      </w:pPr>
      <w:r>
        <w:t xml:space="preserve"/>
      </w:r>
    </w:p>
    <w:p>
      <w:pPr>
        <w:spacing w:after="120" w:line="276"/>
      </w:pPr>
      <w:r>
        <w:rPr>
          <w:color w:val="1A1A1A"/>
          <w:sz w:val="21"/>
          <w:szCs w:val="21"/>
        </w:rPr>
        <w:t xml:space="preserve">The sections below detail each tab: its purpose, the content it contains, and how a seller or architect uses it.</w:t>
      </w:r>
    </w:p>
    <w:p>
      <w:r>
        <w:br w:type="page"/>
      </w:r>
    </w:p>
    <w:p>
      <w:pPr>
        <w:pStyle w:val="Heading1"/>
        <w:spacing w:after="140" w:before="320"/>
      </w:pPr>
      <w:r>
        <w:rPr>
          <w:b/>
          <w:bCs/>
          <w:color w:val="0F62FE"/>
          <w:sz w:val="30"/>
          <w:szCs w:val="30"/>
        </w:rPr>
        <w:t xml:space="preserve">4. Tab-by-tab detail</w:t>
      </w:r>
    </w:p>
    <w:p>
      <w:pPr>
        <w:pStyle w:val="Heading2"/>
        <w:spacing w:after="100" w:before="240"/>
      </w:pPr>
      <w:r>
        <w:rPr>
          <w:b/>
          <w:bCs/>
          <w:color w:val="0043CE"/>
          <w:sz w:val="25"/>
          <w:szCs w:val="25"/>
        </w:rPr>
        <w:t xml:space="preserve">Tab 1: Overview</w:t>
      </w:r>
    </w:p>
    <w:p>
      <w:pPr>
        <w:spacing w:after="80" w:line="264"/>
      </w:pPr>
      <w:r>
        <w:rPr>
          <w:b/>
          <w:bCs/>
          <w:color w:val="0043CE"/>
          <w:sz w:val="21"/>
          <w:szCs w:val="21"/>
        </w:rPr>
        <w:t xml:space="preserve">Purpose: </w:t>
      </w:r>
      <w:r>
        <w:rPr>
          <w:color w:val="1A1A1A"/>
          <w:sz w:val="21"/>
          <w:szCs w:val="21"/>
        </w:rPr>
        <w:t xml:space="preserve">Give the seller an immediate read on the client's catalog and the highest-level signals before they dive into any specific plan.</w:t>
      </w:r>
    </w:p>
    <w:p>
      <w:pPr>
        <w:pStyle w:val="Heading3"/>
        <w:spacing w:after="80" w:before="180"/>
      </w:pPr>
      <w:r>
        <w:rPr>
          <w:b/>
          <w:bCs/>
          <w:color w:val="161616"/>
          <w:sz w:val="22"/>
          <w:szCs w:val="22"/>
        </w:rPr>
        <w:t xml:space="preserve">Contains</w:t>
      </w:r>
    </w:p>
    <w:p>
      <w:pPr>
        <w:pStyle w:val="ListParagraph"/>
        <w:numPr>
          <w:ilvl w:val="0"/>
          <w:numId w:val="2"/>
        </w:numPr>
        <w:spacing w:after="60" w:line="264"/>
      </w:pPr>
      <w:r>
        <w:rPr>
          <w:color w:val="1A1A1A"/>
          <w:sz w:val="21"/>
          <w:szCs w:val="21"/>
        </w:rPr>
        <w:t xml:space="preserve">Catalog upload control and target deployment date (persistent across all tabs).</w:t>
      </w:r>
    </w:p>
    <w:p>
      <w:pPr>
        <w:pStyle w:val="ListParagraph"/>
        <w:numPr>
          <w:ilvl w:val="0"/>
          <w:numId w:val="2"/>
        </w:numPr>
        <w:spacing w:after="60" w:line="264"/>
      </w:pPr>
      <w:r>
        <w:rPr>
          <w:color w:val="1A1A1A"/>
          <w:sz w:val="21"/>
          <w:szCs w:val="21"/>
        </w:rPr>
        <w:t xml:space="preserve">Phase 1 knowledge base: total solutions in catalog, solution categories (Data &amp; Analytics, Security, Optimization, Application Runtime, DevOps &amp; QA, Integration, Other), and top market signals.</w:t>
      </w:r>
    </w:p>
    <w:p>
      <w:pPr>
        <w:pStyle w:val="ListParagraph"/>
        <w:numPr>
          <w:ilvl w:val="0"/>
          <w:numId w:val="2"/>
        </w:numPr>
        <w:spacing w:after="60" w:line="264"/>
      </w:pPr>
      <w:r>
        <w:rPr>
          <w:color w:val="1A1A1A"/>
          <w:sz w:val="21"/>
          <w:szCs w:val="21"/>
        </w:rPr>
        <w:t xml:space="preserve">Portfolio snapshot KPI tiles: line items, license actions, use-case ideas, price alerts (&gt;5%), total consumption rate, and most common license type.</w:t>
      </w:r>
    </w:p>
    <w:p>
      <w:pPr>
        <w:pStyle w:val="ListParagraph"/>
        <w:numPr>
          <w:ilvl w:val="0"/>
          <w:numId w:val="2"/>
        </w:numPr>
        <w:spacing w:after="60" w:line="264"/>
      </w:pPr>
      <w:r>
        <w:rPr>
          <w:color w:val="1A1A1A"/>
          <w:sz w:val="21"/>
          <w:szCs w:val="21"/>
        </w:rPr>
        <w:t xml:space="preserve">Category and license-model distribution chips.</w:t>
      </w:r>
    </w:p>
    <w:p>
      <w:pPr>
        <w:pStyle w:val="Heading3"/>
        <w:spacing w:after="80" w:before="180"/>
      </w:pPr>
      <w:r>
        <w:rPr>
          <w:b/>
          <w:bCs/>
          <w:color w:val="161616"/>
          <w:sz w:val="22"/>
          <w:szCs w:val="22"/>
        </w:rPr>
        <w:t xml:space="preserve">How it's used</w:t>
      </w:r>
    </w:p>
    <w:p>
      <w:pPr>
        <w:spacing w:after="120" w:line="276"/>
      </w:pPr>
      <w:r>
        <w:rPr>
          <w:color w:val="1A1A1A"/>
          <w:sz w:val="21"/>
          <w:szCs w:val="21"/>
        </w:rPr>
        <w:t xml:space="preserve">This is the landing tab and the seller's briefing screen. Before a client call, the seller uploads the catalog, sets the go-live date, and scans the snapshot to understand the size and shape of the estate. The KPI tiles double as talking points ('you have 30 line items, CA$947K in total consumption, and 30 items facing a price increase').</w:t>
      </w:r>
    </w:p>
    <w:tbl>
      <w:tblPr>
        <w:tblW w:type="pct" w:w="100%"/>
        <w:tblBorders>
          <w:top w:val="single" w:color="0F62FE" w:sz="4"/>
          <w:left w:val="single" w:color="0F62FE" w:sz="12"/>
          <w:bottom w:val="single" w:color="0F62FE" w:sz="4"/>
          <w:right w:val="single" w:color="0F62FE" w:sz="4"/>
          <w:insideH w:val="none"/>
          <w:insideV w:val="none"/>
        </w:tblBorders>
      </w:tblPr>
      <w:tblGrid>
        <w:gridCol w:w="9360"/>
      </w:tblGrid>
      <w:tr>
        <w:tc>
          <w:tcPr>
            <w:tcW w:type="dxa" w:w="9360"/>
            <w:shd w:fill="F4F4F4" w:color="auto" w:val="clear"/>
            <w:tcMar>
              <w:top w:type="dxa" w:w="120"/>
              <w:left w:type="dxa" w:w="160"/>
              <w:bottom w:type="dxa" w:w="120"/>
              <w:right w:type="dxa" w:w="160"/>
            </w:tcMar>
          </w:tcPr>
          <w:p>
            <w:pPr>
              <w:spacing w:after="80"/>
            </w:pPr>
            <w:r>
              <w:rPr>
                <w:b/>
                <w:bCs/>
                <w:color w:val="161616"/>
                <w:sz w:val="21"/>
                <w:szCs w:val="21"/>
              </w:rPr>
              <w:t xml:space="preserve">Agent grounding</w:t>
            </w:r>
          </w:p>
          <w:p>
            <w:pPr>
              <w:spacing w:after="0"/>
            </w:pPr>
            <w:r>
              <w:rPr>
                <w:color w:val="1A1A1A"/>
                <w:sz w:val="21"/>
                <w:szCs w:val="21"/>
              </w:rPr>
              <w:t xml:space="preserve">When a user first arrives or asks 'where do I start' / 'what am I looking at', point them here. If they ask about totals, categories, or overall spend, the answer lives in the Overview tab's snapshot. Prompt them to upload a catalog if no data is loaded yet.</w:t>
            </w:r>
          </w:p>
        </w:tc>
      </w:tr>
    </w:tbl>
    <w:p>
      <w:pPr>
        <w:pBdr>
          <w:bottom w:val="single" w:color="D0D0D0" w:sz="6" w:space="1"/>
        </w:pBdr>
        <w:spacing w:after="160"/>
      </w:pPr>
      <w:r>
        <w:t xml:space="preserve"/>
      </w:r>
    </w:p>
    <w:p>
      <w:pPr>
        <w:pStyle w:val="Heading2"/>
        <w:spacing w:after="100" w:before="240"/>
      </w:pPr>
      <w:r>
        <w:rPr>
          <w:b/>
          <w:bCs/>
          <w:color w:val="0043CE"/>
          <w:sz w:val="25"/>
          <w:szCs w:val="25"/>
        </w:rPr>
        <w:t xml:space="preserve">Tab 2: Client Presentations</w:t>
      </w:r>
    </w:p>
    <w:p>
      <w:pPr>
        <w:spacing w:after="80" w:line="264"/>
      </w:pPr>
      <w:r>
        <w:rPr>
          <w:b/>
          <w:bCs/>
          <w:color w:val="0043CE"/>
          <w:sz w:val="21"/>
          <w:szCs w:val="21"/>
        </w:rPr>
        <w:t xml:space="preserve">Purpose: </w:t>
      </w:r>
      <w:r>
        <w:rPr>
          <w:color w:val="1A1A1A"/>
          <w:sz w:val="21"/>
          <w:szCs w:val="21"/>
        </w:rPr>
        <w:t xml:space="preserve">Provide ready-made, executive-facing narratives for each product using IBM's What / Why / How / Why Now framing.</w:t>
      </w:r>
    </w:p>
    <w:p>
      <w:pPr>
        <w:pStyle w:val="Heading3"/>
        <w:spacing w:after="80" w:before="180"/>
      </w:pPr>
      <w:r>
        <w:rPr>
          <w:b/>
          <w:bCs/>
          <w:color w:val="161616"/>
          <w:sz w:val="22"/>
          <w:szCs w:val="22"/>
        </w:rPr>
        <w:t xml:space="preserve">Contains</w:t>
      </w:r>
    </w:p>
    <w:p>
      <w:pPr>
        <w:pStyle w:val="ListParagraph"/>
        <w:numPr>
          <w:ilvl w:val="0"/>
          <w:numId w:val="2"/>
        </w:numPr>
        <w:spacing w:after="60" w:line="264"/>
      </w:pPr>
      <w:r>
        <w:rPr>
          <w:color w:val="1A1A1A"/>
          <w:sz w:val="21"/>
          <w:szCs w:val="21"/>
        </w:rPr>
        <w:t xml:space="preserve">Per-product cards, each with four labeled sections: What (capability summary), Why (market rationale), How (deployment path), and Why Now (urgency tied to demand and renewal cycles).</w:t>
      </w:r>
    </w:p>
    <w:p>
      <w:pPr>
        <w:pStyle w:val="ListParagraph"/>
        <w:numPr>
          <w:ilvl w:val="0"/>
          <w:numId w:val="2"/>
        </w:numPr>
        <w:spacing w:after="60" w:line="264"/>
      </w:pPr>
      <w:r>
        <w:rPr>
          <w:color w:val="1A1A1A"/>
          <w:sz w:val="21"/>
          <w:szCs w:val="21"/>
        </w:rPr>
        <w:t xml:space="preserve">Product count indicator (e.g. '5 products').</w:t>
      </w:r>
    </w:p>
    <w:p>
      <w:pPr>
        <w:pStyle w:val="Heading3"/>
        <w:spacing w:after="80" w:before="180"/>
      </w:pPr>
      <w:r>
        <w:rPr>
          <w:b/>
          <w:bCs/>
          <w:color w:val="161616"/>
          <w:sz w:val="22"/>
          <w:szCs w:val="22"/>
        </w:rPr>
        <w:t xml:space="preserve">How it's used</w:t>
      </w:r>
    </w:p>
    <w:p>
      <w:pPr>
        <w:spacing w:after="120" w:line="276"/>
      </w:pPr>
      <w:r>
        <w:rPr>
          <w:color w:val="1A1A1A"/>
          <w:sz w:val="21"/>
          <w:szCs w:val="21"/>
        </w:rPr>
        <w:t xml:space="preserve">Used live in front of an executive audience, or as copy the seller lifts into a slide deck. Each card is a self-contained talk track for one product, so the seller can present only the products relevant to the client's priorities.</w:t>
      </w:r>
    </w:p>
    <w:tbl>
      <w:tblPr>
        <w:tblW w:type="pct" w:w="100%"/>
        <w:tblBorders>
          <w:top w:val="single" w:color="0F62FE" w:sz="4"/>
          <w:left w:val="single" w:color="0F62FE" w:sz="12"/>
          <w:bottom w:val="single" w:color="0F62FE" w:sz="4"/>
          <w:right w:val="single" w:color="0F62FE" w:sz="4"/>
          <w:insideH w:val="none"/>
          <w:insideV w:val="none"/>
        </w:tblBorders>
      </w:tblPr>
      <w:tblGrid>
        <w:gridCol w:w="9360"/>
      </w:tblGrid>
      <w:tr>
        <w:tc>
          <w:tcPr>
            <w:tcW w:type="dxa" w:w="9360"/>
            <w:shd w:fill="F4F4F4" w:color="auto" w:val="clear"/>
            <w:tcMar>
              <w:top w:type="dxa" w:w="120"/>
              <w:left w:type="dxa" w:w="160"/>
              <w:bottom w:type="dxa" w:w="120"/>
              <w:right w:type="dxa" w:w="160"/>
            </w:tcMar>
          </w:tcPr>
          <w:p>
            <w:pPr>
              <w:spacing w:after="80"/>
            </w:pPr>
            <w:r>
              <w:rPr>
                <w:b/>
                <w:bCs/>
                <w:color w:val="161616"/>
                <w:sz w:val="21"/>
                <w:szCs w:val="21"/>
              </w:rPr>
              <w:t xml:space="preserve">Agent grounding</w:t>
            </w:r>
          </w:p>
          <w:p>
            <w:pPr>
              <w:spacing w:after="0"/>
            </w:pPr>
            <w:r>
              <w:rPr>
                <w:color w:val="1A1A1A"/>
                <w:sz w:val="21"/>
                <w:szCs w:val="21"/>
              </w:rPr>
              <w:t xml:space="preserve">When a user asks how to position or pitch a specific product, or wants the 'What/Why/How/Why Now' for something, surface this tab. You can summarize or expand any card's four sections on request.</w:t>
            </w:r>
          </w:p>
        </w:tc>
      </w:tr>
    </w:tbl>
    <w:p>
      <w:pPr>
        <w:pBdr>
          <w:bottom w:val="single" w:color="D0D0D0" w:sz="6" w:space="1"/>
        </w:pBdr>
        <w:spacing w:after="160"/>
      </w:pPr>
      <w:r>
        <w:t xml:space="preserve"/>
      </w:r>
    </w:p>
    <w:p>
      <w:pPr>
        <w:pStyle w:val="Heading2"/>
        <w:spacing w:after="100" w:before="240"/>
      </w:pPr>
      <w:r>
        <w:rPr>
          <w:b/>
          <w:bCs/>
          <w:color w:val="0043CE"/>
          <w:sz w:val="25"/>
          <w:szCs w:val="25"/>
        </w:rPr>
        <w:t xml:space="preserve">Tab 3: Deployment Plan</w:t>
      </w:r>
    </w:p>
    <w:p>
      <w:pPr>
        <w:spacing w:after="80" w:line="264"/>
      </w:pPr>
      <w:r>
        <w:rPr>
          <w:b/>
          <w:bCs/>
          <w:color w:val="0043CE"/>
          <w:sz w:val="21"/>
          <w:szCs w:val="21"/>
        </w:rPr>
        <w:t xml:space="preserve">Purpose: </w:t>
      </w:r>
      <w:r>
        <w:rPr>
          <w:color w:val="1A1A1A"/>
          <w:sz w:val="21"/>
          <w:szCs w:val="21"/>
        </w:rPr>
        <w:t xml:space="preserve">Turn owned entitlements into a sequenced, prioritized deployment roadmap against the target date.</w:t>
      </w:r>
    </w:p>
    <w:p>
      <w:pPr>
        <w:pStyle w:val="Heading3"/>
        <w:spacing w:after="80" w:before="180"/>
      </w:pPr>
      <w:r>
        <w:rPr>
          <w:b/>
          <w:bCs/>
          <w:color w:val="161616"/>
          <w:sz w:val="22"/>
          <w:szCs w:val="22"/>
        </w:rPr>
        <w:t xml:space="preserve">Contains</w:t>
      </w:r>
    </w:p>
    <w:p>
      <w:pPr>
        <w:pStyle w:val="ListParagraph"/>
        <w:numPr>
          <w:ilvl w:val="0"/>
          <w:numId w:val="2"/>
        </w:numPr>
        <w:spacing w:after="60" w:line="264"/>
      </w:pPr>
      <w:r>
        <w:rPr>
          <w:color w:val="1A1A1A"/>
          <w:sz w:val="21"/>
          <w:szCs w:val="21"/>
        </w:rPr>
        <w:t xml:space="preserve">Phase 3 workback plan: a use-case selector (product + market signal), plus a week-by-week table of Activity, Owner, Target Date, Focus, and Dependencies, with milestone markers and timeline-risk flags.</w:t>
      </w:r>
    </w:p>
    <w:p>
      <w:pPr>
        <w:pStyle w:val="ListParagraph"/>
        <w:numPr>
          <w:ilvl w:val="0"/>
          <w:numId w:val="2"/>
        </w:numPr>
        <w:spacing w:after="60" w:line="264"/>
      </w:pPr>
      <w:r>
        <w:rPr>
          <w:color w:val="1A1A1A"/>
          <w:sz w:val="21"/>
          <w:szCs w:val="21"/>
        </w:rPr>
        <w:t xml:space="preserve">Phase 4 value prioritization: value/effort scored cards grouped into four priority tiers (high value/low effort → lower priority), showing the top 10 by consumption rate.</w:t>
      </w:r>
    </w:p>
    <w:p>
      <w:pPr>
        <w:pStyle w:val="Heading3"/>
        <w:spacing w:after="80" w:before="180"/>
      </w:pPr>
      <w:r>
        <w:rPr>
          <w:b/>
          <w:bCs/>
          <w:color w:val="161616"/>
          <w:sz w:val="22"/>
          <w:szCs w:val="22"/>
        </w:rPr>
        <w:t xml:space="preserve">How it's used</w:t>
      </w:r>
    </w:p>
    <w:p>
      <w:pPr>
        <w:spacing w:after="120" w:line="276"/>
      </w:pPr>
      <w:r>
        <w:rPr>
          <w:color w:val="1A1A1A"/>
          <w:sz w:val="21"/>
          <w:szCs w:val="21"/>
        </w:rPr>
        <w:t xml:space="preserve">The seller and client agree on which use case to pursue, then read the workback plan to see whether the target date is realistic (the tool flags insufficient lead time as a timeline risk). Phase 4 helps them choose what to tackle first by plotting value against effort.</w:t>
      </w:r>
    </w:p>
    <w:tbl>
      <w:tblPr>
        <w:tblW w:type="pct" w:w="100%"/>
        <w:tblBorders>
          <w:top w:val="single" w:color="0F62FE" w:sz="4"/>
          <w:left w:val="single" w:color="0F62FE" w:sz="12"/>
          <w:bottom w:val="single" w:color="0F62FE" w:sz="4"/>
          <w:right w:val="single" w:color="0F62FE" w:sz="4"/>
          <w:insideH w:val="none"/>
          <w:insideV w:val="none"/>
        </w:tblBorders>
      </w:tblPr>
      <w:tblGrid>
        <w:gridCol w:w="9360"/>
      </w:tblGrid>
      <w:tr>
        <w:tc>
          <w:tcPr>
            <w:tcW w:type="dxa" w:w="9360"/>
            <w:shd w:fill="F4F4F4" w:color="auto" w:val="clear"/>
            <w:tcMar>
              <w:top w:type="dxa" w:w="120"/>
              <w:left w:type="dxa" w:w="160"/>
              <w:bottom w:type="dxa" w:w="120"/>
              <w:right w:type="dxa" w:w="160"/>
            </w:tcMar>
          </w:tcPr>
          <w:p>
            <w:pPr>
              <w:spacing w:after="80"/>
            </w:pPr>
            <w:r>
              <w:rPr>
                <w:b/>
                <w:bCs/>
                <w:color w:val="161616"/>
                <w:sz w:val="21"/>
                <w:szCs w:val="21"/>
              </w:rPr>
              <w:t xml:space="preserve">Agent grounding</w:t>
            </w:r>
          </w:p>
          <w:p>
            <w:pPr>
              <w:spacing w:after="0"/>
            </w:pPr>
            <w:r>
              <w:rPr>
                <w:color w:val="1A1A1A"/>
                <w:sz w:val="21"/>
                <w:szCs w:val="21"/>
              </w:rPr>
              <w:t xml:space="preserve">When a user asks 'what should we deploy first', 'is our go-live date realistic', or about sequencing, owners, or milestones, route them here. If the plan shows a timeline risk (e.g. 'Insufficient lead time'), explain that adjusting the deadline or reducing scope resolves it, and offer to translate week numbers into calendar dates once a go-live date is confirmed.</w:t>
            </w:r>
          </w:p>
        </w:tc>
      </w:tr>
    </w:tbl>
    <w:p>
      <w:pPr>
        <w:pBdr>
          <w:bottom w:val="single" w:color="D0D0D0" w:sz="6" w:space="1"/>
        </w:pBdr>
        <w:spacing w:after="160"/>
      </w:pPr>
      <w:r>
        <w:t xml:space="preserve"/>
      </w:r>
    </w:p>
    <w:p>
      <w:pPr>
        <w:pStyle w:val="Heading2"/>
        <w:spacing w:after="100" w:before="240"/>
      </w:pPr>
      <w:r>
        <w:rPr>
          <w:b/>
          <w:bCs/>
          <w:color w:val="0043CE"/>
          <w:sz w:val="25"/>
          <w:szCs w:val="25"/>
        </w:rPr>
        <w:t xml:space="preserve">Tab 4: Sales &amp; Technical Plans</w:t>
      </w:r>
    </w:p>
    <w:p>
      <w:pPr>
        <w:spacing w:after="80" w:line="264"/>
      </w:pPr>
      <w:r>
        <w:rPr>
          <w:b/>
          <w:bCs/>
          <w:color w:val="0043CE"/>
          <w:sz w:val="21"/>
          <w:szCs w:val="21"/>
        </w:rPr>
        <w:t xml:space="preserve">Purpose: </w:t>
      </w:r>
      <w:r>
        <w:rPr>
          <w:color w:val="1A1A1A"/>
          <w:sz w:val="21"/>
          <w:szCs w:val="21"/>
        </w:rPr>
        <w:t xml:space="preserve">Give the two key internal audiences — sales leadership and technical delivery — their own tailored plan, side by side.</w:t>
      </w:r>
    </w:p>
    <w:p>
      <w:pPr>
        <w:pStyle w:val="Heading3"/>
        <w:spacing w:after="80" w:before="180"/>
      </w:pPr>
      <w:r>
        <w:rPr>
          <w:b/>
          <w:bCs/>
          <w:color w:val="161616"/>
          <w:sz w:val="22"/>
          <w:szCs w:val="22"/>
        </w:rPr>
        <w:t xml:space="preserve">Contains</w:t>
      </w:r>
    </w:p>
    <w:p>
      <w:pPr>
        <w:pStyle w:val="ListParagraph"/>
        <w:numPr>
          <w:ilvl w:val="0"/>
          <w:numId w:val="2"/>
        </w:numPr>
        <w:spacing w:after="60" w:line="264"/>
      </w:pPr>
      <w:r>
        <w:rPr>
          <w:color w:val="1A1A1A"/>
          <w:sz w:val="21"/>
          <w:szCs w:val="21"/>
        </w:rPr>
        <w:t xml:space="preserve">Phase 5a business plan for technology sales leaders: priority opportunity, expected outcome, renewal impact, and executive strategy.</w:t>
      </w:r>
    </w:p>
    <w:p>
      <w:pPr>
        <w:pStyle w:val="ListParagraph"/>
        <w:numPr>
          <w:ilvl w:val="0"/>
          <w:numId w:val="2"/>
        </w:numPr>
        <w:spacing w:after="60" w:line="264"/>
      </w:pPr>
      <w:r>
        <w:rPr>
          <w:color w:val="1A1A1A"/>
          <w:sz w:val="21"/>
          <w:szCs w:val="21"/>
        </w:rPr>
        <w:t xml:space="preserve">Phase 5b technical plan for ATLs and CSEs: recommended deployment sequence, architecture considerations, prerequisites, and risks.</w:t>
      </w:r>
    </w:p>
    <w:p>
      <w:pPr>
        <w:pStyle w:val="Heading3"/>
        <w:spacing w:after="80" w:before="180"/>
      </w:pPr>
      <w:r>
        <w:rPr>
          <w:b/>
          <w:bCs/>
          <w:color w:val="161616"/>
          <w:sz w:val="22"/>
          <w:szCs w:val="22"/>
        </w:rPr>
        <w:t xml:space="preserve">How it's used</w:t>
      </w:r>
    </w:p>
    <w:p>
      <w:pPr>
        <w:spacing w:after="120" w:line="276"/>
      </w:pPr>
      <w:r>
        <w:rPr>
          <w:color w:val="1A1A1A"/>
          <w:sz w:val="21"/>
          <w:szCs w:val="21"/>
        </w:rPr>
        <w:t xml:space="preserve">This tab is the internal handoff. The sales leader reads 5a to frame the commercial opportunity and renewal timing; the ATL/CSE reads 5b to validate architecture, confirm prerequisites, and understand delivery risk. Presenting them together keeps the commercial and technical narratives aligned.</w:t>
      </w:r>
    </w:p>
    <w:tbl>
      <w:tblPr>
        <w:tblW w:type="pct" w:w="100%"/>
        <w:tblBorders>
          <w:top w:val="single" w:color="0F62FE" w:sz="4"/>
          <w:left w:val="single" w:color="0F62FE" w:sz="12"/>
          <w:bottom w:val="single" w:color="0F62FE" w:sz="4"/>
          <w:right w:val="single" w:color="0F62FE" w:sz="4"/>
          <w:insideH w:val="none"/>
          <w:insideV w:val="none"/>
        </w:tblBorders>
      </w:tblPr>
      <w:tblGrid>
        <w:gridCol w:w="9360"/>
      </w:tblGrid>
      <w:tr>
        <w:tc>
          <w:tcPr>
            <w:tcW w:type="dxa" w:w="9360"/>
            <w:shd w:fill="F4F4F4" w:color="auto" w:val="clear"/>
            <w:tcMar>
              <w:top w:type="dxa" w:w="120"/>
              <w:left w:type="dxa" w:w="160"/>
              <w:bottom w:type="dxa" w:w="120"/>
              <w:right w:type="dxa" w:w="160"/>
            </w:tcMar>
          </w:tcPr>
          <w:p>
            <w:pPr>
              <w:spacing w:after="80"/>
            </w:pPr>
            <w:r>
              <w:rPr>
                <w:b/>
                <w:bCs/>
                <w:color w:val="161616"/>
                <w:sz w:val="21"/>
                <w:szCs w:val="21"/>
              </w:rPr>
              <w:t xml:space="preserve">Agent grounding</w:t>
            </w:r>
          </w:p>
          <w:p>
            <w:pPr>
              <w:spacing w:after="0"/>
            </w:pPr>
            <w:r>
              <w:rPr>
                <w:color w:val="1A1A1A"/>
                <w:sz w:val="21"/>
                <w:szCs w:val="21"/>
              </w:rPr>
              <w:t xml:space="preserve">When a user identifies as a sales leader, ATL, or CSE — or asks about business case, renewal impact, architecture, prerequisites, or delivery risk — direct them to the relevant half of this tab. Keep the two audiences distinct in your answers.</w:t>
            </w:r>
          </w:p>
        </w:tc>
      </w:tr>
    </w:tbl>
    <w:p>
      <w:pPr>
        <w:pBdr>
          <w:bottom w:val="single" w:color="D0D0D0" w:sz="6" w:space="1"/>
        </w:pBdr>
        <w:spacing w:after="160"/>
      </w:pPr>
      <w:r>
        <w:t xml:space="preserve"/>
      </w:r>
    </w:p>
    <w:p>
      <w:pPr>
        <w:pStyle w:val="Heading2"/>
        <w:spacing w:after="100" w:before="240"/>
      </w:pPr>
      <w:r>
        <w:rPr>
          <w:b/>
          <w:bCs/>
          <w:color w:val="0043CE"/>
          <w:sz w:val="25"/>
          <w:szCs w:val="25"/>
        </w:rPr>
        <w:t xml:space="preserve">Tab 5: Licensing &amp; Cost</w:t>
      </w:r>
    </w:p>
    <w:p>
      <w:pPr>
        <w:spacing w:after="80" w:line="264"/>
      </w:pPr>
      <w:r>
        <w:rPr>
          <w:b/>
          <w:bCs/>
          <w:color w:val="0043CE"/>
          <w:sz w:val="21"/>
          <w:szCs w:val="21"/>
        </w:rPr>
        <w:t xml:space="preserve">Purpose: </w:t>
      </w:r>
      <w:r>
        <w:rPr>
          <w:color w:val="1A1A1A"/>
          <w:sz w:val="21"/>
          <w:szCs w:val="21"/>
        </w:rPr>
        <w:t xml:space="preserve">Consolidate every cost, licensing, and renewal lever into one place for procurement and renewal conversations.</w:t>
      </w:r>
    </w:p>
    <w:p>
      <w:pPr>
        <w:pStyle w:val="Heading3"/>
        <w:spacing w:after="80" w:before="180"/>
      </w:pPr>
      <w:r>
        <w:rPr>
          <w:b/>
          <w:bCs/>
          <w:color w:val="161616"/>
          <w:sz w:val="22"/>
          <w:szCs w:val="22"/>
        </w:rPr>
        <w:t xml:space="preserve">Contains</w:t>
      </w:r>
    </w:p>
    <w:p>
      <w:pPr>
        <w:pStyle w:val="ListParagraph"/>
        <w:numPr>
          <w:ilvl w:val="0"/>
          <w:numId w:val="2"/>
        </w:numPr>
        <w:spacing w:after="60" w:line="264"/>
      </w:pPr>
      <w:r>
        <w:rPr>
          <w:color w:val="1A1A1A"/>
          <w:sz w:val="21"/>
          <w:szCs w:val="21"/>
        </w:rPr>
        <w:t xml:space="preserve">Full product catalog table: Product, Category, License Model, Consumption Rate, 2029 NTE.</w:t>
      </w:r>
    </w:p>
    <w:p>
      <w:pPr>
        <w:pStyle w:val="ListParagraph"/>
        <w:numPr>
          <w:ilvl w:val="0"/>
          <w:numId w:val="2"/>
        </w:numPr>
        <w:spacing w:after="60" w:line="264"/>
      </w:pPr>
      <w:r>
        <w:rPr>
          <w:color w:val="1A1A1A"/>
          <w:sz w:val="21"/>
          <w:szCs w:val="21"/>
        </w:rPr>
        <w:t xml:space="preserve">License modernization: 25 recommendations (e.g. seat-based to enterprise/consumption bundle; PVU/VPC to subscription) with consumption, 2029/2030 NTE, and part numbers.</w:t>
      </w:r>
    </w:p>
    <w:p>
      <w:pPr>
        <w:pStyle w:val="ListParagraph"/>
        <w:numPr>
          <w:ilvl w:val="0"/>
          <w:numId w:val="2"/>
        </w:numPr>
        <w:spacing w:after="60" w:line="264"/>
      </w:pPr>
      <w:r>
        <w:rPr>
          <w:color w:val="1A1A1A"/>
          <w:sz w:val="21"/>
          <w:szCs w:val="21"/>
        </w:rPr>
        <w:t xml:space="preserve">Price increase alerts (2029 → 2030): 30 proactive renewal / co-term opportunities showing per-unit savings from locking the 2029 NTE, with S&amp;S part numbers.</w:t>
      </w:r>
    </w:p>
    <w:p>
      <w:pPr>
        <w:pStyle w:val="Heading3"/>
        <w:spacing w:after="80" w:before="180"/>
      </w:pPr>
      <w:r>
        <w:rPr>
          <w:b/>
          <w:bCs/>
          <w:color w:val="161616"/>
          <w:sz w:val="22"/>
          <w:szCs w:val="22"/>
        </w:rPr>
        <w:t xml:space="preserve">How it's used</w:t>
      </w:r>
    </w:p>
    <w:p>
      <w:pPr>
        <w:spacing w:after="120" w:line="276"/>
      </w:pPr>
      <w:r>
        <w:rPr>
          <w:color w:val="1A1A1A"/>
          <w:sz w:val="21"/>
          <w:szCs w:val="21"/>
        </w:rPr>
        <w:t xml:space="preserve">The commercial workhorse tab. The seller uses modernization recommendations to propose more cost-efficient license structures, and uses the price-increase alerts to create urgency ('locking the 2029 price before renewal saves CA$902.33 per unit on DataStage'). The catalog table is the reference underneath both.</w:t>
      </w:r>
    </w:p>
    <w:tbl>
      <w:tblPr>
        <w:tblW w:type="pct" w:w="100%"/>
        <w:tblBorders>
          <w:top w:val="single" w:color="0F62FE" w:sz="4"/>
          <w:left w:val="single" w:color="0F62FE" w:sz="12"/>
          <w:bottom w:val="single" w:color="0F62FE" w:sz="4"/>
          <w:right w:val="single" w:color="0F62FE" w:sz="4"/>
          <w:insideH w:val="none"/>
          <w:insideV w:val="none"/>
        </w:tblBorders>
      </w:tblPr>
      <w:tblGrid>
        <w:gridCol w:w="9360"/>
      </w:tblGrid>
      <w:tr>
        <w:tc>
          <w:tcPr>
            <w:tcW w:type="dxa" w:w="9360"/>
            <w:shd w:fill="F4F4F4" w:color="auto" w:val="clear"/>
            <w:tcMar>
              <w:top w:type="dxa" w:w="120"/>
              <w:left w:type="dxa" w:w="160"/>
              <w:bottom w:type="dxa" w:w="120"/>
              <w:right w:type="dxa" w:w="160"/>
            </w:tcMar>
          </w:tcPr>
          <w:p>
            <w:pPr>
              <w:spacing w:after="80"/>
            </w:pPr>
            <w:r>
              <w:rPr>
                <w:b/>
                <w:bCs/>
                <w:color w:val="161616"/>
                <w:sz w:val="21"/>
                <w:szCs w:val="21"/>
              </w:rPr>
              <w:t xml:space="preserve">Agent grounding</w:t>
            </w:r>
          </w:p>
          <w:p>
            <w:pPr>
              <w:spacing w:after="0"/>
            </w:pPr>
            <w:r>
              <w:rPr>
                <w:color w:val="1A1A1A"/>
                <w:sz w:val="21"/>
                <w:szCs w:val="21"/>
              </w:rPr>
              <w:t xml:space="preserve">When a user asks about price, cost, NTE, license models, modernization, renewals, savings, or part numbers, this is the authoritative tab. For price-increase questions, emphasize the savings-per-unit and the renewal window. Do not invent figures — cite only what the loaded catalog shows.</w:t>
            </w:r>
          </w:p>
        </w:tc>
      </w:tr>
    </w:tbl>
    <w:p>
      <w:pPr>
        <w:pBdr>
          <w:bottom w:val="single" w:color="D0D0D0" w:sz="6" w:space="1"/>
        </w:pBdr>
        <w:spacing w:after="160"/>
      </w:pPr>
      <w:r>
        <w:t xml:space="preserve"/>
      </w:r>
    </w:p>
    <w:p>
      <w:pPr>
        <w:pStyle w:val="Heading2"/>
        <w:spacing w:after="100" w:before="240"/>
      </w:pPr>
      <w:r>
        <w:rPr>
          <w:b/>
          <w:bCs/>
          <w:color w:val="0043CE"/>
          <w:sz w:val="25"/>
          <w:szCs w:val="25"/>
        </w:rPr>
        <w:t xml:space="preserve">Tab 6: Market Signals</w:t>
      </w:r>
    </w:p>
    <w:p>
      <w:pPr>
        <w:spacing w:after="80" w:line="264"/>
      </w:pPr>
      <w:r>
        <w:rPr>
          <w:b/>
          <w:bCs/>
          <w:color w:val="0043CE"/>
          <w:sz w:val="21"/>
          <w:szCs w:val="21"/>
        </w:rPr>
        <w:t xml:space="preserve">Purpose: </w:t>
      </w:r>
      <w:r>
        <w:rPr>
          <w:color w:val="1A1A1A"/>
          <w:sz w:val="21"/>
          <w:szCs w:val="21"/>
        </w:rPr>
        <w:t xml:space="preserve">Connect the client's portfolio to current market demand so the seller can position products against where the market is moving.</w:t>
      </w:r>
    </w:p>
    <w:p>
      <w:pPr>
        <w:pStyle w:val="Heading3"/>
        <w:spacing w:after="80" w:before="180"/>
      </w:pPr>
      <w:r>
        <w:rPr>
          <w:b/>
          <w:bCs/>
          <w:color w:val="161616"/>
          <w:sz w:val="22"/>
          <w:szCs w:val="22"/>
        </w:rPr>
        <w:t xml:space="preserve">Contains</w:t>
      </w:r>
    </w:p>
    <w:p>
      <w:pPr>
        <w:pStyle w:val="ListParagraph"/>
        <w:numPr>
          <w:ilvl w:val="0"/>
          <w:numId w:val="2"/>
        </w:numPr>
        <w:spacing w:after="60" w:line="264"/>
      </w:pPr>
      <w:r>
        <w:rPr>
          <w:color w:val="1A1A1A"/>
          <w:sz w:val="21"/>
          <w:szCs w:val="21"/>
        </w:rPr>
        <w:t xml:space="preserve">New use cases from market signals: 34 demand-tagged (High / Medium) use-case ideas per product, each with supporting drivers (e.g. EU AI Act readiness, board-level risk oversight, auditable copilots).</w:t>
      </w:r>
    </w:p>
    <w:p>
      <w:pPr>
        <w:pStyle w:val="ListParagraph"/>
        <w:numPr>
          <w:ilvl w:val="0"/>
          <w:numId w:val="2"/>
        </w:numPr>
        <w:spacing w:after="60" w:line="264"/>
      </w:pPr>
      <w:r>
        <w:rPr>
          <w:color w:val="1A1A1A"/>
          <w:sz w:val="21"/>
          <w:szCs w:val="21"/>
        </w:rPr>
        <w:t xml:space="preserve">Market trend watchlist: six themes — AI governance and trusted AI, Application modernization and hybrid integration, Data fabric and observability, Zero trust security modernization, DevSecOps and continuous delivery, Optimization and decision intelligence — each with a demand level.</w:t>
      </w:r>
    </w:p>
    <w:p>
      <w:pPr>
        <w:pStyle w:val="Heading3"/>
        <w:spacing w:after="80" w:before="180"/>
      </w:pPr>
      <w:r>
        <w:rPr>
          <w:b/>
          <w:bCs/>
          <w:color w:val="161616"/>
          <w:sz w:val="22"/>
          <w:szCs w:val="22"/>
        </w:rPr>
        <w:t xml:space="preserve">How it's used</w:t>
      </w:r>
    </w:p>
    <w:p>
      <w:pPr>
        <w:spacing w:after="120" w:line="276"/>
      </w:pPr>
      <w:r>
        <w:rPr>
          <w:color w:val="1A1A1A"/>
          <w:sz w:val="21"/>
          <w:szCs w:val="21"/>
        </w:rPr>
        <w:t xml:space="preserve">Used to align messaging with demand. The seller picks a high-demand theme the client cares about, then uses the matching use-case ideas to frame owned products as the answer to a current priority rather than a renewal obligation.</w:t>
      </w:r>
    </w:p>
    <w:tbl>
      <w:tblPr>
        <w:tblW w:type="pct" w:w="100%"/>
        <w:tblBorders>
          <w:top w:val="single" w:color="0F62FE" w:sz="4"/>
          <w:left w:val="single" w:color="0F62FE" w:sz="12"/>
          <w:bottom w:val="single" w:color="0F62FE" w:sz="4"/>
          <w:right w:val="single" w:color="0F62FE" w:sz="4"/>
          <w:insideH w:val="none"/>
          <w:insideV w:val="none"/>
        </w:tblBorders>
      </w:tblPr>
      <w:tblGrid>
        <w:gridCol w:w="9360"/>
      </w:tblGrid>
      <w:tr>
        <w:tc>
          <w:tcPr>
            <w:tcW w:type="dxa" w:w="9360"/>
            <w:shd w:fill="F4F4F4" w:color="auto" w:val="clear"/>
            <w:tcMar>
              <w:top w:type="dxa" w:w="120"/>
              <w:left w:type="dxa" w:w="160"/>
              <w:bottom w:type="dxa" w:w="120"/>
              <w:right w:type="dxa" w:w="160"/>
            </w:tcMar>
          </w:tcPr>
          <w:p>
            <w:pPr>
              <w:spacing w:after="80"/>
            </w:pPr>
            <w:r>
              <w:rPr>
                <w:b/>
                <w:bCs/>
                <w:color w:val="161616"/>
                <w:sz w:val="21"/>
                <w:szCs w:val="21"/>
              </w:rPr>
              <w:t xml:space="preserve">Agent grounding</w:t>
            </w:r>
          </w:p>
          <w:p>
            <w:pPr>
              <w:spacing w:after="0"/>
            </w:pPr>
            <w:r>
              <w:rPr>
                <w:color w:val="1A1A1A"/>
                <w:sz w:val="21"/>
                <w:szCs w:val="21"/>
              </w:rPr>
              <w:t xml:space="preserve">When a user asks 'what's in demand', 'how do we position X against the market', or about specific themes like AI governance or zero trust, surface this tab. Tie each product back to the relevant market signal and its demand level.</w:t>
            </w:r>
          </w:p>
        </w:tc>
      </w:tr>
    </w:tbl>
    <w:p>
      <w:pPr>
        <w:pBdr>
          <w:bottom w:val="single" w:color="D0D0D0" w:sz="6" w:space="1"/>
        </w:pBdr>
        <w:spacing w:after="160"/>
      </w:pPr>
      <w:r>
        <w:t xml:space="preserve"/>
      </w:r>
    </w:p>
    <w:p>
      <w:r>
        <w:br w:type="page"/>
      </w:r>
    </w:p>
    <w:p>
      <w:pPr>
        <w:pStyle w:val="Heading1"/>
        <w:spacing w:after="140" w:before="320"/>
      </w:pPr>
      <w:r>
        <w:rPr>
          <w:b/>
          <w:bCs/>
          <w:color w:val="0F62FE"/>
          <w:sz w:val="30"/>
          <w:szCs w:val="30"/>
        </w:rPr>
        <w:t xml:space="preserve">5. Agent context summary</w:t>
      </w:r>
    </w:p>
    <w:p>
      <w:pPr>
        <w:spacing w:after="120" w:line="276"/>
      </w:pPr>
      <w:r>
        <w:rPr>
          <w:color w:val="1A1A1A"/>
          <w:sz w:val="21"/>
          <w:szCs w:val="21"/>
        </w:rPr>
        <w:t xml:space="preserve">The following condensed briefing can be given to the embedded watsonx agent as grounding, so it can orient users, answer questions from the right tab, and route people to the section they need.</w:t>
      </w:r>
    </w:p>
    <w:p>
      <w:pPr>
        <w:spacing w:after="60"/>
      </w:pPr>
      <w:r>
        <w:t xml:space="preserve"/>
      </w:r>
    </w:p>
    <w:p>
      <w:pPr>
        <w:pStyle w:val="Heading2"/>
        <w:spacing w:after="100" w:before="240"/>
      </w:pPr>
      <w:r>
        <w:rPr>
          <w:b/>
          <w:bCs/>
          <w:color w:val="0043CE"/>
          <w:sz w:val="25"/>
          <w:szCs w:val="25"/>
        </w:rPr>
        <w:t xml:space="preserve">What the agent is</w:t>
      </w:r>
    </w:p>
    <w:p>
      <w:pPr>
        <w:spacing w:after="120" w:line="276"/>
      </w:pPr>
      <w:r>
        <w:rPr>
          <w:color w:val="1A1A1A"/>
          <w:sz w:val="21"/>
          <w:szCs w:val="21"/>
        </w:rPr>
        <w:t xml:space="preserve">You are the embedded advisor inside the IBM Software Portfolio Advisor. You help IBM sellers and technical specialists interpret a client's IBM software catalog and act on the account plan the tool generates. You are grounded in the loaded catalog and the six tabs described below.</w:t>
      </w:r>
    </w:p>
    <w:p>
      <w:pPr>
        <w:pStyle w:val="Heading2"/>
        <w:spacing w:after="100" w:before="240"/>
      </w:pPr>
      <w:r>
        <w:rPr>
          <w:b/>
          <w:bCs/>
          <w:color w:val="0043CE"/>
          <w:sz w:val="25"/>
          <w:szCs w:val="25"/>
        </w:rPr>
        <w:t xml:space="preserve">The six tabs, in one line each</w:t>
      </w:r>
    </w:p>
    <w:p>
      <w:pPr>
        <w:pStyle w:val="ListParagraph"/>
        <w:numPr>
          <w:ilvl w:val="0"/>
          <w:numId w:val="2"/>
        </w:numPr>
        <w:spacing w:after="60" w:line="264"/>
      </w:pPr>
      <w:r>
        <w:rPr>
          <w:b/>
          <w:bCs/>
          <w:color w:val="161616"/>
          <w:sz w:val="21"/>
          <w:szCs w:val="21"/>
        </w:rPr>
        <w:t xml:space="preserve">Overview</w:t>
      </w:r>
      <w:r>
        <w:rPr>
          <w:sz w:val="21"/>
          <w:szCs w:val="21"/>
        </w:rPr>
        <w:t xml:space="preserve"> — catalog health, categories, and portfolio KPIs; the starting point.</w:t>
      </w:r>
    </w:p>
    <w:p>
      <w:pPr>
        <w:pStyle w:val="ListParagraph"/>
        <w:numPr>
          <w:ilvl w:val="0"/>
          <w:numId w:val="2"/>
        </w:numPr>
        <w:spacing w:after="60" w:line="264"/>
      </w:pPr>
      <w:r>
        <w:rPr>
          <w:b/>
          <w:bCs/>
          <w:color w:val="161616"/>
          <w:sz w:val="21"/>
          <w:szCs w:val="21"/>
        </w:rPr>
        <w:t xml:space="preserve">Client Presentations</w:t>
      </w:r>
      <w:r>
        <w:rPr>
          <w:sz w:val="21"/>
          <w:szCs w:val="21"/>
        </w:rPr>
        <w:t xml:space="preserve"> — per-product What/Why/How/Why Now talk tracks for executives.</w:t>
      </w:r>
    </w:p>
    <w:p>
      <w:pPr>
        <w:pStyle w:val="ListParagraph"/>
        <w:numPr>
          <w:ilvl w:val="0"/>
          <w:numId w:val="2"/>
        </w:numPr>
        <w:spacing w:after="60" w:line="264"/>
      </w:pPr>
      <w:r>
        <w:rPr>
          <w:b/>
          <w:bCs/>
          <w:color w:val="161616"/>
          <w:sz w:val="21"/>
          <w:szCs w:val="21"/>
        </w:rPr>
        <w:t xml:space="preserve">Deployment Plan</w:t>
      </w:r>
      <w:r>
        <w:rPr>
          <w:sz w:val="21"/>
          <w:szCs w:val="21"/>
        </w:rPr>
        <w:t xml:space="preserve"> — workback timeline to the target date plus value/effort prioritization.</w:t>
      </w:r>
    </w:p>
    <w:p>
      <w:pPr>
        <w:pStyle w:val="ListParagraph"/>
        <w:numPr>
          <w:ilvl w:val="0"/>
          <w:numId w:val="2"/>
        </w:numPr>
        <w:spacing w:after="60" w:line="264"/>
      </w:pPr>
      <w:r>
        <w:rPr>
          <w:b/>
          <w:bCs/>
          <w:color w:val="161616"/>
          <w:sz w:val="21"/>
          <w:szCs w:val="21"/>
        </w:rPr>
        <w:t xml:space="preserve">Sales &amp; Technical Plans</w:t>
      </w:r>
      <w:r>
        <w:rPr>
          <w:sz w:val="21"/>
          <w:szCs w:val="21"/>
        </w:rPr>
        <w:t xml:space="preserve"> — 5a for sales leaders, 5b for ATLs/CSEs.</w:t>
      </w:r>
    </w:p>
    <w:p>
      <w:pPr>
        <w:pStyle w:val="ListParagraph"/>
        <w:numPr>
          <w:ilvl w:val="0"/>
          <w:numId w:val="2"/>
        </w:numPr>
        <w:spacing w:after="60" w:line="264"/>
      </w:pPr>
      <w:r>
        <w:rPr>
          <w:b/>
          <w:bCs/>
          <w:color w:val="161616"/>
          <w:sz w:val="21"/>
          <w:szCs w:val="21"/>
        </w:rPr>
        <w:t xml:space="preserve">Licensing &amp; Cost</w:t>
      </w:r>
      <w:r>
        <w:rPr>
          <w:sz w:val="21"/>
          <w:szCs w:val="21"/>
        </w:rPr>
        <w:t xml:space="preserve"> — catalog table, license modernization, and price-increase alerts.</w:t>
      </w:r>
    </w:p>
    <w:p>
      <w:pPr>
        <w:pStyle w:val="ListParagraph"/>
        <w:numPr>
          <w:ilvl w:val="0"/>
          <w:numId w:val="2"/>
        </w:numPr>
        <w:spacing w:after="60" w:line="264"/>
      </w:pPr>
      <w:r>
        <w:rPr>
          <w:b/>
          <w:bCs/>
          <w:color w:val="161616"/>
          <w:sz w:val="21"/>
          <w:szCs w:val="21"/>
        </w:rPr>
        <w:t xml:space="preserve">Market Signals</w:t>
      </w:r>
      <w:r>
        <w:rPr>
          <w:sz w:val="21"/>
          <w:szCs w:val="21"/>
        </w:rPr>
        <w:t xml:space="preserve"> — demand-tagged use cases and the market trend watchlist.</w:t>
      </w:r>
    </w:p>
    <w:p>
      <w:pPr>
        <w:pStyle w:val="Heading2"/>
        <w:spacing w:after="100" w:before="240"/>
      </w:pPr>
      <w:r>
        <w:rPr>
          <w:b/>
          <w:bCs/>
          <w:color w:val="0043CE"/>
          <w:sz w:val="25"/>
          <w:szCs w:val="25"/>
        </w:rPr>
        <w:t xml:space="preserve">How the agent should behave</w:t>
      </w:r>
    </w:p>
    <w:p>
      <w:pPr>
        <w:pStyle w:val="ListParagraph"/>
        <w:numPr>
          <w:ilvl w:val="0"/>
          <w:numId w:val="2"/>
        </w:numPr>
        <w:spacing w:after="60" w:line="264"/>
      </w:pPr>
      <w:r>
        <w:rPr>
          <w:color w:val="1A1A1A"/>
          <w:sz w:val="21"/>
          <w:szCs w:val="21"/>
        </w:rPr>
        <w:t xml:space="preserve">Route questions to the correct tab, and name the tab when you answer.</w:t>
      </w:r>
    </w:p>
    <w:p>
      <w:pPr>
        <w:pStyle w:val="ListParagraph"/>
        <w:numPr>
          <w:ilvl w:val="0"/>
          <w:numId w:val="2"/>
        </w:numPr>
        <w:spacing w:after="60" w:line="264"/>
      </w:pPr>
      <w:r>
        <w:rPr>
          <w:color w:val="1A1A1A"/>
          <w:sz w:val="21"/>
          <w:szCs w:val="21"/>
        </w:rPr>
        <w:t xml:space="preserve">Ground every figure in the loaded catalog; never invent prices, part numbers, or NTE values.</w:t>
      </w:r>
    </w:p>
    <w:p>
      <w:pPr>
        <w:pStyle w:val="ListParagraph"/>
        <w:numPr>
          <w:ilvl w:val="0"/>
          <w:numId w:val="2"/>
        </w:numPr>
        <w:spacing w:after="60" w:line="264"/>
      </w:pPr>
      <w:r>
        <w:rPr>
          <w:color w:val="1A1A1A"/>
          <w:sz w:val="21"/>
          <w:szCs w:val="21"/>
        </w:rPr>
        <w:t xml:space="preserve">Keep the sales (5a) and technical (5b) audiences distinct.</w:t>
      </w:r>
    </w:p>
    <w:p>
      <w:pPr>
        <w:pStyle w:val="ListParagraph"/>
        <w:numPr>
          <w:ilvl w:val="0"/>
          <w:numId w:val="2"/>
        </w:numPr>
        <w:spacing w:after="60" w:line="264"/>
      </w:pPr>
      <w:r>
        <w:rPr>
          <w:color w:val="1A1A1A"/>
          <w:sz w:val="21"/>
          <w:szCs w:val="21"/>
        </w:rPr>
        <w:t xml:space="preserve">For deployment questions, confirm the go-live date and flag timeline risk when lead time is insufficient.</w:t>
      </w:r>
    </w:p>
    <w:p>
      <w:pPr>
        <w:pStyle w:val="ListParagraph"/>
        <w:numPr>
          <w:ilvl w:val="0"/>
          <w:numId w:val="2"/>
        </w:numPr>
        <w:spacing w:after="60" w:line="264"/>
      </w:pPr>
      <w:r>
        <w:rPr>
          <w:color w:val="1A1A1A"/>
          <w:sz w:val="21"/>
          <w:szCs w:val="21"/>
        </w:rPr>
        <w:t xml:space="preserve">For pricing questions, lead with savings-per-unit and the renewal window.</w:t>
      </w:r>
    </w:p>
    <w:p>
      <w:pPr>
        <w:pStyle w:val="ListParagraph"/>
        <w:numPr>
          <w:ilvl w:val="0"/>
          <w:numId w:val="2"/>
        </w:numPr>
        <w:spacing w:after="60" w:line="264"/>
      </w:pPr>
      <w:r>
        <w:rPr>
          <w:color w:val="1A1A1A"/>
          <w:sz w:val="21"/>
          <w:szCs w:val="21"/>
        </w:rPr>
        <w:t xml:space="preserve">When no catalog is loaded, prompt the user to upload one or load the built-in sample.</w:t>
      </w:r>
    </w:p>
    <w:p>
      <w:pPr>
        <w:pStyle w:val="Heading2"/>
        <w:spacing w:after="100" w:before="240"/>
      </w:pPr>
      <w:r>
        <w:rPr>
          <w:b/>
          <w:bCs/>
          <w:color w:val="0043CE"/>
          <w:sz w:val="25"/>
          <w:szCs w:val="25"/>
        </w:rPr>
        <w:t xml:space="preserve">Good questions the agent should handle</w:t>
      </w:r>
    </w:p>
    <w:p>
      <w:pPr>
        <w:pStyle w:val="ListParagraph"/>
        <w:numPr>
          <w:ilvl w:val="0"/>
          <w:numId w:val="2"/>
        </w:numPr>
        <w:spacing w:after="60" w:line="264"/>
      </w:pPr>
      <w:r>
        <w:rPr>
          <w:color w:val="1A1A1A"/>
          <w:sz w:val="21"/>
          <w:szCs w:val="21"/>
        </w:rPr>
        <w:t xml:space="preserve">"Where do I start?" → Overview tab; check the snapshot.</w:t>
      </w:r>
    </w:p>
    <w:p>
      <w:pPr>
        <w:pStyle w:val="ListParagraph"/>
        <w:numPr>
          <w:ilvl w:val="0"/>
          <w:numId w:val="2"/>
        </w:numPr>
        <w:spacing w:after="60" w:line="264"/>
      </w:pPr>
      <w:r>
        <w:rPr>
          <w:color w:val="1A1A1A"/>
          <w:sz w:val="21"/>
          <w:szCs w:val="21"/>
        </w:rPr>
        <w:t xml:space="preserve">"How do I pitch Cognos Analytics Explorer?" → Client Presentations; give the What/Why/How/Why Now.</w:t>
      </w:r>
    </w:p>
    <w:p>
      <w:pPr>
        <w:pStyle w:val="ListParagraph"/>
        <w:numPr>
          <w:ilvl w:val="0"/>
          <w:numId w:val="2"/>
        </w:numPr>
        <w:spacing w:after="60" w:line="264"/>
      </w:pPr>
      <w:r>
        <w:rPr>
          <w:color w:val="1A1A1A"/>
          <w:sz w:val="21"/>
          <w:szCs w:val="21"/>
        </w:rPr>
        <w:t xml:space="preserve">"Is our December go-live realistic?" → Deployment Plan; read the workback timeline risk.</w:t>
      </w:r>
    </w:p>
    <w:p>
      <w:pPr>
        <w:pStyle w:val="ListParagraph"/>
        <w:numPr>
          <w:ilvl w:val="0"/>
          <w:numId w:val="2"/>
        </w:numPr>
        <w:spacing w:after="60" w:line="264"/>
      </w:pPr>
      <w:r>
        <w:rPr>
          <w:color w:val="1A1A1A"/>
          <w:sz w:val="21"/>
          <w:szCs w:val="21"/>
        </w:rPr>
        <w:t xml:space="preserve">"Where can we save on renewals?" → Licensing &amp; Cost; price-increase alerts.</w:t>
      </w:r>
    </w:p>
    <w:p>
      <w:pPr>
        <w:pStyle w:val="ListParagraph"/>
        <w:numPr>
          <w:ilvl w:val="0"/>
          <w:numId w:val="2"/>
        </w:numPr>
        <w:spacing w:after="60" w:line="264"/>
      </w:pPr>
      <w:r>
        <w:rPr>
          <w:color w:val="1A1A1A"/>
          <w:sz w:val="21"/>
          <w:szCs w:val="21"/>
        </w:rPr>
        <w:t xml:space="preserve">"What's driving demand right now?" → Market Signals; trend watchlist.</w:t>
      </w:r>
    </w:p>
    <w:p>
      <w:r>
        <w:br w:type="page"/>
      </w:r>
    </w:p>
    <w:p>
      <w:pPr>
        <w:pStyle w:val="Heading1"/>
        <w:spacing w:after="140" w:before="320"/>
      </w:pPr>
      <w:r>
        <w:rPr>
          <w:b/>
          <w:bCs/>
          <w:color w:val="0F62FE"/>
          <w:sz w:val="30"/>
          <w:szCs w:val="30"/>
        </w:rPr>
        <w:t xml:space="preserve">6. Implementation notes</w:t>
      </w:r>
    </w:p>
    <w:p>
      <w:pPr>
        <w:spacing w:after="120" w:line="276"/>
      </w:pPr>
      <w:r>
        <w:rPr>
          <w:color w:val="1A1A1A"/>
          <w:sz w:val="21"/>
          <w:szCs w:val="21"/>
        </w:rPr>
        <w:t xml:space="preserve">A few practical considerations for building the tabbed layout in the existing React/Vite application.</w:t>
      </w:r>
    </w:p>
    <w:p>
      <w:pPr>
        <w:pStyle w:val="Heading3"/>
        <w:spacing w:after="80" w:before="180"/>
      </w:pPr>
      <w:r>
        <w:rPr>
          <w:b/>
          <w:bCs/>
          <w:color w:val="161616"/>
          <w:sz w:val="22"/>
          <w:szCs w:val="22"/>
        </w:rPr>
        <w:t xml:space="preserve">Persistent controls</w:t>
      </w:r>
    </w:p>
    <w:p>
      <w:pPr>
        <w:spacing w:after="120" w:line="276"/>
      </w:pPr>
      <w:r>
        <w:rPr>
          <w:color w:val="1A1A1A"/>
          <w:sz w:val="21"/>
          <w:szCs w:val="21"/>
        </w:rPr>
        <w:t xml:space="preserve">The catalog upload and target-deployment-date inputs feed every tab, so keep them in a persistent header or a gated first step rather than inside any one tab. Tabs should be disabled or show an empty state until a catalog is loaded.</w:t>
      </w:r>
    </w:p>
    <w:p>
      <w:pPr>
        <w:pStyle w:val="Heading3"/>
        <w:spacing w:after="80" w:before="180"/>
      </w:pPr>
      <w:r>
        <w:rPr>
          <w:b/>
          <w:bCs/>
          <w:color w:val="161616"/>
          <w:sz w:val="22"/>
          <w:szCs w:val="22"/>
        </w:rPr>
        <w:t xml:space="preserve">State, not routes (or both)</w:t>
      </w:r>
    </w:p>
    <w:p>
      <w:pPr>
        <w:spacing w:after="120" w:line="276"/>
      </w:pPr>
      <w:r>
        <w:rPr>
          <w:color w:val="1A1A1A"/>
          <w:sz w:val="21"/>
          <w:szCs w:val="21"/>
        </w:rPr>
        <w:t xml:space="preserve">Since this is a single-page Vite app, tabs can be simple client-side state (a selected-tab value) or hash routes. If you use routes, remember the earlier SPA routing lesson — nginx needs the try_files fallback so a deep link like /deployment-plan resolves to index.html.</w:t>
      </w:r>
    </w:p>
    <w:p>
      <w:pPr>
        <w:pStyle w:val="Heading3"/>
        <w:spacing w:after="80" w:before="180"/>
      </w:pPr>
      <w:r>
        <w:rPr>
          <w:b/>
          <w:bCs/>
          <w:color w:val="161616"/>
          <w:sz w:val="22"/>
          <w:szCs w:val="22"/>
        </w:rPr>
        <w:t xml:space="preserve">Preserve the embedded agent</w:t>
      </w:r>
    </w:p>
    <w:p>
      <w:pPr>
        <w:spacing w:after="120" w:line="276"/>
      </w:pPr>
      <w:r>
        <w:rPr>
          <w:color w:val="1A1A1A"/>
          <w:sz w:val="21"/>
          <w:szCs w:val="21"/>
        </w:rPr>
        <w:t xml:space="preserve">The watsonx chat widget should remain available across all tabs (it already floats independently). Its own root element stays separate from the React root so tab re-renders never unmount it.</w:t>
      </w:r>
    </w:p>
    <w:p>
      <w:pPr>
        <w:pStyle w:val="Heading3"/>
        <w:spacing w:after="80" w:before="180"/>
      </w:pPr>
      <w:r>
        <w:rPr>
          <w:b/>
          <w:bCs/>
          <w:color w:val="161616"/>
          <w:sz w:val="22"/>
          <w:szCs w:val="22"/>
        </w:rPr>
        <w:t xml:space="preserve">Suggested build order</w:t>
      </w:r>
    </w:p>
    <w:p>
      <w:pPr>
        <w:pStyle w:val="ListParagraph"/>
        <w:numPr>
          <w:ilvl w:val="0"/>
          <w:numId w:val="3"/>
        </w:numPr>
        <w:spacing w:after="60" w:line="264"/>
      </w:pPr>
      <w:r>
        <w:rPr>
          <w:color w:val="1A1A1A"/>
          <w:sz w:val="21"/>
          <w:szCs w:val="21"/>
        </w:rPr>
        <w:t xml:space="preserve">Introduce the tab shell and move the Overview content (header, Phase 1, snapshot) into Tab 1.</w:t>
      </w:r>
    </w:p>
    <w:p>
      <w:pPr>
        <w:pStyle w:val="ListParagraph"/>
        <w:numPr>
          <w:ilvl w:val="0"/>
          <w:numId w:val="3"/>
        </w:numPr>
        <w:spacing w:after="60" w:line="264"/>
      </w:pPr>
      <w:r>
        <w:rPr>
          <w:color w:val="1A1A1A"/>
          <w:sz w:val="21"/>
          <w:szCs w:val="21"/>
        </w:rPr>
        <w:t xml:space="preserve">Migrate Phases 2, then 3+4, then 5a+5b into their tabs.</w:t>
      </w:r>
    </w:p>
    <w:p>
      <w:pPr>
        <w:pStyle w:val="ListParagraph"/>
        <w:numPr>
          <w:ilvl w:val="0"/>
          <w:numId w:val="3"/>
        </w:numPr>
        <w:spacing w:after="60" w:line="264"/>
      </w:pPr>
      <w:r>
        <w:rPr>
          <w:color w:val="1A1A1A"/>
          <w:sz w:val="21"/>
          <w:szCs w:val="21"/>
        </w:rPr>
        <w:t xml:space="preserve">Consolidate the catalog table, modernization, and price alerts into Licensing &amp; Cost.</w:t>
      </w:r>
    </w:p>
    <w:p>
      <w:pPr>
        <w:pStyle w:val="ListParagraph"/>
        <w:numPr>
          <w:ilvl w:val="0"/>
          <w:numId w:val="3"/>
        </w:numPr>
        <w:spacing w:after="60" w:line="264"/>
      </w:pPr>
      <w:r>
        <w:rPr>
          <w:color w:val="1A1A1A"/>
          <w:sz w:val="21"/>
          <w:szCs w:val="21"/>
        </w:rPr>
        <w:t xml:space="preserve">Group market use cases and the trend watchlist into Market Signals.</w:t>
      </w:r>
    </w:p>
    <w:p>
      <w:pPr>
        <w:pStyle w:val="ListParagraph"/>
        <w:numPr>
          <w:ilvl w:val="0"/>
          <w:numId w:val="3"/>
        </w:numPr>
        <w:spacing w:after="60" w:line="264"/>
      </w:pPr>
      <w:r>
        <w:rPr>
          <w:color w:val="1A1A1A"/>
          <w:sz w:val="21"/>
          <w:szCs w:val="21"/>
        </w:rPr>
        <w:t xml:space="preserve">Feed the Section 5 agent context to the watsonx agent and test tab-routing answers.</w:t>
      </w:r>
    </w:p>
    <w:p>
      <w:pPr>
        <w:spacing w:after="60"/>
      </w:pPr>
      <w:r>
        <w:t xml:space="preserve"/>
      </w:r>
    </w:p>
    <w:p>
      <w:pPr>
        <w:pBdr>
          <w:bottom w:val="single" w:color="D0D0D0" w:sz="6" w:space="1"/>
        </w:pBdr>
        <w:spacing w:after="160"/>
      </w:pPr>
      <w:r>
        <w:t xml:space="preserve"/>
      </w:r>
    </w:p>
    <w:p>
      <w:pPr>
        <w:spacing w:after="120" w:line="276"/>
      </w:pPr>
      <w:r>
        <w:rPr>
          <w:i/>
          <w:iCs/>
          <w:color w:val="525252"/>
          <w:sz w:val="20"/>
          <w:szCs w:val="20"/>
        </w:rPr>
        <w:t xml:space="preserve">End of document.</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4" w:space="4"/>
      </w:pBdr>
      <w:jc w:val="center"/>
    </w:pPr>
    <w:r>
      <w:rPr>
        <w:color w:val="525252"/>
        <w:sz w:val="16"/>
        <w:szCs w:val="16"/>
      </w:rPr>
      <w:t xml:space="preserve">Page </w:t>
    </w:r>
    <w:r>
      <w:rPr>
        <w:color w:val="525252"/>
        <w:sz w:val="16"/>
        <w:szCs w:val="16"/>
      </w:rPr>
      <w:fldChar w:fldCharType="begin"/>
      <w:instrText xml:space="preserve">PAGE</w:instrText>
      <w:fldChar w:fldCharType="separate"/>
      <w:fldChar w:fldCharType="end"/>
    </w:r>
    <w:r>
      <w:rPr>
        <w:color w:val="525252"/>
        <w:sz w:val="16"/>
        <w:szCs w:val="16"/>
      </w:rPr>
      <w:t xml:space="preserve"> of </w:t>
    </w:r>
    <w:r>
      <w:rPr>
        <w:color w:val="52525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4" w:space="4"/>
      </w:pBdr>
    </w:pPr>
    <w:r>
      <w:rPr>
        <w:color w:val="525252"/>
        <w:sz w:val="16"/>
        <w:szCs w:val="16"/>
      </w:rPr>
      <w:t xml:space="preserve">IBM Software Portfolio Advisor  ·  Agent Context &amp; Organization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Context &amp; Application Organization Guide</dc:title>
  <dc:creator>IBM Software Portfolio Advisor</dc:creator>
  <cp:lastModifiedBy>Un-named</cp:lastModifiedBy>
  <cp:revision>1</cp:revision>
  <dcterms:created xsi:type="dcterms:W3CDTF">2026-07-15T23:59:20.185Z</dcterms:created>
  <dcterms:modified xsi:type="dcterms:W3CDTF">2026-07-15T23:59:20.206Z</dcterms:modified>
</cp:coreProperties>
</file>

<file path=docProps/custom.xml><?xml version="1.0" encoding="utf-8"?>
<Properties xmlns="http://schemas.openxmlformats.org/officeDocument/2006/custom-properties" xmlns:vt="http://schemas.openxmlformats.org/officeDocument/2006/docPropsVTypes"/>
</file>