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A033B" w14:textId="3972C395" w:rsidR="00CC60FA" w:rsidRPr="00341154" w:rsidRDefault="00CC60FA" w:rsidP="00357DA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341154">
        <w:rPr>
          <w:rFonts w:ascii="Times New Roman" w:hAnsi="Times New Roman" w:cs="Times New Roman"/>
        </w:rPr>
        <w:t>Réf.ANSM</w:t>
      </w:r>
      <w:proofErr w:type="spellEnd"/>
      <w:r w:rsidRPr="00341154">
        <w:rPr>
          <w:rFonts w:ascii="Times New Roman" w:hAnsi="Times New Roman" w:cs="Times New Roman"/>
        </w:rPr>
        <w:t> : MEDAECNAT-2020-12-00057</w:t>
      </w:r>
    </w:p>
    <w:p w14:paraId="02C5F7DC" w14:textId="4DC8A51F" w:rsidR="00CC60FA" w:rsidRPr="00341154" w:rsidRDefault="00CC60FA" w:rsidP="00357DA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341154">
        <w:rPr>
          <w:rFonts w:ascii="Times New Roman" w:hAnsi="Times New Roman" w:cs="Times New Roman"/>
        </w:rPr>
        <w:t>Réf.du</w:t>
      </w:r>
      <w:proofErr w:type="spellEnd"/>
      <w:r w:rsidRPr="00341154">
        <w:rPr>
          <w:rFonts w:ascii="Times New Roman" w:hAnsi="Times New Roman" w:cs="Times New Roman"/>
        </w:rPr>
        <w:t xml:space="preserve"> Promoteur : </w:t>
      </w:r>
      <w:proofErr w:type="spellStart"/>
      <w:r w:rsidRPr="00341154">
        <w:rPr>
          <w:rFonts w:ascii="Times New Roman" w:hAnsi="Times New Roman" w:cs="Times New Roman"/>
        </w:rPr>
        <w:t>CoPreDex</w:t>
      </w:r>
      <w:proofErr w:type="spellEnd"/>
    </w:p>
    <w:p w14:paraId="2573725A" w14:textId="62A97D36" w:rsidR="00CC60FA" w:rsidRPr="00341154" w:rsidRDefault="00CC60FA" w:rsidP="00357DA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341154">
        <w:rPr>
          <w:rFonts w:ascii="Times New Roman" w:hAnsi="Times New Roman" w:cs="Times New Roman"/>
        </w:rPr>
        <w:t>EudraCT</w:t>
      </w:r>
      <w:proofErr w:type="spellEnd"/>
      <w:r w:rsidRPr="00341154">
        <w:rPr>
          <w:rFonts w:ascii="Times New Roman" w:hAnsi="Times New Roman" w:cs="Times New Roman"/>
        </w:rPr>
        <w:t> :2020-005883-78</w:t>
      </w:r>
    </w:p>
    <w:p w14:paraId="1B356CE4" w14:textId="6B9F2C5C" w:rsidR="00CC60FA" w:rsidRPr="00341154" w:rsidRDefault="00CC60FA" w:rsidP="00357DA6">
      <w:pPr>
        <w:spacing w:after="0" w:line="240" w:lineRule="auto"/>
        <w:rPr>
          <w:rFonts w:ascii="Times New Roman" w:hAnsi="Times New Roman" w:cs="Times New Roman"/>
        </w:rPr>
      </w:pPr>
    </w:p>
    <w:p w14:paraId="5475B4D7" w14:textId="5F9874A2" w:rsidR="00CC60FA" w:rsidRPr="00341154" w:rsidRDefault="00CC60FA" w:rsidP="00357DA6">
      <w:pPr>
        <w:spacing w:after="0" w:line="240" w:lineRule="auto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</w:rPr>
        <w:t>Madame,</w:t>
      </w:r>
    </w:p>
    <w:p w14:paraId="76BF4CEE" w14:textId="38B501E4" w:rsidR="00CC60FA" w:rsidRPr="00341154" w:rsidRDefault="00CC60FA" w:rsidP="00357DA6">
      <w:pPr>
        <w:spacing w:after="0" w:line="240" w:lineRule="auto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</w:rPr>
        <w:t xml:space="preserve">Nous avons pris connaissance de votre courrier en date du 18 Janvier 2021 relatif à l’évaluation du projet </w:t>
      </w:r>
      <w:proofErr w:type="spellStart"/>
      <w:r w:rsidRPr="00341154">
        <w:rPr>
          <w:rFonts w:ascii="Times New Roman" w:hAnsi="Times New Roman" w:cs="Times New Roman"/>
        </w:rPr>
        <w:t>CoPredex</w:t>
      </w:r>
      <w:proofErr w:type="spellEnd"/>
      <w:r w:rsidRPr="00341154">
        <w:rPr>
          <w:rFonts w:ascii="Times New Roman" w:hAnsi="Times New Roman" w:cs="Times New Roman"/>
        </w:rPr>
        <w:t xml:space="preserve"> : </w:t>
      </w:r>
      <w:r w:rsidR="0036791B" w:rsidRPr="00341154">
        <w:rPr>
          <w:rFonts w:ascii="Times New Roman" w:hAnsi="Times New Roman" w:cs="Times New Roman"/>
        </w:rPr>
        <w:t xml:space="preserve">Comparaison de la Prednisolone et de la Dexaméthasone sur la mortalité à J28 chez des patients sous oxygénothérapie, atteints de la CoViD-19 : étude multicentrique, randomisée, de non-infériorité en ouvert », coordonné par le Dr Edouard DEVAUD. </w:t>
      </w:r>
    </w:p>
    <w:p w14:paraId="13166857" w14:textId="5DAD8348" w:rsidR="0036791B" w:rsidRPr="00341154" w:rsidRDefault="0036791B" w:rsidP="00357DA6">
      <w:pPr>
        <w:spacing w:after="0" w:line="240" w:lineRule="auto"/>
        <w:rPr>
          <w:rFonts w:ascii="Times New Roman" w:hAnsi="Times New Roman" w:cs="Times New Roman"/>
        </w:rPr>
      </w:pPr>
    </w:p>
    <w:p w14:paraId="64924B67" w14:textId="2E8B2446" w:rsidR="0036791B" w:rsidRPr="00341154" w:rsidRDefault="0036791B" w:rsidP="00357DA6">
      <w:pPr>
        <w:spacing w:after="0" w:line="240" w:lineRule="auto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</w:rPr>
        <w:t xml:space="preserve">Vous trouverez ci-après les réponses concernant votre demande : </w:t>
      </w:r>
    </w:p>
    <w:p w14:paraId="2AFB6C78" w14:textId="3B9B6C00" w:rsidR="0036791B" w:rsidRPr="00341154" w:rsidRDefault="0036791B" w:rsidP="00357DA6">
      <w:pPr>
        <w:spacing w:after="0" w:line="240" w:lineRule="auto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</w:rPr>
        <w:t xml:space="preserve">3.Concernant l’évaluation des données cliniques : </w:t>
      </w:r>
    </w:p>
    <w:p w14:paraId="548B002F" w14:textId="0911846D" w:rsidR="0036791B" w:rsidRPr="00341154" w:rsidRDefault="0036791B" w:rsidP="00357DA6">
      <w:pPr>
        <w:spacing w:after="0" w:line="240" w:lineRule="auto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  <w:noProof/>
        </w:rPr>
        <w:drawing>
          <wp:inline distT="0" distB="0" distL="0" distR="0" wp14:anchorId="7B6A0C98" wp14:editId="3B59D8A1">
            <wp:extent cx="5760720" cy="16281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0240" w14:textId="655F4C31" w:rsidR="0036791B" w:rsidRPr="00341154" w:rsidRDefault="0036791B" w:rsidP="00357DA6">
      <w:pPr>
        <w:spacing w:after="0" w:line="240" w:lineRule="auto"/>
        <w:rPr>
          <w:rFonts w:ascii="Times New Roman" w:hAnsi="Times New Roman" w:cs="Times New Roman"/>
        </w:rPr>
      </w:pPr>
    </w:p>
    <w:p w14:paraId="6323D164" w14:textId="77777777" w:rsidR="00DD7DC5" w:rsidRPr="00341154" w:rsidRDefault="00DD7DC5" w:rsidP="00357DA6">
      <w:pPr>
        <w:spacing w:after="0" w:line="240" w:lineRule="auto"/>
        <w:rPr>
          <w:rFonts w:ascii="Times New Roman" w:hAnsi="Times New Roman" w:cs="Times New Roman"/>
        </w:rPr>
      </w:pPr>
    </w:p>
    <w:p w14:paraId="5DB08F5D" w14:textId="38898176" w:rsidR="00341154" w:rsidRDefault="00341154" w:rsidP="00357DA6">
      <w:pPr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</w:rPr>
      </w:pPr>
      <w:r>
        <w:rPr>
          <w:rFonts w:ascii="Times New Roman" w:hAnsi="Times New Roman" w:cs="Times New Roman"/>
          <w:i/>
          <w:iCs/>
          <w:color w:val="4472C4" w:themeColor="accent1"/>
        </w:rPr>
        <w:t>Pour répondre à l’ANSM, ajout d’un objectif secondaire : « </w:t>
      </w:r>
      <w:r w:rsidRPr="00341154">
        <w:rPr>
          <w:rFonts w:ascii="Times New Roman" w:hAnsi="Times New Roman" w:cs="Times New Roman"/>
          <w:i/>
          <w:iCs/>
          <w:color w:val="4472C4" w:themeColor="accent1"/>
        </w:rPr>
        <w:t>Comparaison du devenir des patients dans les deux groupes</w:t>
      </w:r>
      <w:r>
        <w:rPr>
          <w:rFonts w:ascii="Times New Roman" w:hAnsi="Times New Roman" w:cs="Times New Roman"/>
          <w:i/>
          <w:iCs/>
          <w:color w:val="4472C4" w:themeColor="accent1"/>
        </w:rPr>
        <w:t xml:space="preserve"> » et ajout des critères de jugements : </w:t>
      </w:r>
    </w:p>
    <w:p w14:paraId="4308DA85" w14:textId="77777777" w:rsidR="00341154" w:rsidRPr="00341154" w:rsidRDefault="00341154" w:rsidP="00357DA6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Comparaison entre les groupes </w:t>
      </w:r>
      <w:proofErr w:type="spellStart"/>
      <w:r w:rsidRPr="00341154">
        <w:rPr>
          <w:rFonts w:ascii="Times New Roman" w:hAnsi="Times New Roman" w:cs="Times New Roman"/>
          <w:i/>
          <w:iCs/>
          <w:color w:val="4472C4" w:themeColor="accent1"/>
        </w:rPr>
        <w:t>Dexamethasone</w:t>
      </w:r>
      <w:proofErr w:type="spellEnd"/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 et Prednisolone : </w:t>
      </w:r>
    </w:p>
    <w:p w14:paraId="45B4083E" w14:textId="77777777" w:rsidR="00341154" w:rsidRPr="00341154" w:rsidRDefault="00341154" w:rsidP="00357DA6">
      <w:pPr>
        <w:pStyle w:val="Paragraphedeliste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Nombre de jours d’oxygénothérapie</w:t>
      </w:r>
    </w:p>
    <w:p w14:paraId="26AD09E4" w14:textId="77777777" w:rsidR="00341154" w:rsidRPr="00341154" w:rsidRDefault="00341154" w:rsidP="00357DA6">
      <w:pPr>
        <w:pStyle w:val="Paragraphedeliste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Nombre de patients requérant une augmentation de l’oxygénothérapie (recours à l’oxygénothérapie à haut débit, CPAP/BIPAP, ventilation mécanique, ECMO)</w:t>
      </w:r>
    </w:p>
    <w:p w14:paraId="576141B9" w14:textId="77777777" w:rsidR="00341154" w:rsidRPr="00341154" w:rsidRDefault="00341154" w:rsidP="00357DA6">
      <w:pPr>
        <w:pStyle w:val="Paragraphedeliste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Nombre de jours d’hospitalisation (hospitalisations pour les personnes en ambulatoires, nombre de jours d’hospitalisation)</w:t>
      </w:r>
    </w:p>
    <w:p w14:paraId="49234480" w14:textId="77777777" w:rsidR="00341154" w:rsidRPr="00341154" w:rsidRDefault="00341154" w:rsidP="00357DA6">
      <w:pPr>
        <w:pStyle w:val="Paragraphedeliste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Nombre de transfert en réanimation/soin intensif</w:t>
      </w:r>
    </w:p>
    <w:p w14:paraId="6907CAB9" w14:textId="77777777" w:rsidR="00341154" w:rsidRPr="00341154" w:rsidRDefault="00341154" w:rsidP="00357DA6">
      <w:pPr>
        <w:pStyle w:val="Paragraphedeliste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Nombre de patients ayant une atteinte organique autres que le poumon (évaluation de la gravité selon le CTCAE) </w:t>
      </w:r>
    </w:p>
    <w:p w14:paraId="6AF90E72" w14:textId="77777777" w:rsidR="00341154" w:rsidRPr="00341154" w:rsidRDefault="00341154" w:rsidP="00357DA6">
      <w:pPr>
        <w:pStyle w:val="Paragraphedeliste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Nombre d’infections liées à un agent pathogène autre que SARS-Cov-2 (évaluation de la gravité selon le CTCAE)</w:t>
      </w:r>
    </w:p>
    <w:p w14:paraId="6FAC1330" w14:textId="77777777" w:rsidR="00341154" w:rsidRPr="00341154" w:rsidRDefault="00341154" w:rsidP="00357DA6">
      <w:pPr>
        <w:pStyle w:val="Paragraphedeliste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Fréquences des complications liées à la corticothérapie (diabète, psychose aigue, ou autres effets indésirables considérés comme liés à la corticothérapie par l’investigateur</w:t>
      </w:r>
    </w:p>
    <w:p w14:paraId="0E3852C1" w14:textId="77777777" w:rsidR="00341154" w:rsidRPr="00341154" w:rsidRDefault="00341154" w:rsidP="00357DA6">
      <w:pPr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</w:rPr>
      </w:pPr>
    </w:p>
    <w:p w14:paraId="26B1AB11" w14:textId="1D6BDE10" w:rsidR="00DD7DC5" w:rsidRPr="00357DA6" w:rsidRDefault="00DD7DC5" w:rsidP="00357DA6">
      <w:pPr>
        <w:spacing w:after="0" w:line="240" w:lineRule="auto"/>
        <w:rPr>
          <w:rFonts w:ascii="Times New Roman" w:hAnsi="Times New Roman" w:cs="Times New Roman"/>
          <w:i/>
          <w:iCs/>
          <w:color w:val="FF0000"/>
        </w:rPr>
      </w:pPr>
      <w:r w:rsidRPr="00357DA6">
        <w:rPr>
          <w:rFonts w:ascii="Times New Roman" w:hAnsi="Times New Roman" w:cs="Times New Roman"/>
          <w:i/>
          <w:iCs/>
          <w:color w:val="FF0000"/>
        </w:rPr>
        <w:t xml:space="preserve">Evaluation sur une échelle de gravité ? </w:t>
      </w:r>
    </w:p>
    <w:p w14:paraId="6E9CD43F" w14:textId="2BE6293A" w:rsidR="00DD7DC5" w:rsidRPr="00357DA6" w:rsidRDefault="00357DA6" w:rsidP="00357DA6">
      <w:pPr>
        <w:spacing w:after="0" w:line="240" w:lineRule="auto"/>
        <w:rPr>
          <w:rFonts w:ascii="Times New Roman" w:hAnsi="Times New Roman" w:cs="Times New Roman"/>
          <w:i/>
          <w:iCs/>
          <w:color w:val="FF0000"/>
        </w:rPr>
      </w:pPr>
      <w:r w:rsidRPr="00357DA6">
        <w:rPr>
          <w:rFonts w:ascii="Times New Roman" w:hAnsi="Times New Roman" w:cs="Times New Roman"/>
          <w:i/>
          <w:iCs/>
          <w:color w:val="FF0000"/>
        </w:rPr>
        <w:t xml:space="preserve">A valider l’objectif et les critères de jugements secondaires. </w:t>
      </w:r>
    </w:p>
    <w:p w14:paraId="37C86F03" w14:textId="77777777" w:rsidR="00357DA6" w:rsidRPr="00357DA6" w:rsidRDefault="00357DA6" w:rsidP="00357DA6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4D16BA01" w14:textId="7C52DDB1" w:rsidR="00DD7DC5" w:rsidRPr="00341154" w:rsidRDefault="00DD7DC5" w:rsidP="00357DA6">
      <w:pPr>
        <w:spacing w:after="0" w:line="240" w:lineRule="auto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  <w:noProof/>
        </w:rPr>
        <w:drawing>
          <wp:inline distT="0" distB="0" distL="0" distR="0" wp14:anchorId="55034077" wp14:editId="30CFB6B2">
            <wp:extent cx="5760720" cy="9347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10F6" w14:textId="6886420C" w:rsidR="00DD7DC5" w:rsidRPr="00357DA6" w:rsidRDefault="00DD7DC5" w:rsidP="00357DA6">
      <w:pPr>
        <w:spacing w:after="0" w:line="240" w:lineRule="auto"/>
        <w:rPr>
          <w:rFonts w:ascii="Times New Roman" w:hAnsi="Times New Roman" w:cs="Times New Roman"/>
          <w:color w:val="FF0000"/>
        </w:rPr>
      </w:pPr>
      <w:r w:rsidRPr="00357DA6">
        <w:rPr>
          <w:rFonts w:ascii="Times New Roman" w:hAnsi="Times New Roman" w:cs="Times New Roman"/>
          <w:i/>
          <w:iCs/>
          <w:color w:val="FF0000"/>
        </w:rPr>
        <w:t xml:space="preserve">A développer avec le Dr DEVAUD. </w:t>
      </w:r>
      <w:r w:rsidR="00357DA6" w:rsidRPr="00357DA6">
        <w:rPr>
          <w:rFonts w:ascii="Times New Roman" w:hAnsi="Times New Roman" w:cs="Times New Roman"/>
          <w:i/>
          <w:iCs/>
          <w:color w:val="FF0000"/>
        </w:rPr>
        <w:t>Cf-commentaires protocole (p18)</w:t>
      </w:r>
    </w:p>
    <w:p w14:paraId="65BBDBFF" w14:textId="72F3AE62" w:rsidR="00DD7DC5" w:rsidRPr="00341154" w:rsidRDefault="00DD7DC5" w:rsidP="00357DA6">
      <w:pPr>
        <w:spacing w:after="0" w:line="240" w:lineRule="auto"/>
        <w:rPr>
          <w:rFonts w:ascii="Times New Roman" w:hAnsi="Times New Roman" w:cs="Times New Roman"/>
        </w:rPr>
      </w:pPr>
    </w:p>
    <w:p w14:paraId="0975E343" w14:textId="2A9ED45A" w:rsidR="00DD7DC5" w:rsidRPr="00341154" w:rsidRDefault="00DD7DC5" w:rsidP="00357DA6">
      <w:pPr>
        <w:spacing w:after="0" w:line="240" w:lineRule="auto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A797E5" wp14:editId="10EAC680">
            <wp:extent cx="5760720" cy="5549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4EEC" w14:textId="7D5D7920" w:rsidR="00DD7DC5" w:rsidRPr="00357DA6" w:rsidRDefault="00357DA6" w:rsidP="00357DA6">
      <w:pPr>
        <w:spacing w:after="0" w:line="240" w:lineRule="auto"/>
        <w:rPr>
          <w:rFonts w:ascii="Times New Roman" w:hAnsi="Times New Roman" w:cs="Times New Roman"/>
          <w:i/>
          <w:iCs/>
          <w:color w:val="FF0000"/>
        </w:rPr>
      </w:pPr>
      <w:r w:rsidRPr="00357DA6">
        <w:rPr>
          <w:rFonts w:ascii="Times New Roman" w:hAnsi="Times New Roman" w:cs="Times New Roman"/>
          <w:i/>
          <w:iCs/>
          <w:color w:val="FF0000"/>
        </w:rPr>
        <w:t xml:space="preserve">Un paragraphe concernant le programme de retour à domicile doit être développer dans le protocole. (Protocole p19) </w:t>
      </w:r>
    </w:p>
    <w:p w14:paraId="216E5367" w14:textId="77777777" w:rsidR="00357DA6" w:rsidRPr="00341154" w:rsidRDefault="00357DA6" w:rsidP="00357DA6">
      <w:pPr>
        <w:spacing w:after="0" w:line="240" w:lineRule="auto"/>
        <w:rPr>
          <w:rFonts w:ascii="Times New Roman" w:hAnsi="Times New Roman" w:cs="Times New Roman"/>
        </w:rPr>
      </w:pPr>
    </w:p>
    <w:p w14:paraId="6A40DF56" w14:textId="285AC6F4" w:rsidR="00DD7DC5" w:rsidRPr="00341154" w:rsidRDefault="00DD7DC5" w:rsidP="00357DA6">
      <w:pPr>
        <w:spacing w:after="0" w:line="240" w:lineRule="auto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  <w:noProof/>
        </w:rPr>
        <w:drawing>
          <wp:inline distT="0" distB="0" distL="0" distR="0" wp14:anchorId="4A0023A3" wp14:editId="69B38DFB">
            <wp:extent cx="5760720" cy="4902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8863" w14:textId="53DEC7A3" w:rsidR="00DD7DC5" w:rsidRPr="00341154" w:rsidRDefault="00DD7DC5" w:rsidP="00357DA6">
      <w:pPr>
        <w:autoSpaceDE w:val="0"/>
        <w:autoSpaceDN w:val="0"/>
        <w:spacing w:after="0" w:line="240" w:lineRule="auto"/>
        <w:contextualSpacing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Notre critère d’inclusion actuel : </w:t>
      </w:r>
      <w:proofErr w:type="spellStart"/>
      <w:r w:rsidRPr="00341154">
        <w:rPr>
          <w:rFonts w:ascii="Times New Roman" w:hAnsi="Times New Roman" w:cs="Times New Roman"/>
          <w:i/>
          <w:iCs/>
          <w:color w:val="4472C4" w:themeColor="accent1"/>
        </w:rPr>
        <w:t>Oxygénorequérants</w:t>
      </w:r>
      <w:proofErr w:type="spellEnd"/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 avec une SpO2 sous supplémentation d’O2 ≥ 94 % ou ≥ 90% pour les patients ayant une comorbidité respiratoire </w:t>
      </w:r>
    </w:p>
    <w:p w14:paraId="249D9C9F" w14:textId="1B043103" w:rsidR="00DD7DC5" w:rsidRPr="00341154" w:rsidRDefault="00DD7DC5" w:rsidP="00357DA6">
      <w:pPr>
        <w:autoSpaceDE w:val="0"/>
        <w:autoSpaceDN w:val="0"/>
        <w:spacing w:after="0" w:line="240" w:lineRule="auto"/>
        <w:contextualSpacing/>
        <w:jc w:val="both"/>
        <w:rPr>
          <w:rFonts w:ascii="Times New Roman" w:hAnsi="Times New Roman" w:cs="Times New Roman"/>
          <w:i/>
          <w:iCs/>
        </w:rPr>
      </w:pPr>
    </w:p>
    <w:p w14:paraId="0AD8FD29" w14:textId="578AE836" w:rsidR="00541995" w:rsidRPr="00357DA6" w:rsidRDefault="00541995" w:rsidP="00357DA6">
      <w:pPr>
        <w:autoSpaceDE w:val="0"/>
        <w:autoSpaceDN w:val="0"/>
        <w:spacing w:after="0" w:line="240" w:lineRule="auto"/>
        <w:contextualSpacing/>
        <w:jc w:val="both"/>
        <w:rPr>
          <w:rFonts w:ascii="Times New Roman" w:hAnsi="Times New Roman" w:cs="Times New Roman"/>
          <w:i/>
          <w:iCs/>
          <w:color w:val="FF0000"/>
        </w:rPr>
      </w:pPr>
      <w:r w:rsidRPr="00357DA6">
        <w:rPr>
          <w:rFonts w:ascii="Times New Roman" w:hAnsi="Times New Roman" w:cs="Times New Roman"/>
          <w:i/>
          <w:iCs/>
          <w:color w:val="FF0000"/>
        </w:rPr>
        <w:t xml:space="preserve">A rediscuter </w:t>
      </w:r>
    </w:p>
    <w:p w14:paraId="06FB40E1" w14:textId="6FF4A25F" w:rsidR="00541995" w:rsidRPr="00341154" w:rsidRDefault="00541995" w:rsidP="00357DA6">
      <w:pPr>
        <w:autoSpaceDE w:val="0"/>
        <w:autoSpaceDN w:val="0"/>
        <w:spacing w:after="0" w:line="240" w:lineRule="auto"/>
        <w:contextualSpacing/>
        <w:jc w:val="both"/>
        <w:rPr>
          <w:rFonts w:ascii="Times New Roman" w:hAnsi="Times New Roman" w:cs="Times New Roman"/>
          <w:i/>
          <w:iCs/>
        </w:rPr>
      </w:pPr>
    </w:p>
    <w:p w14:paraId="1705FDEA" w14:textId="3BADEE05" w:rsidR="00541995" w:rsidRPr="00341154" w:rsidRDefault="00541995" w:rsidP="00357DA6">
      <w:pPr>
        <w:autoSpaceDE w:val="0"/>
        <w:autoSpaceDN w:val="0"/>
        <w:spacing w:after="0" w:line="240" w:lineRule="auto"/>
        <w:contextualSpacing/>
        <w:jc w:val="both"/>
        <w:rPr>
          <w:rFonts w:ascii="Times New Roman" w:hAnsi="Times New Roman" w:cs="Times New Roman"/>
          <w:i/>
          <w:iCs/>
        </w:rPr>
      </w:pPr>
      <w:r w:rsidRPr="00341154">
        <w:rPr>
          <w:rFonts w:ascii="Times New Roman" w:hAnsi="Times New Roman" w:cs="Times New Roman"/>
          <w:noProof/>
        </w:rPr>
        <w:drawing>
          <wp:inline distT="0" distB="0" distL="0" distR="0" wp14:anchorId="1A91162D" wp14:editId="77B7DFF4">
            <wp:extent cx="5760720" cy="2940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EC95" w14:textId="14D98F02" w:rsidR="00541995" w:rsidRPr="00341154" w:rsidRDefault="00541995" w:rsidP="00357DA6">
      <w:pPr>
        <w:autoSpaceDE w:val="0"/>
        <w:autoSpaceDN w:val="0"/>
        <w:spacing w:after="0" w:line="240" w:lineRule="auto"/>
        <w:contextualSpacing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Modification apportée au protocole. P.18 : « Cette visite aura lieu sur le site investigateur et le patient rencontrera le médecin qui réalisera un examen clinique. »</w:t>
      </w:r>
    </w:p>
    <w:p w14:paraId="3D8F4047" w14:textId="054A000E" w:rsidR="00DD7DC5" w:rsidRPr="00341154" w:rsidRDefault="00DD7DC5" w:rsidP="00357DA6">
      <w:pPr>
        <w:spacing w:after="0" w:line="240" w:lineRule="auto"/>
        <w:rPr>
          <w:rFonts w:ascii="Times New Roman" w:hAnsi="Times New Roman" w:cs="Times New Roman"/>
        </w:rPr>
      </w:pPr>
    </w:p>
    <w:p w14:paraId="758E5F8A" w14:textId="3ECE1841" w:rsidR="00DD7DC5" w:rsidRPr="00341154" w:rsidRDefault="00541995" w:rsidP="00357DA6">
      <w:pPr>
        <w:spacing w:after="0" w:line="240" w:lineRule="auto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  <w:noProof/>
        </w:rPr>
        <w:drawing>
          <wp:inline distT="0" distB="0" distL="0" distR="0" wp14:anchorId="1BE7E14F" wp14:editId="79C612D9">
            <wp:extent cx="5760720" cy="51371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3C6D" w14:textId="73E33C3B" w:rsidR="00541995" w:rsidRPr="00341154" w:rsidRDefault="00541995" w:rsidP="00357DA6">
      <w:pPr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Modification apportée au protocole.</w:t>
      </w:r>
    </w:p>
    <w:p w14:paraId="6F8AA069" w14:textId="0D80066E" w:rsidR="00541995" w:rsidRPr="00341154" w:rsidRDefault="00541995" w:rsidP="00357DA6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V1-1 du 05/01/2021 : « D’arrêt de la recherche : le promoteur déclare la fin de la recherche dans un délai de 15 jours à l’ANSM et au CPP »</w:t>
      </w:r>
    </w:p>
    <w:p w14:paraId="03836156" w14:textId="746EC351" w:rsidR="00541995" w:rsidRPr="00341154" w:rsidRDefault="00541995" w:rsidP="00357DA6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V1-2 du </w:t>
      </w:r>
      <w:r w:rsidRPr="00341154">
        <w:rPr>
          <w:rFonts w:ascii="Times New Roman" w:hAnsi="Times New Roman" w:cs="Times New Roman"/>
          <w:i/>
          <w:iCs/>
          <w:color w:val="4472C4" w:themeColor="accent1"/>
          <w:highlight w:val="yellow"/>
        </w:rPr>
        <w:t>19/01/2021 </w:t>
      </w:r>
      <w:r w:rsidRPr="00341154">
        <w:rPr>
          <w:rFonts w:ascii="Times New Roman" w:hAnsi="Times New Roman" w:cs="Times New Roman"/>
          <w:i/>
          <w:iCs/>
          <w:color w:val="4472C4" w:themeColor="accent1"/>
        </w:rPr>
        <w:t>: « D’arrêt prématuré de la recherche : le promoteur déclare</w:t>
      </w:r>
      <w:r w:rsidR="00F53E6C" w:rsidRPr="00341154">
        <w:rPr>
          <w:rFonts w:ascii="Times New Roman" w:hAnsi="Times New Roman" w:cs="Times New Roman"/>
          <w:i/>
          <w:iCs/>
          <w:color w:val="4472C4" w:themeColor="accent1"/>
        </w:rPr>
        <w:t>ra</w:t>
      </w:r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 </w:t>
      </w:r>
      <w:r w:rsidR="00F53E6C"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sans délai </w:t>
      </w:r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dans un délai </w:t>
      </w:r>
      <w:r w:rsidR="00F53E6C"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maximum </w:t>
      </w:r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de 15 jours </w:t>
      </w:r>
      <w:r w:rsidR="00F53E6C"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la fin de la recherche </w:t>
      </w:r>
      <w:r w:rsidRPr="00341154">
        <w:rPr>
          <w:rFonts w:ascii="Times New Roman" w:hAnsi="Times New Roman" w:cs="Times New Roman"/>
          <w:i/>
          <w:iCs/>
          <w:color w:val="4472C4" w:themeColor="accent1"/>
        </w:rPr>
        <w:t>à l’ANSM et au CPP »</w:t>
      </w:r>
    </w:p>
    <w:p w14:paraId="5847E3B3" w14:textId="0EF19A2A" w:rsidR="00F53E6C" w:rsidRPr="00341154" w:rsidRDefault="00F53E6C" w:rsidP="00357DA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41154">
        <w:rPr>
          <w:rFonts w:ascii="Times New Roman" w:hAnsi="Times New Roman" w:cs="Times New Roman"/>
          <w:noProof/>
        </w:rPr>
        <w:drawing>
          <wp:inline distT="0" distB="0" distL="0" distR="0" wp14:anchorId="71DE4AFA" wp14:editId="642F8AED">
            <wp:extent cx="5760720" cy="6248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938" w14:textId="3FA6BD2B" w:rsidR="00F53E6C" w:rsidRPr="00341154" w:rsidRDefault="00F53E6C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Proposition</w:t>
      </w:r>
      <w:r w:rsidR="00E7214A"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 : </w:t>
      </w:r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 ajouter aux critères d’inclusions </w:t>
      </w:r>
    </w:p>
    <w:p w14:paraId="2D380065" w14:textId="190483B1" w:rsidR="00E7214A" w:rsidRDefault="00357DA6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>
        <w:rPr>
          <w:rFonts w:ascii="Times New Roman" w:hAnsi="Times New Roman" w:cs="Times New Roman"/>
          <w:i/>
          <w:iCs/>
          <w:color w:val="4472C4" w:themeColor="accent1"/>
        </w:rPr>
        <w:t>« Test de grossesse négatif pour les patientes en âge de procréer « </w:t>
      </w:r>
    </w:p>
    <w:p w14:paraId="54E2292A" w14:textId="77777777" w:rsidR="00357DA6" w:rsidRPr="00341154" w:rsidRDefault="00357DA6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</w:p>
    <w:p w14:paraId="70507141" w14:textId="028C77A3" w:rsidR="00E7214A" w:rsidRPr="00341154" w:rsidRDefault="00E7214A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noProof/>
        </w:rPr>
        <w:drawing>
          <wp:inline distT="0" distB="0" distL="0" distR="0" wp14:anchorId="435091B4" wp14:editId="61728CB2">
            <wp:extent cx="5760720" cy="43497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5C10" w14:textId="295F4FF5" w:rsidR="00E7214A" w:rsidRPr="00357DA6" w:rsidRDefault="00E7214A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FF0000"/>
        </w:rPr>
      </w:pPr>
      <w:r w:rsidRPr="00357DA6">
        <w:rPr>
          <w:rFonts w:ascii="Times New Roman" w:hAnsi="Times New Roman" w:cs="Times New Roman"/>
          <w:i/>
          <w:iCs/>
          <w:color w:val="FF0000"/>
        </w:rPr>
        <w:t xml:space="preserve">Suppression de la phrase ? </w:t>
      </w:r>
      <w:r w:rsidR="00357DA6">
        <w:rPr>
          <w:rFonts w:ascii="Times New Roman" w:hAnsi="Times New Roman" w:cs="Times New Roman"/>
          <w:i/>
          <w:iCs/>
          <w:color w:val="FF0000"/>
        </w:rPr>
        <w:t>Merci de confirmer</w:t>
      </w:r>
    </w:p>
    <w:p w14:paraId="120FD201" w14:textId="46587427" w:rsidR="00E7214A" w:rsidRPr="00341154" w:rsidRDefault="00E7214A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proofErr w:type="gramStart"/>
      <w:r w:rsidRPr="00341154">
        <w:rPr>
          <w:rFonts w:ascii="Times New Roman" w:hAnsi="Times New Roman" w:cs="Times New Roman"/>
          <w:i/>
          <w:iCs/>
          <w:color w:val="4472C4" w:themeColor="accent1"/>
        </w:rPr>
        <w:t>«4.5</w:t>
      </w:r>
      <w:proofErr w:type="gramEnd"/>
      <w:r w:rsidRPr="00341154">
        <w:rPr>
          <w:rFonts w:ascii="Times New Roman" w:hAnsi="Times New Roman" w:cs="Times New Roman"/>
          <w:i/>
          <w:iCs/>
          <w:color w:val="4472C4" w:themeColor="accent1"/>
        </w:rPr>
        <w:t>- Règles d’arrêt (p.13)</w:t>
      </w:r>
    </w:p>
    <w:p w14:paraId="4F60229A" w14:textId="40D04C67" w:rsidR="00E7214A" w:rsidRPr="00341154" w:rsidRDefault="00E7214A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 </w:t>
      </w:r>
      <w:bookmarkStart w:id="0" w:name="_Toc338075912"/>
      <w:r w:rsidRPr="00341154">
        <w:rPr>
          <w:rFonts w:ascii="Times New Roman" w:hAnsi="Times New Roman" w:cs="Times New Roman"/>
          <w:i/>
          <w:iCs/>
          <w:color w:val="4472C4" w:themeColor="accent1"/>
        </w:rPr>
        <w:t>Règles d’arrêt du traitement de la recherche</w:t>
      </w:r>
      <w:bookmarkEnd w:id="0"/>
      <w:r w:rsidRPr="00341154">
        <w:rPr>
          <w:rFonts w:ascii="Times New Roman" w:hAnsi="Times New Roman" w:cs="Times New Roman"/>
          <w:i/>
          <w:iCs/>
          <w:color w:val="4472C4" w:themeColor="accent1"/>
        </w:rPr>
        <w:t xml:space="preserve"> : </w:t>
      </w:r>
    </w:p>
    <w:p w14:paraId="361C5AAB" w14:textId="6A43A9A7" w:rsidR="00E7214A" w:rsidRPr="00341154" w:rsidRDefault="00E7214A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 w:rsidRPr="00341154">
        <w:rPr>
          <w:rFonts w:ascii="Times New Roman" w:hAnsi="Times New Roman" w:cs="Times New Roman"/>
          <w:i/>
          <w:iCs/>
          <w:color w:val="4472C4" w:themeColor="accent1"/>
        </w:rPr>
        <w:t>La prise de corticoïdes que ce soit la Dexaméthasone ou le Prednisolone devra être arrêtée de manière définitive en cas d’inefficacité du traitement. »</w:t>
      </w:r>
    </w:p>
    <w:p w14:paraId="548DC119" w14:textId="4E12988A" w:rsidR="00E7214A" w:rsidRDefault="00357DA6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>
        <w:rPr>
          <w:noProof/>
        </w:rPr>
        <w:drawing>
          <wp:inline distT="0" distB="0" distL="0" distR="0" wp14:anchorId="4136BE1D" wp14:editId="174F08D5">
            <wp:extent cx="5760720" cy="53848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2B6" w14:textId="3FC53148" w:rsidR="00357DA6" w:rsidRPr="00341154" w:rsidRDefault="00357DA6" w:rsidP="00357DA6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4472C4" w:themeColor="accent1"/>
        </w:rPr>
      </w:pPr>
      <w:r>
        <w:rPr>
          <w:rFonts w:ascii="Times New Roman" w:hAnsi="Times New Roman" w:cs="Times New Roman"/>
          <w:i/>
          <w:iCs/>
          <w:color w:val="4472C4" w:themeColor="accent1"/>
        </w:rPr>
        <w:t xml:space="preserve">Echange en cours avec la pharmacovigilance. </w:t>
      </w:r>
    </w:p>
    <w:sectPr w:rsidR="00357DA6" w:rsidRPr="003411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A5AFA"/>
    <w:multiLevelType w:val="multilevel"/>
    <w:tmpl w:val="06C28A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8E7742"/>
    <w:multiLevelType w:val="hybridMultilevel"/>
    <w:tmpl w:val="356A6FFC"/>
    <w:lvl w:ilvl="0" w:tplc="22C0782E">
      <w:start w:val="135"/>
      <w:numFmt w:val="bullet"/>
      <w:lvlText w:val="-"/>
      <w:lvlJc w:val="left"/>
      <w:pPr>
        <w:ind w:left="108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0FA"/>
    <w:rsid w:val="00341154"/>
    <w:rsid w:val="00357DA6"/>
    <w:rsid w:val="0036791B"/>
    <w:rsid w:val="00541995"/>
    <w:rsid w:val="00642591"/>
    <w:rsid w:val="006733B6"/>
    <w:rsid w:val="0095436A"/>
    <w:rsid w:val="00B3362E"/>
    <w:rsid w:val="00CC60FA"/>
    <w:rsid w:val="00DD7DC5"/>
    <w:rsid w:val="00E7214A"/>
    <w:rsid w:val="00F5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36C3D"/>
  <w15:chartTrackingRefBased/>
  <w15:docId w15:val="{178830FF-573D-4152-9987-84988EECA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367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link w:val="Paragraphedeliste"/>
    <w:uiPriority w:val="34"/>
    <w:locked/>
    <w:rsid w:val="00DD7DC5"/>
  </w:style>
  <w:style w:type="paragraph" w:styleId="Paragraphedeliste">
    <w:name w:val="List Paragraph"/>
    <w:basedOn w:val="Normal"/>
    <w:link w:val="ParagraphedelisteCar"/>
    <w:uiPriority w:val="34"/>
    <w:qFormat/>
    <w:rsid w:val="00DD7DC5"/>
    <w:pPr>
      <w:spacing w:after="200" w:line="276" w:lineRule="auto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460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Véronique DA COSTA</dc:creator>
  <cp:keywords/>
  <dc:description/>
  <cp:lastModifiedBy>Véronique DA COSTA</cp:lastModifiedBy>
  <cp:revision>2</cp:revision>
  <dcterms:created xsi:type="dcterms:W3CDTF">2021-01-19T11:45:00Z</dcterms:created>
  <dcterms:modified xsi:type="dcterms:W3CDTF">2021-01-19T11:45:00Z</dcterms:modified>
</cp:coreProperties>
</file>