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2937"/>
          <w:sz w:val="44"/>
        </w:rPr>
        <w:t>PIT Wallonie - Guide des Workspaces &amp; Spécifications Sémantiques (vNext)</w:t>
      </w:r>
    </w:p>
    <w:p/>
    <w:p>
      <w:pPr>
        <w:pStyle w:val="Heading1"/>
      </w:pPr>
      <w:r>
        <w:t>GUIDE FONCTIONNEL COMPLET DES WORKSPACES ET INTERCONNEXIONS</w:t>
      </w:r>
    </w:p>
    <w:p>
      <w:pPr>
        <w:pStyle w:val="Heading2"/>
      </w:pPr>
      <w:r>
        <w:t>Plateforme d'Intelligence Territoriale (PIT vNext) - Région wallonne</w:t>
      </w:r>
    </w:p>
    <w:p>
      <w:r>
        <w:t xml:space="preserve">Ce document constitue la documentation fonctionnelle officielle de référence pour la </w:t>
      </w:r>
      <w:r>
        <w:rPr>
          <w:b/>
        </w:rPr>
        <w:t>Plateforme d'Intelligence Territoriale (PIT) vNext</w:t>
      </w:r>
      <w:r>
        <w:t>. Il décrit de manière exhaustive les cinq espaces de travail (</w:t>
      </w:r>
      <w:r>
        <w:rPr>
          <w:b/>
        </w:rPr>
        <w:t>Workspaces</w:t>
      </w:r>
      <w:r>
        <w:t xml:space="preserve">), leurs fonctionnalités opérationnelles, leurs modules, ainsi que les mécanismes sémantiques et d'interopérabilité qui les interconnectent à travers le </w:t>
      </w:r>
      <w:r>
        <w:rPr>
          <w:b/>
        </w:rPr>
        <w:t>Territorial Knowledge Graph</w:t>
      </w:r>
      <w:r>
        <w:t>.</w:t>
        <w:br/>
      </w:r>
    </w:p>
    <w:p>
      <w:pPr>
        <w:pStyle w:val="Heading2"/>
      </w:pPr>
      <w:r>
        <w:t>🌐 1. Architecture Centrée Graphe &amp; Vision</w:t>
      </w:r>
    </w:p>
    <w:p>
      <w:r>
        <w:t>Dans la version actuelle, la PIT repose sur un modèle de données relationnel sémantisé, organisé comme un graphe métier logique. Les entités — bénéficiaires, acteurs territoriaux, services, parcours, projets, preuves, outcomes, datasets et financements — sont reliées fonctionnellement afin de produire des vues transversales. La cible vNext est de faire évoluer ce socle vers un Territorial Knowledge Graph natif complet, basé sur des identifiants sémantiques interopérables, RDF/SPARQL et des capacités avancées d’exploitation graph.</w:t>
        <w:br/>
      </w:r>
    </w:p>
    <w:p>
      <w:r>
        <w:t>&gt; [!NOTE]</w:t>
        <w:br/>
      </w:r>
    </w:p>
    <w:p>
      <w:r>
        <w:t>&gt; Le Territorial Knowledge Graph natif complet relève de la cible vNext. La version actuelle fournit un socle sémantisé et interconnecté permettant de préparer cette trajectoire.</w:t>
        <w:br/>
      </w:r>
    </w:p>
    <w:p>
      <w:r>
        <w:t xml:space="preserve">Les différents workspaces ne correspondent pas à des bases de données physiques distinctes, mais à des </w:t>
      </w:r>
      <w:r>
        <w:rPr>
          <w:b/>
        </w:rPr>
        <w:t>projections sémantiques contextuelles (Business Views)</w:t>
      </w:r>
      <w:r>
        <w:t xml:space="preserve"> du même graphe, optimisées pour les besoins opérationnels et décisionnels de chaque rôle (Persona) :</w:t>
        <w:br/>
      </w:r>
    </w:p>
    <w:p>
      <w:pPr>
        <w:ind w:left="720"/>
      </w:pPr>
      <w:r>
        <w:rPr>
          <w:rFonts w:ascii="Consolas" w:hAnsi="Consolas"/>
          <w:color w:val="4B5563"/>
          <w:sz w:val="19"/>
        </w:rPr>
        <w:t>graph TD</w:t>
        <w:br/>
        <w:t xml:space="preserve">    %% Base centrale %%</w:t>
        <w:br/>
        <w:t xml:space="preserve">    DB[(Territorial Knowledge Graph)]</w:t>
        <w:br/>
        <w:t xml:space="preserve">    </w:t>
        <w:br/>
        <w:t xml:space="preserve">    %% Workspaces %%</w:t>
        <w:br/>
        <w:t xml:space="preserve">    W_Anim[Workspace Animation]</w:t>
        <w:br/>
        <w:t xml:space="preserve">    W_Cons[Workspace Conseiller 360]</w:t>
        <w:br/>
        <w:t xml:space="preserve">    W_Entr[Workspace Entreprise]</w:t>
        <w:br/>
        <w:t xml:space="preserve">    W_DG[Cockpit Exécutif - DG]</w:t>
        <w:br/>
        <w:t xml:space="preserve">    W_Stew[Workspace Interopérabilité]</w:t>
        <w:br/>
        <w:t xml:space="preserve">    </w:t>
        <w:br/>
        <w:t xml:space="preserve">    %% Interconnexions %%</w:t>
        <w:br/>
        <w:t xml:space="preserve">    W_Anim --&gt;|Alimente Projets &amp; Communautés| DB</w:t>
        <w:br/>
        <w:t xml:space="preserve">    W_Cons --&gt;|Alimente Maturités &amp; Accompagnements| DB</w:t>
        <w:br/>
        <w:t xml:space="preserve">    W_Entr --&gt;|Déclare Défis &amp; Besoins| DB</w:t>
        <w:br/>
        <w:t xml:space="preserve">    W_DG --&gt;|Alimente Stratégies &amp; Budgets| DB</w:t>
        <w:br/>
        <w:t xml:space="preserve">    W_Stew --&gt;|Synchronise Référentiels Externes| DB</w:t>
        <w:br/>
        <w:t xml:space="preserve">    </w:t>
        <w:br/>
        <w:t xml:space="preserve">    DB --&gt;|Filtre Contextuel / RAG / Graph Explorer| W_Anim</w:t>
        <w:br/>
        <w:t xml:space="preserve">    DB --&gt;|Radar de Maturité &amp; Matchmaking| W_Cons</w:t>
        <w:br/>
        <w:t xml:space="preserve">    DB --&gt;|Parcours Interactifs &amp; Recommandations| W_Entr</w:t>
        <w:br/>
        <w:t xml:space="preserve">    DB --&gt;|Tableaux de Bord d'Impact &amp; Gap Analysis| W_DG</w:t>
        <w:br/>
        <w:t xml:space="preserve">    DB --&gt;|Statut de Qualité &amp; Provenance| W_Stew</w:t>
      </w:r>
    </w:p>
    <w:p>
      <w:pPr>
        <w:pStyle w:val="Heading2"/>
      </w:pPr>
      <w:r>
        <w:t>📊 2. Périmètre Opérationnel</w:t>
      </w:r>
    </w:p>
    <w:p>
      <w:pPr>
        <w:pStyle w:val="Heading3"/>
      </w:pPr>
      <w:r>
        <w:t>A. Disponible en production / socle opérationnel</w:t>
      </w:r>
    </w:p>
    <w:p>
      <w:pPr>
        <w:pStyle w:val="ListBullet"/>
      </w:pPr>
      <w:r>
        <w:t>fiches bénéficiaires 360 ;</w:t>
      </w:r>
    </w:p>
    <w:p>
      <w:pPr>
        <w:pStyle w:val="ListBullet"/>
      </w:pPr>
      <w:r>
        <w:t>catalogue CPSV-AP ;</w:t>
      </w:r>
    </w:p>
    <w:p>
      <w:pPr>
        <w:pStyle w:val="ListBullet"/>
      </w:pPr>
      <w:r>
        <w:t>coûts et aides d’État ;</w:t>
      </w:r>
    </w:p>
    <w:p>
      <w:pPr>
        <w:pStyle w:val="ListBullet"/>
      </w:pPr>
      <w:r>
        <w:t>gestion de l’écosystème ;</w:t>
      </w:r>
    </w:p>
    <w:p>
      <w:pPr>
        <w:pStyle w:val="ListBullet"/>
      </w:pPr>
      <w:r>
        <w:t>affiliations &amp; membres ;</w:t>
      </w:r>
    </w:p>
    <w:p>
      <w:pPr>
        <w:pStyle w:val="ListBullet"/>
      </w:pPr>
      <w:r>
        <w:t>défis d’écosystème ;</w:t>
      </w:r>
    </w:p>
    <w:p>
      <w:pPr>
        <w:pStyle w:val="ListBullet"/>
      </w:pPr>
      <w:r>
        <w:t>projets ;</w:t>
      </w:r>
    </w:p>
    <w:p>
      <w:pPr>
        <w:pStyle w:val="ListBullet"/>
      </w:pPr>
      <w:r>
        <w:t>justificatifs &amp; preuves d’impact ;</w:t>
      </w:r>
    </w:p>
    <w:p>
      <w:pPr>
        <w:pStyle w:val="ListBullet"/>
      </w:pPr>
      <w:r>
        <w:t>qualité des données ;</w:t>
      </w:r>
    </w:p>
    <w:p>
      <w:pPr>
        <w:pStyle w:val="ListBullet"/>
      </w:pPr>
      <w:r>
        <w:t>documentation et gouvernance de base.</w:t>
      </w:r>
    </w:p>
    <w:p>
      <w:pPr>
        <w:pStyle w:val="Heading3"/>
      </w:pPr>
      <w:r>
        <w:t>B. Disponible en démonstrateur / prototype</w:t>
      </w:r>
    </w:p>
    <w:p>
      <w:pPr>
        <w:pStyle w:val="ListBullet"/>
      </w:pPr>
      <w:r>
        <w:t>moteur de match ;</w:t>
      </w:r>
    </w:p>
    <w:p>
      <w:pPr>
        <w:pStyle w:val="ListBullet"/>
      </w:pPr>
      <w:r>
        <w:t>visualisation de graphe logique ;</w:t>
      </w:r>
    </w:p>
    <w:p>
      <w:pPr>
        <w:pStyle w:val="ListBullet"/>
      </w:pPr>
      <w:r>
        <w:t>vues d’analyse avancées ;</w:t>
      </w:r>
    </w:p>
    <w:p>
      <w:pPr>
        <w:pStyle w:val="ListBullet"/>
      </w:pPr>
      <w:r>
        <w:t>mode histoire / démonstration ;</w:t>
      </w:r>
    </w:p>
    <w:p>
      <w:pPr>
        <w:pStyle w:val="ListBullet"/>
      </w:pPr>
      <w:r>
        <w:t>premiers exports ou endpoints d’interopérabilité ;</w:t>
      </w:r>
    </w:p>
    <w:p>
      <w:pPr>
        <w:pStyle w:val="ListBullet"/>
      </w:pPr>
      <w:r>
        <w:t>vue résilience territoriale en placeholder fonctionnel.</w:t>
      </w:r>
    </w:p>
    <w:p>
      <w:pPr>
        <w:pStyle w:val="Heading3"/>
      </w:pPr>
      <w:r>
        <w:t>C. Prévu en cible vNext</w:t>
      </w:r>
    </w:p>
    <w:p>
      <w:pPr>
        <w:pStyle w:val="ListBullet"/>
      </w:pPr>
      <w:r>
        <w:t>Territorial Knowledge Graph natif complet RDF/SPARQL ;</w:t>
      </w:r>
    </w:p>
    <w:p>
      <w:pPr>
        <w:pStyle w:val="ListBullet"/>
      </w:pPr>
      <w:r>
        <w:t>agents IA / RAG ;</w:t>
      </w:r>
    </w:p>
    <w:p>
      <w:pPr>
        <w:pStyle w:val="ListBullet"/>
      </w:pPr>
      <w:r>
        <w:t>portail entreprise complet ;</w:t>
      </w:r>
    </w:p>
    <w:p>
      <w:pPr>
        <w:pStyle w:val="ListBullet"/>
      </w:pPr>
      <w:r>
        <w:t>cockpit DG complet ;</w:t>
      </w:r>
    </w:p>
    <w:p>
      <w:pPr>
        <w:pStyle w:val="ListBullet"/>
      </w:pPr>
      <w:r>
        <w:t>recommandations industrialisées ;</w:t>
      </w:r>
    </w:p>
    <w:p>
      <w:pPr>
        <w:pStyle w:val="ListBullet"/>
      </w:pPr>
      <w:r>
        <w:t>Data Marketplace complet ;</w:t>
      </w:r>
    </w:p>
    <w:p>
      <w:pPr>
        <w:pStyle w:val="ListBullet"/>
      </w:pPr>
      <w:r>
        <w:t>exports NGSI-LD industrialisés ;</w:t>
      </w:r>
    </w:p>
    <w:p>
      <w:pPr>
        <w:pStyle w:val="ListBullet"/>
      </w:pPr>
      <w:r>
        <w:t>résilience territoriale industrialisée ;</w:t>
      </w:r>
    </w:p>
    <w:p>
      <w:pPr>
        <w:pStyle w:val="ListBullet"/>
      </w:pPr>
      <w:r>
        <w:t>simulation/scoring avancé de vulnérabilité et d’impact.</w:t>
      </w:r>
    </w:p>
    <w:p>
      <w:pPr>
        <w:pStyle w:val="Heading3"/>
      </w:pPr>
      <w:r>
        <w:t>D. Hors périmètre actuel</w:t>
      </w:r>
    </w:p>
    <w:p>
      <w:pPr>
        <w:pStyle w:val="ListBullet"/>
      </w:pPr>
      <w:r>
        <w:t>salle de crise opérationnelle ;</w:t>
      </w:r>
    </w:p>
    <w:p>
      <w:pPr>
        <w:pStyle w:val="ListBullet"/>
      </w:pPr>
      <w:r>
        <w:t>centre de commandement temps réel ;</w:t>
      </w:r>
    </w:p>
    <w:p>
      <w:pPr>
        <w:pStyle w:val="ListBullet"/>
      </w:pPr>
      <w:r>
        <w:t>prédiction automatique des crises ;</w:t>
      </w:r>
    </w:p>
    <w:p>
      <w:pPr>
        <w:pStyle w:val="ListBullet"/>
      </w:pPr>
      <w:r>
        <w:t>centralisation non encadrée de toutes les données partenaires ;</w:t>
      </w:r>
    </w:p>
    <w:p>
      <w:pPr>
        <w:pStyle w:val="ListBullet"/>
      </w:pPr>
      <w:r>
        <w:t>substitution aux outils métiers existants des partenaires.</w:t>
      </w:r>
    </w:p>
    <w:p>
      <w:pPr>
        <w:pStyle w:val="Heading2"/>
      </w:pPr>
      <w:r>
        <w:t>👥 3. Analyse Détaillée des 5 Workspaces (WKS)</w:t>
      </w:r>
    </w:p>
    <w:p>
      <w:pPr>
        <w:pStyle w:val="Heading3"/>
      </w:pPr>
      <w:r>
        <w:t>💼 3.1 Workspace Animation</w:t>
      </w:r>
    </w:p>
    <w:p>
      <w:r/>
      <w:r>
        <w:rPr>
          <w:b/>
        </w:rPr>
        <w:t>Persona cible : Animateur d'Écosystème (Pôle de compétitivité, Cluster, Hub d'innovation - BioWin, GreenWin, MecaTech...)</w:t>
      </w:r>
      <w:r>
        <w:br/>
      </w:r>
    </w:p>
    <w:p>
      <w:r>
        <w:t>Ce workspace permet de suivre la vitalité collective d'un écosystème, de stimuler l'interaction entre les membres et de valider les preuves physiques des livraisons de services.</w:t>
        <w:br/>
      </w:r>
    </w:p>
    <w:p>
      <w:pPr>
        <w:pStyle w:val="Heading4"/>
      </w:pPr>
      <w:r>
        <w:t>A. Tableau de Bord (Dashboard)</w:t>
      </w:r>
    </w:p>
    <w:p>
      <w:pPr>
        <w:pStyle w:val="ListBullet"/>
      </w:pPr>
      <w:r/>
      <w:r>
        <w:rPr>
          <w:b/>
        </w:rPr>
        <w:t>Indicateurs Clés (KPIs)</w:t>
      </w:r>
      <w:r>
        <w:t xml:space="preserve"> :</w:t>
      </w:r>
    </w:p>
    <w:p>
      <w:pPr>
        <w:pStyle w:val="ListBullet"/>
      </w:pPr>
      <w:r>
        <w:t>*Membres Actifs* : Organisations affiliées et engagées dans le pôle.</w:t>
      </w:r>
    </w:p>
    <w:p>
      <w:pPr>
        <w:pStyle w:val="ListBullet"/>
      </w:pPr>
      <w:r>
        <w:t>*Communautés* : Nombre de cercles d'animation thématiques (ex: IA Santé).</w:t>
      </w:r>
    </w:p>
    <w:p>
      <w:pPr>
        <w:pStyle w:val="ListBullet"/>
      </w:pPr>
      <w:r>
        <w:t>*Opportunités Actives* : Appels d'offres d'innovation ouverts dans la filière.</w:t>
      </w:r>
    </w:p>
    <w:p>
      <w:pPr>
        <w:pStyle w:val="ListBullet"/>
      </w:pPr>
      <w:r>
        <w:t>*Indice de Dynamique* : Taux d'engagement de l'écosystème dans les 30 derniers jours.</w:t>
      </w:r>
    </w:p>
    <w:p>
      <w:pPr>
        <w:pStyle w:val="ListBullet"/>
      </w:pPr>
      <w:r/>
      <w:r>
        <w:rPr>
          <w:b/>
        </w:rPr>
        <w:t>Funnel d'Animation Régionale (Conversion de valeur)</w:t>
      </w:r>
      <w:r>
        <w:t xml:space="preserve"> : Mesure physique et continue du parcours des acteurs :</w:t>
      </w:r>
    </w:p>
    <w:p>
      <w:pPr>
        <w:pStyle w:val="ListBullet"/>
      </w:pPr>
      <w:r>
        <w:t>*Participants* : Acteurs ayant participé à une activité collective, un atelier, un webinaire ou une action d’animation.</w:t>
      </w:r>
    </w:p>
    <w:p>
      <w:pPr>
        <w:pStyle w:val="ListBullet"/>
      </w:pPr>
      <w:r>
        <w:t>*Diagnostics* : Bénéficiaires ayant complété un diagnostic de maturité ou d’évaluation.</w:t>
      </w:r>
    </w:p>
    <w:p>
      <w:pPr>
        <w:pStyle w:val="ListBullet"/>
      </w:pPr>
      <w:r>
        <w:t>*Services* : Services ou accompagnements effectivement délivrés.</w:t>
      </w:r>
    </w:p>
    <w:p>
      <w:pPr>
        <w:pStyle w:val="ListBullet"/>
      </w:pPr>
      <w:r>
        <w:t>*Financements* : Opportunités, aides ou subsides connectés à un bénéficiaire, projet ou parcours.</w:t>
      </w:r>
    </w:p>
    <w:p>
      <w:pPr>
        <w:pStyle w:val="ListBullet"/>
      </w:pPr>
      <w:r>
        <w:t>*Projets* : Projets collaboratifs, R&amp;D ou transformation lancés.</w:t>
      </w:r>
    </w:p>
    <w:p>
      <w:pPr>
        <w:pStyle w:val="ListBullet"/>
      </w:pPr>
      <w:r>
        <w:t>*Outcomes* : Résultats ou impacts qualifiés, idéalement rattachés à une preuve validée.</w:t>
      </w:r>
    </w:p>
    <w:p>
      <w:pPr>
        <w:pStyle w:val="ListBullet"/>
      </w:pPr>
      <w:r>
        <w:t>*Mention clé* : Le funnel d'animation mesure la conversion de l’animation territoriale en valeur opérationnelle et en impact mesurable.</w:t>
      </w:r>
    </w:p>
    <w:p>
      <w:pPr>
        <w:pStyle w:val="Heading4"/>
      </w:pPr>
      <w:r>
        <w:t>B. Modules Fonctionnels</w:t>
      </w:r>
    </w:p>
    <w:p>
      <w:pPr>
        <w:pStyle w:val="ListNumber"/>
      </w:pPr>
      <w:r/>
      <w:r>
        <w:rPr>
          <w:b/>
        </w:rPr>
        <w:t>Activités &amp; événements (`/activities`)</w:t>
      </w:r>
      <w:r>
        <w:t xml:space="preserve"> : Organisation et pilotage des actions d'animation collective (ateliers, séminaires, visites d'entreprises).</w:t>
      </w:r>
    </w:p>
    <w:p>
      <w:r>
        <w:t xml:space="preserve">2. </w:t>
      </w:r>
      <w:r>
        <w:rPr>
          <w:b/>
        </w:rPr>
        <w:t>Communautés (`/communities`)</w:t>
      </w:r>
      <w:r>
        <w:t xml:space="preserve"> : Espaces de pilotage par communauté thématique (composition, rôles et groupes de travail).</w:t>
        <w:br/>
      </w:r>
    </w:p>
    <w:p>
      <w:r>
        <w:t xml:space="preserve">3. </w:t>
      </w:r>
      <w:r>
        <w:rPr>
          <w:b/>
        </w:rPr>
        <w:t>Défis d’écosystème (`/ecosystem-challenges`)</w:t>
      </w:r>
      <w:r>
        <w:t xml:space="preserve"> : Registre de qualification des verrous collectifs territoriaux rattachés aux filières S3 et communautés.</w:t>
        <w:br/>
      </w:r>
    </w:p>
    <w:p>
      <w:r>
        <w:t xml:space="preserve">4. </w:t>
      </w:r>
      <w:r>
        <w:rPr>
          <w:b/>
        </w:rPr>
        <w:t>Consortiums (`/consortia`)</w:t>
      </w:r>
      <w:r>
        <w:t xml:space="preserve"> : Suivi des groupements R&amp;D formés pour répondre à des appels.</w:t>
        <w:br/>
      </w:r>
    </w:p>
    <w:p>
      <w:r>
        <w:t xml:space="preserve">5. </w:t>
      </w:r>
      <w:r>
        <w:rPr>
          <w:b/>
        </w:rPr>
        <w:t>Projets (`/projects`)</w:t>
      </w:r>
      <w:r>
        <w:t xml:space="preserve"> : Suivi des projets collaboratifs financés ou labellisés.</w:t>
        <w:br/>
      </w:r>
    </w:p>
    <w:p>
      <w:r>
        <w:t xml:space="preserve">6. </w:t>
      </w:r>
      <w:r>
        <w:rPr>
          <w:b/>
        </w:rPr>
        <w:t>Justificatifs &amp; preuves d’impact (`/evidences`)</w:t>
      </w:r>
      <w:r>
        <w:t xml:space="preserve"> : Interface de suivi et de validation des justificatifs métier et preuves d’impact liés aux activités, services, diagnostics, projets ou outcomes. L’audit technique reste séparé et relève de la gouvernance.</w:t>
        <w:br/>
      </w:r>
    </w:p>
    <w:p>
      <w:r>
        <w:t xml:space="preserve">7. </w:t>
      </w:r>
      <w:r>
        <w:rPr>
          <w:b/>
        </w:rPr>
        <w:t>Affiliations &amp; membres (`/members`)</w:t>
      </w:r>
      <w:r>
        <w:t xml:space="preserve"> : gestion des relations d’appartenance entre une organisation et une communauté, un programme, un consortium ou un cluster. Un membre n’est pas une entité isolée : il représente une relation d’affiliation entre un acteur territorial et un collectif.</w:t>
        <w:br/>
      </w:r>
    </w:p>
    <w:p>
      <w:pPr>
        <w:pStyle w:val="Heading3"/>
      </w:pPr>
      <w:r>
        <w:t>🤝 3.2 Workspace Conseiller</w:t>
      </w:r>
    </w:p>
    <w:p>
      <w:r/>
      <w:r>
        <w:rPr>
          <w:b/>
        </w:rPr>
        <w:t>Persona cible : Conseiller technologique ou d'affaires (EDIH, Wallonie Entreprendre, AdN, AWEX, UCM...)</w:t>
      </w:r>
      <w:r>
        <w:br/>
      </w:r>
    </w:p>
    <w:p>
      <w:r>
        <w:t>Ce workspace fournit une boîte à outils individuelle pour gérer un portefeuille d'entreprises, réaliser des diagnostics sémantiques, planifier des parcours de transition et formuler des recommandations automatiques.</w:t>
        <w:br/>
      </w:r>
    </w:p>
    <w:p>
      <w:pPr>
        <w:pStyle w:val="Heading4"/>
      </w:pPr>
      <w:r>
        <w:t>A. Tableau de Bord (Dashboard)</w:t>
      </w:r>
    </w:p>
    <w:p>
      <w:pPr>
        <w:pStyle w:val="ListBullet"/>
      </w:pPr>
      <w:r/>
      <w:r>
        <w:rPr>
          <w:b/>
        </w:rPr>
        <w:t>Portefeuille de Bénéficiaires</w:t>
      </w:r>
      <w:r>
        <w:t xml:space="preserve"> : Accès direct à l'annuaire filtrable des structures sous sa responsabilité.</w:t>
      </w:r>
    </w:p>
    <w:p>
      <w:pPr>
        <w:pStyle w:val="ListBullet"/>
      </w:pPr>
      <w:r/>
      <w:r>
        <w:rPr>
          <w:b/>
        </w:rPr>
        <w:t>Indicateurs Métiers</w:t>
      </w:r>
      <w:r>
        <w:t xml:space="preserve"> :</w:t>
      </w:r>
    </w:p>
    <w:p>
      <w:pPr>
        <w:pStyle w:val="ListBullet"/>
      </w:pPr>
      <w:r>
        <w:t>*Bénéficiaires accompagnés* : Nombre total de dossiers actifs suivis par le conseiller.</w:t>
      </w:r>
    </w:p>
    <w:p>
      <w:pPr>
        <w:pStyle w:val="ListBullet"/>
      </w:pPr>
      <w:r>
        <w:t>*Services délivrés* : Volume d'accompagnements individuels réalisés.</w:t>
      </w:r>
    </w:p>
    <w:p>
      <w:pPr>
        <w:pStyle w:val="ListBullet"/>
      </w:pPr>
      <w:r>
        <w:t>*Parcours complétés* : Taux d'achèvement des feuilles de route d'innovation enrôlées.</w:t>
      </w:r>
    </w:p>
    <w:p>
      <w:pPr>
        <w:pStyle w:val="ListBullet"/>
      </w:pPr>
      <w:r>
        <w:t>*Subsidies mobilisés (€)* : Volume de financements sécurisés pour son portefeuille.</w:t>
      </w:r>
    </w:p>
    <w:p>
      <w:pPr>
        <w:pStyle w:val="Heading4"/>
      </w:pPr>
      <w:r>
        <w:t>B. Modules Fonctionnels</w:t>
      </w:r>
    </w:p>
    <w:p>
      <w:pPr>
        <w:pStyle w:val="ListNumber"/>
      </w:pPr>
      <w:r/>
      <w:r>
        <w:rPr>
          <w:b/>
        </w:rPr>
        <w:t>Bénéficiaires 360 (`/beneficiaries`)</w:t>
      </w:r>
      <w:r>
        <w:t xml:space="preserve"> : Fiche d'identité sémantique consolidée du bénéficiaire :</w:t>
      </w:r>
    </w:p>
    <w:p>
      <w:pPr>
        <w:pStyle w:val="ListBullet"/>
      </w:pPr>
      <w:r>
        <w:t>*Données administratives* : Provenance (BCE), code NACE, effectifs (ETP) et chiffre d'affaires. Les champs officiels BCE sont verrouillés (non modifiables manuellement) pour préserver l'intégrité de la source d'autorité.</w:t>
      </w:r>
    </w:p>
    <w:p>
      <w:pPr>
        <w:pStyle w:val="ListBullet"/>
      </w:pPr>
      <w:r>
        <w:t>*Contacts rattachés* : Liste des interlocuteurs physiques identifiés, spécifiant le contact principal.</w:t>
      </w:r>
    </w:p>
    <w:p>
      <w:pPr>
        <w:pStyle w:val="ListBullet"/>
      </w:pPr>
      <w:r>
        <w:t>*Diagnostics de Maturité* : Scores de maturité issus des diagnostics (DMAT numérique/cyber/durabilité, DMAT IA) sous forme de sliders et radar dynamique sur 5 axes.</w:t>
      </w:r>
    </w:p>
    <w:p>
      <w:pPr>
        <w:pStyle w:val="ListBullet"/>
      </w:pPr>
      <w:r>
        <w:t>*Timeline 360°* : Historique complet et chronologique des interactions, services reçus et projets.</w:t>
      </w:r>
    </w:p>
    <w:p>
      <w:pPr>
        <w:pStyle w:val="ListBullet"/>
      </w:pPr>
      <w:r>
        <w:t>*Archivage logique* : Soft Delete (statut `ARCHIVED` au lieu d'une suppression physique) pour conserver l'historique dans le graphe.</w:t>
      </w:r>
    </w:p>
    <w:p>
      <w:r>
        <w:t xml:space="preserve">2. </w:t>
      </w:r>
      <w:r>
        <w:rPr>
          <w:b/>
        </w:rPr>
        <w:t>Services CPSV (`/services`)</w:t>
      </w:r>
      <w:r>
        <w:t xml:space="preserve"> : Catalogue régional structuré des aides d'accompagnement disponibles. Permet de filtrer par canal (web, présentiel), public cible et tarification (prix nominal vs aide d'État).</w:t>
        <w:br/>
      </w:r>
    </w:p>
    <w:p>
      <w:r>
        <w:t xml:space="preserve">3. </w:t>
      </w:r>
      <w:r>
        <w:rPr>
          <w:b/>
        </w:rPr>
        <w:t>Parcours d'accompagnement (`/journeys`)</w:t>
      </w:r>
      <w:r>
        <w:t xml:space="preserve"> : Enrôlement des bénéficiaires dans des modèles de parcours types (ex: diagnostic initial ➔ audit de cybersécurité ➔ PoC technologique).</w:t>
        <w:br/>
      </w:r>
    </w:p>
    <w:p>
      <w:r>
        <w:t xml:space="preserve">4. </w:t>
      </w:r>
      <w:r>
        <w:rPr>
          <w:b/>
        </w:rPr>
        <w:t>Moteur de Matchmaking — Démonstrateur / à valider métier (`/recommender`)</w:t>
      </w:r>
      <w:r>
        <w:t xml:space="preserve"> : Le moteur de match constitue actuellement une fonctionnalité de démonstration permettant d’illustrer comment les diagnostics, défis déclarés et profils de bénéficiaires peuvent orienter vers des services CPSV, appels à projets ou experts pertinents. Les règles de recommandation doivent être validées avec les métiers avant industrialisation.</w:t>
        <w:br/>
      </w:r>
    </w:p>
    <w:p>
      <w:pPr>
        <w:pStyle w:val="Heading3"/>
      </w:pPr>
      <w:r>
        <w:t>🏢 3.3 Workspace Entreprise `[Cible vNext]`</w:t>
      </w:r>
    </w:p>
    <w:p>
      <w:r/>
      <w:r>
        <w:rPr>
          <w:b/>
        </w:rPr>
        <w:t>Persona cible : Dirigeant de PME, Fondateur de Startup, Responsable de Centre de Recherche ou d'ASBL</w:t>
      </w:r>
      <w:r>
        <w:br/>
      </w:r>
    </w:p>
    <w:p>
      <w:r>
        <w:t>Ce workspace constitue une cible vNext de portail en libre-service destiné aux bénéficiaires finaux. Il illustre la trajectoire souhaitée : permettre à une PME, startup, ASBL, commune ou centre de recherche de visualiser son parcours, déclarer ses besoins et suivre ses services.</w:t>
        <w:br/>
      </w:r>
    </w:p>
    <w:p>
      <w:pPr>
        <w:pStyle w:val="Heading4"/>
      </w:pPr>
      <w:r>
        <w:t>A. Tableau de Bord ("Mon Espace Innovation")</w:t>
      </w:r>
    </w:p>
    <w:p>
      <w:pPr>
        <w:pStyle w:val="ListBullet"/>
      </w:pPr>
      <w:r/>
      <w:r>
        <w:rPr>
          <w:b/>
        </w:rPr>
        <w:t>Identité Économique</w:t>
      </w:r>
      <w:r>
        <w:t xml:space="preserve"> : En-tête dynamique résumant le profil (nom, type de structure, localisation, secteur NACE principal).</w:t>
      </w:r>
    </w:p>
    <w:p>
      <w:pPr>
        <w:pStyle w:val="ListBullet"/>
      </w:pPr>
      <w:r/>
      <w:r>
        <w:rPr>
          <w:b/>
        </w:rPr>
        <w:t>Badges de Maturité</w:t>
      </w:r>
      <w:r>
        <w:t xml:space="preserve"> : Visualisation claire et simplifiée des scores DMAT de transition (Numérique, Cyber, IA...).</w:t>
      </w:r>
    </w:p>
    <w:p>
      <w:pPr>
        <w:pStyle w:val="ListBullet"/>
      </w:pPr>
      <w:r/>
      <w:r>
        <w:rPr>
          <w:b/>
        </w:rPr>
        <w:t>Frise du Parcours (Journey Progress)</w:t>
      </w:r>
      <w:r>
        <w:t xml:space="preserve"> : Ligne du temps interactive présentant les étapes franchies (ex: Diagnostic Cyber complété), l'étape active actuelle (ex: Implémentation du projet IA) et les étapes futures planifiées.</w:t>
      </w:r>
    </w:p>
    <w:p>
      <w:pPr>
        <w:pStyle w:val="Heading4"/>
      </w:pPr>
      <w:r>
        <w:t>B. Modules Fonctionnels</w:t>
      </w:r>
    </w:p>
    <w:p>
      <w:pPr>
        <w:pStyle w:val="ListNumber"/>
      </w:pPr>
      <w:r/>
      <w:r>
        <w:rPr>
          <w:b/>
        </w:rPr>
        <w:t>Mes Défis</w:t>
      </w:r>
      <w:r>
        <w:t xml:space="preserve"> : Outil de déclaration directe de verrous d'affaires ou technologiques. La soumission d'un défi alerte immédiatement le conseiller attitré.</w:t>
      </w:r>
    </w:p>
    <w:p>
      <w:r>
        <w:t xml:space="preserve">2. </w:t>
      </w:r>
      <w:r>
        <w:rPr>
          <w:b/>
        </w:rPr>
        <w:t>Mes Services</w:t>
      </w:r>
      <w:r>
        <w:t xml:space="preserve"> : Suivi des livraisons de services en cours, planification des rendez-vous et dépôt des livrables requis.</w:t>
        <w:br/>
      </w:r>
    </w:p>
    <w:p>
      <w:r>
        <w:t xml:space="preserve">3. </w:t>
      </w:r>
      <w:r>
        <w:rPr>
          <w:b/>
        </w:rPr>
        <w:t>Recommandations Personnalisées</w:t>
      </w:r>
      <w:r>
        <w:t xml:space="preserve"> : Suggestions ciblées de l'IA (services d'aide, appels à projets d'innovation ouverts comme le "Tremplin IA", experts qualifiés comme le CETIC ou Sirris).</w:t>
        <w:br/>
      </w:r>
    </w:p>
    <w:p>
      <w:pPr>
        <w:pStyle w:val="Heading3"/>
      </w:pPr>
      <w:r>
        <w:t>📊 3.4 Cockpit Exécutif (DG) `[Démonstrateur / Cible vNext selon les modules]`</w:t>
      </w:r>
    </w:p>
    <w:p>
      <w:r/>
      <w:r>
        <w:rPr>
          <w:b/>
        </w:rPr>
        <w:t>Persona cible : Directeur de Pôle, Cabinet ministériel, Gestionnaire de programme de l'Administration (SPW)</w:t>
      </w:r>
      <w:r>
        <w:br/>
      </w:r>
    </w:p>
    <w:p>
      <w:r>
        <w:t>Le cockpit exécutif consolide les informations utiles au pilotage stratégique. Certaines vues peuvent être disponibles en démonstrateur, tandis que les capacités complètes d’analyse ROI, de lignage stratégique et de simulation relèvent de la cible vNext.</w:t>
        <w:br/>
      </w:r>
    </w:p>
    <w:p>
      <w:r>
        <w:t>&gt; [!NOTE]</w:t>
        <w:br/>
      </w:r>
    </w:p>
    <w:p>
      <w:r>
        <w:t>&gt; Cette vue consolide les données validées issues des services, projets, preuves et outcomes. Les modifications de premier niveau sont désactivées en production pour ces profils décisionnels.</w:t>
        <w:br/>
      </w:r>
    </w:p>
    <w:p>
      <w:pPr>
        <w:pStyle w:val="Heading4"/>
      </w:pPr>
      <w:r>
        <w:t>A. Tableau de Bord &amp; Analyse d'Impact</w:t>
      </w:r>
    </w:p>
    <w:p>
      <w:pPr>
        <w:pStyle w:val="ListBullet"/>
      </w:pPr>
      <w:r/>
      <w:r>
        <w:rPr>
          <w:b/>
        </w:rPr>
        <w:t>Budget engagé (€)</w:t>
      </w:r>
      <w:r>
        <w:t xml:space="preserve"> : Sommes cumulées allouées à travers les programmes et instruments financiers régionaux.</w:t>
      </w:r>
    </w:p>
    <w:p>
      <w:pPr>
        <w:pStyle w:val="ListBullet"/>
      </w:pPr>
      <w:r/>
      <w:r>
        <w:rPr>
          <w:b/>
        </w:rPr>
        <w:t>Taux de conversion</w:t>
      </w:r>
      <w:r>
        <w:t xml:space="preserve"> : Efficacité de la conversion des consortiums créés en projets de R&amp;D actifs.</w:t>
      </w:r>
    </w:p>
    <w:p>
      <w:pPr>
        <w:pStyle w:val="ListBullet"/>
      </w:pPr>
      <w:r/>
      <w:r>
        <w:rPr>
          <w:b/>
        </w:rPr>
        <w:t>Indicateurs d'impact territorial</w:t>
      </w:r>
      <w:r>
        <w:t xml:space="preserve"> : Emplois nets créés (ETP), Tonnes de CO2 évitées, Chiffre d'affaires additionnel généré, Hausse moyenne de la maturité technologique.</w:t>
      </w:r>
    </w:p>
    <w:p>
      <w:pPr>
        <w:pStyle w:val="Heading4"/>
      </w:pPr>
      <w:r>
        <w:t>B. Modules Fonctionnels</w:t>
      </w:r>
    </w:p>
    <w:p>
      <w:pPr>
        <w:pStyle w:val="ListNumber"/>
      </w:pPr>
      <w:r/>
      <w:r>
        <w:rPr>
          <w:b/>
        </w:rPr>
        <w:t>Missions &amp; Roadmaps (`/strategic`)</w:t>
      </w:r>
      <w:r>
        <w:t xml:space="preserve"> : Pilotage du cadre stratégique wallon (Missions, Roadmaps et objectifs de performance).</w:t>
      </w:r>
    </w:p>
    <w:p>
      <w:r>
        <w:t xml:space="preserve">2. </w:t>
      </w:r>
      <w:r>
        <w:rPr>
          <w:b/>
        </w:rPr>
        <w:t>Politiques Publiques (`/strategic-frameworks`)</w:t>
      </w:r>
      <w:r>
        <w:t xml:space="preserve"> : Alignement sur les grands cadres européens et wallons (Smart Specialisation Strategy S3, Plan de Relance, Digital Wallonia).</w:t>
        <w:br/>
      </w:r>
    </w:p>
    <w:p>
      <w:r>
        <w:t xml:space="preserve">3. </w:t>
      </w:r>
      <w:r>
        <w:rPr>
          <w:b/>
        </w:rPr>
        <w:t>Gap Analysis (`/gap-analysis`)</w:t>
      </w:r>
      <w:r>
        <w:t xml:space="preserve"> : Outil cartographique mettant en évidence les déséquilibres du territoire.</w:t>
        <w:br/>
      </w:r>
    </w:p>
    <w:p>
      <w:r>
        <w:t xml:space="preserve">4. </w:t>
      </w:r>
      <w:r>
        <w:rPr>
          <w:b/>
        </w:rPr>
        <w:t>Vue Preuves &amp; Impacts (Registre Stratégique)</w:t>
      </w:r>
      <w:r>
        <w:t xml:space="preserve"> : Consultation des projets financés, des outcomes livrés et des preuves physiques associées.</w:t>
        <w:br/>
      </w:r>
    </w:p>
    <w:p>
      <w:r>
        <w:t xml:space="preserve">5. </w:t>
      </w:r>
      <w:r>
        <w:rPr>
          <w:b/>
        </w:rPr>
        <w:t>Lignage Stratégique S3 (Lineage Trace Visualizer)</w:t>
      </w:r>
      <w:r>
        <w:t xml:space="preserve"> : Outil graphique interactif traçant à l'écran la chaîne de valeur ascendante/descendante reliant chaque preuve physique à l'objectif de politique publique original.</w:t>
        <w:br/>
      </w:r>
    </w:p>
    <w:p>
      <w:pPr>
        <w:pStyle w:val="Heading3"/>
      </w:pPr>
      <w:r>
        <w:t>🔮 3.5 Workspace Interopérabilité</w:t>
      </w:r>
    </w:p>
    <w:p>
      <w:r/>
      <w:r>
        <w:rPr>
          <w:b/>
        </w:rPr>
        <w:t>Persona cible : Architecte IT, Data Steward, Administrateur système</w:t>
      </w:r>
      <w:r>
        <w:br/>
      </w:r>
    </w:p>
    <w:p>
      <w:r>
        <w:t>Espace technique dédié au monitoring de la qualité des données, à la configuration des connecteurs et à la publication du catalogue de données régional.</w:t>
        <w:br/>
      </w:r>
    </w:p>
    <w:p>
      <w:pPr>
        <w:pStyle w:val="Heading4"/>
      </w:pPr>
      <w:r>
        <w:t>A. Tableau de Bord de Santé du Graphe</w:t>
      </w:r>
    </w:p>
    <w:p>
      <w:pPr>
        <w:pStyle w:val="ListBullet"/>
      </w:pPr>
      <w:r/>
      <w:r>
        <w:rPr>
          <w:b/>
        </w:rPr>
        <w:t>Qualité des métadonnées</w:t>
      </w:r>
      <w:r>
        <w:t xml:space="preserve"> : Taux d'entités disposant d'un identifiant sémantique global (URI) valide.</w:t>
      </w:r>
    </w:p>
    <w:p>
      <w:pPr>
        <w:pStyle w:val="ListBullet"/>
      </w:pPr>
      <w:r/>
      <w:r>
        <w:rPr>
          <w:b/>
        </w:rPr>
        <w:t>Taille du Graphe</w:t>
      </w:r>
      <w:r>
        <w:t xml:space="preserve"> : Nombre total de nœuds (entités) et d'arêtes (relations) indexés dans le référentiel.</w:t>
      </w:r>
    </w:p>
    <w:p>
      <w:pPr>
        <w:pStyle w:val="ListBullet"/>
      </w:pPr>
      <w:r/>
      <w:r>
        <w:rPr>
          <w:b/>
        </w:rPr>
        <w:t>Statut de Synchronisation</w:t>
      </w:r>
      <w:r>
        <w:t xml:space="preserve"> : Rapport de santé et logs des jobs automatiques d'importation depuis les systèmes d'autorité externes (BCE, CRM partenaires).</w:t>
      </w:r>
    </w:p>
    <w:p>
      <w:pPr>
        <w:pStyle w:val="Heading4"/>
      </w:pPr>
      <w:r>
        <w:t>B. Modules Fonctionnels</w:t>
      </w:r>
    </w:p>
    <w:p>
      <w:pPr>
        <w:pStyle w:val="ListNumber"/>
      </w:pPr>
      <w:r/>
      <w:r>
        <w:rPr>
          <w:b/>
        </w:rPr>
        <w:t>Sources de données (`/interoperability`)</w:t>
      </w:r>
      <w:r>
        <w:t xml:space="preserve"> : Enregistrement et configuration des systèmes de référence partenaires (SoR). Définition de la fréquence de synchronisation, de l'endpoint d'API et du niveau de confiance (indice de qualité).</w:t>
      </w:r>
    </w:p>
    <w:p>
      <w:r>
        <w:t xml:space="preserve">2. </w:t>
      </w:r>
      <w:r>
        <w:rPr>
          <w:b/>
        </w:rPr>
        <w:t>Mappings (`/interoperability?tab=mappings`)</w:t>
      </w:r>
      <w:r>
        <w:t xml:space="preserve"> : Configuration visuelle des mappings reliant les champs des bases sources à l'ontologie cible (ex: mapper le numéro d'entreprise de la base BCE vers la propriété `dct:identifier` de la classe `d4wmo:Beneficiary`).</w:t>
        <w:br/>
      </w:r>
    </w:p>
    <w:p>
      <w:r>
        <w:t xml:space="preserve">3. </w:t>
      </w:r>
      <w:r>
        <w:rPr>
          <w:b/>
        </w:rPr>
        <w:t>Datasets — Cible vNext (`/marketplace`)</w:t>
      </w:r>
      <w:r>
        <w:t xml:space="preserve"> : La marketplace de données constitue une trajectoire vNext visant à structurer progressivement les datasets, leurs métadonnées, leurs conditions d’accès et leurs points de publication selon DCAT-AP.</w:t>
        <w:br/>
      </w:r>
    </w:p>
    <w:p>
      <w:r>
        <w:t xml:space="preserve">4. </w:t>
      </w:r>
      <w:r>
        <w:rPr>
          <w:b/>
        </w:rPr>
        <w:t>Qualité des données (`/interoperability/quality`)</w:t>
      </w:r>
      <w:r>
        <w:t xml:space="preserve"> : Tableau de bord de vérification de la qualité selon les 9 dimensions fondamentales.</w:t>
        <w:br/>
      </w:r>
    </w:p>
    <w:p>
      <w:r>
        <w:t xml:space="preserve">5. </w:t>
      </w:r>
      <w:r>
        <w:rPr>
          <w:b/>
        </w:rPr>
        <w:t>API &amp; exports — Prototype / vNext pour les exports avancés (`/interoperability/api-exports`)</w:t>
      </w:r>
      <w:r>
        <w:t xml:space="preserve"> : Les capacités d’exposition et d’export sont progressives. Certains exports ou endpoints peuvent être disponibles en prototype ou démonstrateur. Les exports NGSI-LD industrialisés, l’exposition RDF/SPARQL complète et les connecteurs avancés relèvent de la cible vNext.</w:t>
        <w:br/>
      </w:r>
    </w:p>
    <w:p>
      <w:pPr>
        <w:pStyle w:val="Heading2"/>
      </w:pPr>
      <w:r>
        <w:t>⛓️ 4. Les 9 Dimensions de Qualité des Données</w:t>
      </w:r>
    </w:p>
    <w:p>
      <w:r>
        <w:t>La qualité des données est évaluée pour garantir que les données territoriales sont utilisables, compréhensibles, fiables, traçables et adaptées aux usages de pilotage, d’interopérabilité et de recommandation.</w:t>
        <w:br/>
      </w:r>
    </w:p>
    <w:p>
      <w:pPr>
        <w:pStyle w:val="ListNumber"/>
      </w:pPr>
      <w:r/>
      <w:r>
        <w:rPr>
          <w:b/>
        </w:rPr>
        <w:t>Complétude</w:t>
      </w:r>
      <w:r>
        <w:t xml:space="preserve"> : Taux de présence des informations obligatoires (ex: code NACE principal, n° BCE, contacts principal).</w:t>
      </w:r>
    </w:p>
    <w:p>
      <w:r>
        <w:t xml:space="preserve">2. </w:t>
      </w:r>
      <w:r>
        <w:rPr>
          <w:b/>
        </w:rPr>
        <w:t>Précision</w:t>
      </w:r>
      <w:r>
        <w:t xml:space="preserve"> : Exactitude des informations géographiques (province, arrondissement) et des classifications d'affaires.</w:t>
        <w:br/>
      </w:r>
    </w:p>
    <w:p>
      <w:r>
        <w:t xml:space="preserve">3. </w:t>
      </w:r>
      <w:r>
        <w:rPr>
          <w:b/>
        </w:rPr>
        <w:t>Conformité</w:t>
      </w:r>
      <w:r>
        <w:t xml:space="preserve"> : Respect des schémas sémantiques définis par l'Union Européenne (CPSV-AP, DCAT-AP).</w:t>
        <w:br/>
      </w:r>
    </w:p>
    <w:p>
      <w:r>
        <w:t xml:space="preserve">4. </w:t>
      </w:r>
      <w:r>
        <w:rPr>
          <w:b/>
        </w:rPr>
        <w:t>Unicité</w:t>
      </w:r>
      <w:r>
        <w:t xml:space="preserve"> : Non-duplication des organisations territoriales assurée par des URIs sémantiques uniques (`semanticId`).</w:t>
        <w:br/>
      </w:r>
    </w:p>
    <w:p>
      <w:r>
        <w:t xml:space="preserve">5. </w:t>
      </w:r>
      <w:r>
        <w:rPr>
          <w:b/>
        </w:rPr>
        <w:t>Cohérence</w:t>
      </w:r>
      <w:r>
        <w:t xml:space="preserve"> : Solidité logique des liens (ex: pas d'accompagnement ou d'outcome sans justificatif d'accompagnement).</w:t>
        <w:br/>
      </w:r>
    </w:p>
    <w:p>
      <w:r>
        <w:t xml:space="preserve">6. </w:t>
      </w:r>
      <w:r>
        <w:rPr>
          <w:b/>
        </w:rPr>
        <w:t>Fraîcheur</w:t>
      </w:r>
      <w:r>
        <w:t xml:space="preserve"> : Délai depuis la dernière mise à jour système depuis les référentiels d'autorité.</w:t>
        <w:br/>
      </w:r>
    </w:p>
    <w:p>
      <w:r>
        <w:t xml:space="preserve">7. </w:t>
      </w:r>
      <w:r>
        <w:rPr>
          <w:b/>
        </w:rPr>
        <w:t>Traçabilité</w:t>
      </w:r>
      <w:r>
        <w:t xml:space="preserve"> : Présence des métadonnées de provenance d'origine (`DataSourceMetadata`).</w:t>
        <w:br/>
      </w:r>
    </w:p>
    <w:p>
      <w:r>
        <w:t xml:space="preserve">8. </w:t>
      </w:r>
      <w:r>
        <w:rPr>
          <w:b/>
        </w:rPr>
        <w:t>Clarté</w:t>
      </w:r>
      <w:r>
        <w:t xml:space="preserve"> : Explication et documentation textuelle des taxonomies transversales utilisées (ex: DR-BEST).</w:t>
        <w:br/>
      </w:r>
    </w:p>
    <w:p>
      <w:r>
        <w:t xml:space="preserve">9. </w:t>
      </w:r>
      <w:r>
        <w:rPr>
          <w:b/>
        </w:rPr>
        <w:t>Disponibilité</w:t>
      </w:r>
      <w:r>
        <w:t xml:space="preserve"> : Taux de bon fonctionnement et d'accessibilité aux endpoints d'intégration de données.</w:t>
        <w:br/>
      </w:r>
    </w:p>
    <w:p>
      <w:pPr>
        <w:pStyle w:val="Heading2"/>
      </w:pPr>
      <w:r>
        <w:t>🔗 5. Interconnexions et Flux de Données Sémantiques</w:t>
      </w:r>
    </w:p>
    <w:p>
      <w:r>
        <w:t>Les workspaces interagissent de manière dynamique par l'intermédiaire de trois flux logiques transversaux :</w:t>
        <w:br/>
      </w:r>
    </w:p>
    <w:p>
      <w:pPr>
        <w:pStyle w:val="Heading3"/>
      </w:pPr>
      <w:r>
        <w:t>5.1 Flux 1 : De la Décision Politique au Terrain (Top-Down Alignment)</w:t>
      </w:r>
    </w:p>
    <w:p>
      <w:r>
        <w:t>Ce flux montre comment une directive stratégique se traduit concrètement en accompagnement sur le terrain :</w:t>
        <w:br/>
      </w:r>
    </w:p>
    <w:p>
      <w:pPr>
        <w:pStyle w:val="ListNumber"/>
      </w:pPr>
      <w:r/>
      <w:r>
        <w:rPr>
          <w:b/>
        </w:rPr>
        <w:t>Cabinet Stratégique (Strategic Workspace / Cockpit DG)</w:t>
      </w:r>
      <w:r>
        <w:t xml:space="preserve"> : Définit une priorité S3 régionale et l'associe à un programme d'accompagnement de financement (ex: Audit Cybersécurité).</w:t>
      </w:r>
    </w:p>
    <w:p>
      <w:r>
        <w:t xml:space="preserve">2. </w:t>
      </w:r>
      <w:r>
        <w:rPr>
          <w:b/>
        </w:rPr>
        <w:t>Animateur Écosystème (Animation Workspace)</w:t>
      </w:r>
      <w:r>
        <w:t xml:space="preserve"> : Publie les fiches de services normalisées correspondantes (conforme CPSV-AP) et structure les parcours d'accompagnement types (Journeys).</w:t>
        <w:br/>
      </w:r>
    </w:p>
    <w:p>
      <w:r>
        <w:t xml:space="preserve">3. </w:t>
      </w:r>
      <w:r>
        <w:rPr>
          <w:b/>
        </w:rPr>
        <w:t>Conseiller (Conseiller Workspace)</w:t>
      </w:r>
      <w:r>
        <w:t xml:space="preserve"> : Diagnostics les PMEs de son portefeuille, détecte leurs défis et les enrôle dans le parcours type.</w:t>
        <w:br/>
      </w:r>
    </w:p>
    <w:p>
      <w:pPr>
        <w:pStyle w:val="Heading3"/>
      </w:pPr>
      <w:r>
        <w:t>5.2 Flux 2 : Du Terrain à la Preuve d'Impact (Bottom-Up Lineage)</w:t>
      </w:r>
    </w:p>
    <w:p>
      <w:r>
        <w:t>Ce flux décrit comment les actions individuelles d'une PME remontent sous forme d'impacts pour les décideurs politiques :</w:t>
        <w:br/>
      </w:r>
    </w:p>
    <w:p>
      <w:pPr>
        <w:pStyle w:val="ListNumber"/>
      </w:pPr>
      <w:r/>
      <w:r>
        <w:rPr>
          <w:b/>
        </w:rPr>
        <w:t>PME / Startup (Entreprise Workspace)</w:t>
      </w:r>
      <w:r>
        <w:t xml:space="preserve"> : Déclare un défi technique ou d'affaires.</w:t>
      </w:r>
    </w:p>
    <w:p>
      <w:r>
        <w:t xml:space="preserve">2. </w:t>
      </w:r>
      <w:r>
        <w:rPr>
          <w:b/>
        </w:rPr>
        <w:t>Conseiller (Conseiller Workspace)</w:t>
      </w:r>
      <w:r>
        <w:t xml:space="preserve"> : Réalise un audit d'accompagnement et dépose le rapport justificatif (Evidence - statut `PENDING`).</w:t>
        <w:br/>
      </w:r>
    </w:p>
    <w:p>
      <w:r>
        <w:t xml:space="preserve">3. </w:t>
      </w:r>
      <w:r>
        <w:rPr>
          <w:b/>
        </w:rPr>
        <w:t>Animateur (Animation Workspace)</w:t>
      </w:r>
      <w:r>
        <w:t xml:space="preserve"> : Contrôle et approuve le justificatif métier (Evidence - statut `APPROVED`).</w:t>
        <w:br/>
      </w:r>
    </w:p>
    <w:p>
      <w:r>
        <w:t xml:space="preserve">4. </w:t>
      </w:r>
      <w:r>
        <w:rPr>
          <w:b/>
        </w:rPr>
        <w:t>Knowledge Graph computation</w:t>
      </w:r>
      <w:r>
        <w:t xml:space="preserve"> : Le graphe sémantique met à jour automatiquement la maturité du bénéficiaire, calcule la contribution stratégique et incrémente les KPIs macro territoriaux.</w:t>
        <w:br/>
      </w:r>
    </w:p>
    <w:p>
      <w:r>
        <w:t xml:space="preserve">5. </w:t>
      </w:r>
      <w:r>
        <w:rPr>
          <w:b/>
        </w:rPr>
        <w:t>DG / Cabinet (Cockpit DG)</w:t>
      </w:r>
      <w:r>
        <w:t xml:space="preserve"> : Visualise l'impact en direct relié sémantiquement au document original (Audit Trail).</w:t>
        <w:br/>
      </w:r>
    </w:p>
    <w:p>
      <w:pPr>
        <w:pStyle w:val="Heading3"/>
      </w:pPr>
      <w:r>
        <w:t>5.3 Flux 3 : L'Interopérabilité et la Provenance (Data Governance Pipeline)</w:t>
      </w:r>
    </w:p>
    <w:p>
      <w:r>
        <w:t>Ce flux garantit la conformité des données territoriales et évite les collisions d'écritures :</w:t>
        <w:br/>
      </w:r>
    </w:p>
    <w:p>
      <w:pPr>
        <w:pStyle w:val="ListNumber"/>
      </w:pPr>
      <w:r/>
      <w:r>
        <w:rPr>
          <w:b/>
        </w:rPr>
        <w:t>Harvesting (Data Steward / Interop Workspace)</w:t>
      </w:r>
      <w:r>
        <w:t xml:space="preserve"> : Récupération périodique des bases d'autorité (BCE) au format DCAT-AP.</w:t>
      </w:r>
    </w:p>
    <w:p>
      <w:r>
        <w:t xml:space="preserve">2. </w:t>
      </w:r>
      <w:r>
        <w:rPr>
          <w:b/>
        </w:rPr>
        <w:t>Graphe de Connaissances</w:t>
      </w:r>
      <w:r>
        <w:t xml:space="preserve"> : Enregistrement de l'entité avec métadonnées de provenance (source: BCE, authoritative: true).</w:t>
        <w:br/>
      </w:r>
    </w:p>
    <w:p>
      <w:r>
        <w:t xml:space="preserve">3. </w:t>
      </w:r>
      <w:r>
        <w:rPr>
          <w:b/>
        </w:rPr>
        <w:t>Conseiller (Conseiller Workspace)</w:t>
      </w:r>
      <w:r>
        <w:t xml:space="preserve"> : Fiche Bénéficiaire 360 chargée. Les champs officiels BCE (code NACE, adresse, dénomination) sont verrouillés en modification. Seuls les champs de diagnostic locaux restent éditables.</w:t>
        <w:br/>
      </w:r>
    </w:p>
    <w:p>
      <w:pPr>
        <w:pStyle w:val="Heading2"/>
      </w:pPr>
      <w:r>
        <w:t>🎨 6. Les Vues d'analyse</w:t>
      </w:r>
    </w:p>
    <w:p>
      <w:r>
        <w:t xml:space="preserve">Pour explorer le Territorial Knowledge Graph, l'application intègre un module de </w:t>
      </w:r>
      <w:r>
        <w:rPr>
          <w:b/>
        </w:rPr>
        <w:t>Vues d'analyse</w:t>
      </w:r>
      <w:r>
        <w:t xml:space="preserve"> dans la barre latérale gauche.</w:t>
        <w:br/>
      </w:r>
    </w:p>
    <w:p>
      <w:pPr>
        <w:pStyle w:val="ListNumber"/>
      </w:pPr>
      <w:r/>
      <w:r>
        <w:rPr>
          <w:b/>
        </w:rPr>
        <w:t>Cartographie globale</w:t>
      </w:r>
      <w:r/>
    </w:p>
    <w:p>
      <w:r>
        <w:t xml:space="preserve">   Route : `/graph`</w:t>
        <w:br/>
      </w:r>
    </w:p>
    <w:p>
      <w:r>
        <w:t xml:space="preserve">   Statut : Actif</w:t>
        <w:br/>
      </w:r>
    </w:p>
    <w:p>
      <w:r>
        <w:t xml:space="preserve">   Description :</w:t>
        <w:br/>
      </w:r>
    </w:p>
    <w:p>
      <w:r>
        <w:t xml:space="preserve">   “Visualiser l’ensemble des liens entre acteurs, services, projets, communautés, données, filières et impacts.”</w:t>
        <w:br/>
      </w:r>
    </w:p>
    <w:p>
      <w:r>
        <w:t xml:space="preserve">2. </w:t>
      </w:r>
      <w:r>
        <w:rPr>
          <w:b/>
        </w:rPr>
        <w:t>Stratégie &amp; impacts</w:t>
      </w:r>
      <w:r>
        <w:br/>
      </w:r>
    </w:p>
    <w:p>
      <w:r>
        <w:t xml:space="preserve">   Route : `/strategic`</w:t>
        <w:br/>
      </w:r>
    </w:p>
    <w:p>
      <w:r>
        <w:t xml:space="preserve">   Statut : Actif</w:t>
        <w:br/>
      </w:r>
    </w:p>
    <w:p>
      <w:r>
        <w:t xml:space="preserve">   Description :</w:t>
        <w:br/>
      </w:r>
    </w:p>
    <w:p>
      <w:r>
        <w:t xml:space="preserve">   “Analyser les objectifs, priorités, programmes, KPI, outcomes et contributions aux stratégies régionales.”</w:t>
        <w:br/>
      </w:r>
    </w:p>
    <w:p>
      <w:r>
        <w:t xml:space="preserve">3. </w:t>
      </w:r>
      <w:r>
        <w:rPr>
          <w:b/>
        </w:rPr>
        <w:t>Opérations &amp; suivi</w:t>
      </w:r>
      <w:r>
        <w:br/>
      </w:r>
    </w:p>
    <w:p>
      <w:r>
        <w:t xml:space="preserve">   Route : `/analysis-views/operational`</w:t>
        <w:br/>
      </w:r>
    </w:p>
    <w:p>
      <w:r>
        <w:t xml:space="preserve">   Statut : Prototype</w:t>
        <w:br/>
      </w:r>
    </w:p>
    <w:p>
      <w:r>
        <w:t xml:space="preserve">   Description :</w:t>
        <w:br/>
      </w:r>
    </w:p>
    <w:p>
      <w:r>
        <w:t xml:space="preserve">   “Suivre les activités, diagnostics, missions, services délivrés, financements, projets et preuves à valider.”</w:t>
        <w:br/>
      </w:r>
    </w:p>
    <w:p>
      <w:r>
        <w:t xml:space="preserve">4. </w:t>
      </w:r>
      <w:r>
        <w:rPr>
          <w:b/>
        </w:rPr>
        <w:t>Territoire &amp; écosystèmes</w:t>
      </w:r>
      <w:r>
        <w:br/>
      </w:r>
    </w:p>
    <w:p>
      <w:r>
        <w:t xml:space="preserve">   Route : `/territories`</w:t>
        <w:br/>
      </w:r>
    </w:p>
    <w:p>
      <w:r>
        <w:t xml:space="preserve">   Statut : Actif</w:t>
        <w:br/>
      </w:r>
    </w:p>
    <w:p>
      <w:r>
        <w:t xml:space="preserve">   Description :</w:t>
        <w:br/>
      </w:r>
    </w:p>
    <w:p>
      <w:r>
        <w:t xml:space="preserve">   “Explorer la répartition territoriale des acteurs, communautés, filières, chaînes de valeur et dynamiques locales.”</w:t>
        <w:br/>
      </w:r>
    </w:p>
    <w:p>
      <w:r>
        <w:t xml:space="preserve">5. </w:t>
      </w:r>
      <w:r>
        <w:rPr>
          <w:b/>
        </w:rPr>
        <w:t>Données &amp; interopérabilité</w:t>
      </w:r>
      <w:r>
        <w:br/>
      </w:r>
    </w:p>
    <w:p>
      <w:r>
        <w:t xml:space="preserve">   Route : `/interoperability`</w:t>
        <w:br/>
      </w:r>
    </w:p>
    <w:p>
      <w:r>
        <w:t xml:space="preserve">   Statut : Actif</w:t>
        <w:br/>
      </w:r>
    </w:p>
    <w:p>
      <w:r>
        <w:t xml:space="preserve">   Description :</w:t>
        <w:br/>
      </w:r>
    </w:p>
    <w:p>
      <w:r>
        <w:t xml:space="preserve">   “Analyser les datasets, demandes de données, accords, qualité, interopérabilité, API, DCAT-AP et NGSI-LD.”</w:t>
        <w:br/>
      </w:r>
    </w:p>
    <w:p>
      <w:r>
        <w:t xml:space="preserve">6. </w:t>
      </w:r>
      <w:r>
        <w:rPr>
          <w:b/>
        </w:rPr>
        <w:t>Parcours &amp; transformation</w:t>
      </w:r>
      <w:r>
        <w:br/>
      </w:r>
    </w:p>
    <w:p>
      <w:r>
        <w:t xml:space="preserve">   Route : `/analysis-views/transformation`</w:t>
        <w:br/>
      </w:r>
    </w:p>
    <w:p>
      <w:r>
        <w:t xml:space="preserve">   Statut : Prototype</w:t>
        <w:br/>
      </w:r>
    </w:p>
    <w:p>
      <w:r>
        <w:t xml:space="preserve">   Description :</w:t>
        <w:br/>
      </w:r>
    </w:p>
    <w:p>
      <w:r>
        <w:t xml:space="preserve">   “Suivre les parcours des bénéficiaires, leur maturité, les services consommés, les recommandations et la progression.”</w:t>
        <w:br/>
      </w:r>
    </w:p>
    <w:p>
      <w:r>
        <w:t xml:space="preserve">7. </w:t>
      </w:r>
      <w:r>
        <w:rPr>
          <w:b/>
        </w:rPr>
        <w:t>Résilience territoriale</w:t>
      </w:r>
      <w:r>
        <w:br/>
      </w:r>
    </w:p>
    <w:p>
      <w:r>
        <w:t xml:space="preserve">   Route : `/analysis-views/resilience`</w:t>
        <w:br/>
      </w:r>
    </w:p>
    <w:p>
      <w:r>
        <w:t xml:space="preserve">   Statut : Prototype / Cible vNext</w:t>
        <w:br/>
      </w:r>
    </w:p>
    <w:p>
      <w:r>
        <w:t xml:space="preserve">   Description :</w:t>
        <w:br/>
      </w:r>
    </w:p>
    <w:p>
      <w:r>
        <w:t xml:space="preserve">   “Analyser l’exposition, la vulnérabilité, la capacité d’absorption, d’adaptation et de rebond des acteurs économiques wallons face à différents chocs : crise énergétique, inondation, cybermenace, pandémie ou rupture d’approvisionnement.”</w:t>
        <w:br/>
      </w:r>
    </w:p>
    <w:p>
      <w:pPr>
        <w:pStyle w:val="Heading2"/>
      </w:pPr>
      <w:r>
        <w:t>🛡️ 7. Résilience territoriale — cadre de travail</w:t>
      </w:r>
    </w:p>
    <w:p>
      <w:r>
        <w:t>La PIT ne constitue pas un outil de gestion opérationnelle de crise. Elle constitue un socle informationnel et analytique permettant de mieux préparer les décisions, cibler les aides, identifier les vulnérabilités et mobiliser les services disponibles.</w:t>
        <w:br/>
      </w:r>
    </w:p>
    <w:p>
      <w:r>
        <w:t>La vue Résilience territoriale constitue un cadre de travail et un démonstrateur cible. Elle doit être alimentée progressivement par un cas d’usage validé avec les partenaires, par exemple crise énergétique ou inondation. Les indicateurs, sources de données, règles de scoring et droits d’accès doivent encore être cadrés.</w:t>
        <w:br/>
      </w:r>
    </w:p>
    <w:p>
      <w:r>
        <w:t>Les 5 dimensions d'analyse :</w:t>
        <w:br/>
      </w:r>
    </w:p>
    <w:p>
      <w:pPr>
        <w:pStyle w:val="ListBullet"/>
      </w:pPr>
      <w:r>
        <w:t>Exposition : qui peut être touché ?</w:t>
      </w:r>
    </w:p>
    <w:p>
      <w:pPr>
        <w:pStyle w:val="ListBullet"/>
      </w:pPr>
      <w:r>
        <w:t>Vulnérabilité : quelle serait la gravité de l’impact ?</w:t>
      </w:r>
    </w:p>
    <w:p>
      <w:pPr>
        <w:pStyle w:val="ListBullet"/>
      </w:pPr>
      <w:r>
        <w:t>Capacité d’absorption : combien de temps peut-on tenir ?</w:t>
      </w:r>
    </w:p>
    <w:p>
      <w:pPr>
        <w:pStyle w:val="ListBullet"/>
      </w:pPr>
      <w:r>
        <w:t>Capacité d’adaptation : existe-t-il des alternatives ?</w:t>
      </w:r>
    </w:p>
    <w:p>
      <w:pPr>
        <w:pStyle w:val="ListBullet"/>
      </w:pPr>
      <w:r>
        <w:t>Capacité de rebond : comment revenir à la normale ou se renforcer ?</w:t>
      </w:r>
    </w:p>
    <w:p>
      <w:r>
        <w:t>Les cas d’usage :</w:t>
        <w:br/>
      </w:r>
    </w:p>
    <w:p>
      <w:pPr>
        <w:pStyle w:val="ListBullet"/>
      </w:pPr>
      <w:r>
        <w:t>Crise énergétique</w:t>
      </w:r>
    </w:p>
    <w:p>
      <w:pPr>
        <w:pStyle w:val="ListBullet"/>
      </w:pPr>
      <w:r>
        <w:t>Inondation</w:t>
      </w:r>
    </w:p>
    <w:p>
      <w:pPr>
        <w:pStyle w:val="ListBullet"/>
      </w:pPr>
      <w:r>
        <w:t>Rupture d’approvisionnement</w:t>
      </w:r>
    </w:p>
    <w:p>
      <w:pPr>
        <w:pStyle w:val="ListBullet"/>
      </w:pPr>
      <w:r>
        <w:t>Cybermenace</w:t>
      </w:r>
    </w:p>
    <w:p>
      <w:pPr>
        <w:pStyle w:val="Heading2"/>
      </w:pPr>
      <w:r>
        <w:t>🏆 8. Glossaire Technique &amp; Alignement Sémantique (SEMIC)</w:t>
      </w:r>
    </w:p>
    <w:p>
      <w:r>
        <w:t>Pour garantir l'interopérabilité transfrontalière et fédérale, les entités physiques de la base de données PostgreSQL (Prisma) s'alignent directement sur les vocabulaires contrôlés européens (</w:t>
      </w:r>
      <w:r>
        <w:rPr>
          <w:b/>
        </w:rPr>
        <w:t>SEMIC</w:t>
      </w:r>
      <w:r>
        <w:t>) :</w:t>
        <w:br/>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Entité Physique (Prisma)</w:t>
            </w:r>
          </w:p>
        </w:tc>
        <w:tc>
          <w:tcPr>
            <w:tcW w:type="dxa" w:w="1728"/>
          </w:tcPr>
          <w:p>
            <w:r>
              <w:rPr>
                <w:b/>
              </w:rPr>
              <w:t>Rôle Métier</w:t>
            </w:r>
          </w:p>
        </w:tc>
        <w:tc>
          <w:tcPr>
            <w:tcW w:type="dxa" w:w="1728"/>
          </w:tcPr>
          <w:p>
            <w:r>
              <w:rPr>
                <w:b/>
              </w:rPr>
              <w:t>Standard Européen Cible</w:t>
            </w:r>
          </w:p>
        </w:tc>
        <w:tc>
          <w:tcPr>
            <w:tcW w:type="dxa" w:w="1728"/>
          </w:tcPr>
          <w:p>
            <w:r>
              <w:rPr>
                <w:b/>
              </w:rPr>
              <w:t>Attributs Clés</w:t>
            </w:r>
          </w:p>
        </w:tc>
        <w:tc>
          <w:tcPr>
            <w:tcW w:type="dxa" w:w="1728"/>
          </w:tcPr>
          <w:p>
            <w:r>
              <w:rPr>
                <w:b/>
              </w:rPr>
              <w:t>Relations d'Interconnexion</w:t>
            </w:r>
          </w:p>
        </w:tc>
      </w:tr>
      <w:tr>
        <w:tc>
          <w:tcPr>
            <w:tcW w:type="dxa" w:w="1728"/>
          </w:tcPr>
          <w:p>
            <w:r>
              <w:t>`Beneficiary`</w:t>
            </w:r>
          </w:p>
        </w:tc>
        <w:tc>
          <w:tcPr>
            <w:tcW w:type="dxa" w:w="1728"/>
          </w:tcPr>
          <w:p>
            <w:r>
              <w:t>Fiche d'identité 360° du bénéficiaire d'accompagnement.</w:t>
            </w:r>
          </w:p>
        </w:tc>
        <w:tc>
          <w:tcPr>
            <w:tcW w:type="dxa" w:w="1728"/>
          </w:tcPr>
          <w:p>
            <w:r>
              <w:t>**W3C ORG Ontology**</w:t>
            </w:r>
          </w:p>
        </w:tc>
        <w:tc>
          <w:tcPr>
            <w:tcW w:type="dxa" w:w="1728"/>
          </w:tcPr>
          <w:p>
            <w:r>
              <w:t>`id`, `name`, `bce`, `size` (PME, Startup), `maturityDigital`, `maturityCyber`, `sourceSystem`</w:t>
            </w:r>
          </w:p>
        </w:tc>
        <w:tc>
          <w:tcPr>
            <w:tcW w:type="dxa" w:w="1728"/>
          </w:tcPr>
          <w:p>
            <w:r>
              <w:t>Lié à `Contact` (1:N), `CommunityMembership` (1:N), `ServiceDelivery` (1:N), `Project` (1:N).</w:t>
            </w:r>
          </w:p>
        </w:tc>
      </w:tr>
      <w:tr>
        <w:tc>
          <w:tcPr>
            <w:tcW w:type="dxa" w:w="1728"/>
          </w:tcPr>
          <w:p>
            <w:r>
              <w:t>`Contact`</w:t>
            </w:r>
          </w:p>
        </w:tc>
        <w:tc>
          <w:tcPr>
            <w:tcW w:type="dxa" w:w="1728"/>
          </w:tcPr>
          <w:p>
            <w:r>
              <w:t>Contact humain qualifié rattaché à un bénéficiaire.</w:t>
            </w:r>
          </w:p>
        </w:tc>
        <w:tc>
          <w:tcPr>
            <w:tcW w:type="dxa" w:w="1728"/>
          </w:tcPr>
          <w:p>
            <w:r>
              <w:t>**W3C ORG / FOAF**</w:t>
            </w:r>
          </w:p>
        </w:tc>
        <w:tc>
          <w:tcPr>
            <w:tcW w:type="dxa" w:w="1728"/>
          </w:tcPr>
          <w:p>
            <w:r>
              <w:t>`id`, `name`, `email`, `telephone`, `contactType` (ex: DG, DPO), `isPrimaryContact` (booléen)</w:t>
            </w:r>
          </w:p>
        </w:tc>
        <w:tc>
          <w:tcPr>
            <w:tcW w:type="dxa" w:w="1728"/>
          </w:tcPr>
          <w:p>
            <w:r>
              <w:t>Lié à `Beneficiary` (N:1).</w:t>
            </w:r>
          </w:p>
        </w:tc>
      </w:tr>
      <w:tr>
        <w:tc>
          <w:tcPr>
            <w:tcW w:type="dxa" w:w="1728"/>
          </w:tcPr>
          <w:p>
            <w:r>
              <w:t>`PublicService`</w:t>
            </w:r>
          </w:p>
        </w:tc>
        <w:tc>
          <w:tcPr>
            <w:tcW w:type="dxa" w:w="1728"/>
          </w:tcPr>
          <w:p>
            <w:r>
              <w:t>Offre de service normalisée au standard.</w:t>
            </w:r>
          </w:p>
        </w:tc>
        <w:tc>
          <w:tcPr>
            <w:tcW w:type="dxa" w:w="1728"/>
          </w:tcPr>
          <w:p>
            <w:r>
              <w:t>**CPSV-AP v3.0**</w:t>
            </w:r>
          </w:p>
        </w:tc>
        <w:tc>
          <w:tcPr>
            <w:tcW w:type="dxa" w:w="1728"/>
          </w:tcPr>
          <w:p>
            <w:r>
              <w:t>`id`, `name`, `description`, `code`, `uri` (identifiant unique global)</w:t>
            </w:r>
          </w:p>
        </w:tc>
        <w:tc>
          <w:tcPr>
            <w:tcW w:type="dxa" w:w="1728"/>
          </w:tcPr>
          <w:p>
            <w:r>
              <w:t>Lié à `Cost` (1:N), `Channel` (N:N), `TargetAudience` (N:N), `Ecosystem` (N:N), `Initiative` (N:N).</w:t>
            </w:r>
          </w:p>
        </w:tc>
      </w:tr>
      <w:tr>
        <w:tc>
          <w:tcPr>
            <w:tcW w:type="dxa" w:w="1728"/>
          </w:tcPr>
          <w:p>
            <w:r>
              <w:t>`Cost`</w:t>
            </w:r>
          </w:p>
        </w:tc>
        <w:tc>
          <w:tcPr>
            <w:tcW w:type="dxa" w:w="1728"/>
          </w:tcPr>
          <w:p>
            <w:r>
              <w:t>Modélisation tarifaire d'un service public.</w:t>
            </w:r>
          </w:p>
        </w:tc>
        <w:tc>
          <w:tcPr>
            <w:tcW w:type="dxa" w:w="1728"/>
          </w:tcPr>
          <w:p>
            <w:r>
              <w:t>**CPSV-AP Cost**</w:t>
            </w:r>
          </w:p>
        </w:tc>
        <w:tc>
          <w:tcPr>
            <w:tcW w:type="dxa" w:w="1728"/>
          </w:tcPr>
          <w:p>
            <w:r>
              <w:t>`id`, `name` (ex: Nominal, Aide d'État), `value` (Float), `currency` (EUR), `description`</w:t>
            </w:r>
          </w:p>
        </w:tc>
        <w:tc>
          <w:tcPr>
            <w:tcW w:type="dxa" w:w="1728"/>
          </w:tcPr>
          <w:p>
            <w:r>
              <w:t>Lié à `PublicService` (N:1).</w:t>
            </w:r>
          </w:p>
        </w:tc>
      </w:tr>
      <w:tr>
        <w:tc>
          <w:tcPr>
            <w:tcW w:type="dxa" w:w="1728"/>
          </w:tcPr>
          <w:p>
            <w:r>
              <w:t>`Community`</w:t>
            </w:r>
          </w:p>
        </w:tc>
        <w:tc>
          <w:tcPr>
            <w:tcW w:type="dxa" w:w="1728"/>
          </w:tcPr>
          <w:p>
            <w:r>
              <w:t>Cercle d'animation thématique sectoriel (Gestion de l'écosystème).</w:t>
            </w:r>
          </w:p>
        </w:tc>
        <w:tc>
          <w:tcPr>
            <w:tcW w:type="dxa" w:w="1728"/>
          </w:tcPr>
          <w:p>
            <w:r>
              <w:t>**W3C ORG Organization**</w:t>
            </w:r>
          </w:p>
        </w:tc>
        <w:tc>
          <w:tcPr>
            <w:tcW w:type="dxa" w:w="1728"/>
          </w:tcPr>
          <w:p>
            <w:r>
              <w:t>`id`, `name`, `code`, `description`</w:t>
            </w:r>
          </w:p>
        </w:tc>
        <w:tc>
          <w:tcPr>
            <w:tcW w:type="dxa" w:w="1728"/>
          </w:tcPr>
          <w:p>
            <w:r>
              <w:t>Lié à `CommunityMembership` (1:N), `EcosystemChallenge` (N:N).</w:t>
            </w:r>
          </w:p>
        </w:tc>
      </w:tr>
      <w:tr>
        <w:tc>
          <w:tcPr>
            <w:tcW w:type="dxa" w:w="1728"/>
          </w:tcPr>
          <w:p>
            <w:r>
              <w:t>`CommunityMembership`</w:t>
            </w:r>
          </w:p>
        </w:tc>
        <w:tc>
          <w:tcPr>
            <w:tcW w:type="dxa" w:w="1728"/>
          </w:tcPr>
          <w:p>
            <w:r>
              <w:t>Rattachement d'un bénéficiaire à un cercle d'animation.</w:t>
            </w:r>
          </w:p>
        </w:tc>
        <w:tc>
          <w:tcPr>
            <w:tcW w:type="dxa" w:w="1728"/>
          </w:tcPr>
          <w:p>
            <w:r>
              <w:t>**W3C ORG Membership**</w:t>
            </w:r>
          </w:p>
        </w:tc>
        <w:tc>
          <w:tcPr>
            <w:tcW w:type="dxa" w:w="1728"/>
          </w:tcPr>
          <w:p>
            <w:r>
              <w:t>`id`, `role` (ex: Coordinateur, Membre), `membershipContext` (COMMUNITY, CLUSTER), `status`</w:t>
            </w:r>
          </w:p>
        </w:tc>
        <w:tc>
          <w:tcPr>
            <w:tcW w:type="dxa" w:w="1728"/>
          </w:tcPr>
          <w:p>
            <w:r>
              <w:t>Lié à `Beneficiary` (N:1) et `Community` (N:1).</w:t>
            </w:r>
          </w:p>
        </w:tc>
      </w:tr>
      <w:tr>
        <w:tc>
          <w:tcPr>
            <w:tcW w:type="dxa" w:w="1728"/>
          </w:tcPr>
          <w:p>
            <w:r>
              <w:t>`EcosystemChallenge`</w:t>
            </w:r>
          </w:p>
        </w:tc>
        <w:tc>
          <w:tcPr>
            <w:tcW w:type="dxa" w:w="1728"/>
          </w:tcPr>
          <w:p>
            <w:r>
              <w:t>Verrou ou défi d'écosystème identifié sur le territoire.</w:t>
            </w:r>
          </w:p>
        </w:tc>
        <w:tc>
          <w:tcPr>
            <w:tcW w:type="dxa" w:w="1728"/>
          </w:tcPr>
          <w:p>
            <w:r>
              <w:t>**Custom Semantic Extension**</w:t>
            </w:r>
          </w:p>
        </w:tc>
        <w:tc>
          <w:tcPr>
            <w:tcW w:type="dxa" w:w="1728"/>
          </w:tcPr>
          <w:p>
            <w:r>
              <w:t>`id`, `title`, `description`, `type` (TRL, Cyber), `status` (ACTIVE, ARCHIVED), `priority`</w:t>
            </w:r>
          </w:p>
        </w:tc>
        <w:tc>
          <w:tcPr>
            <w:tcW w:type="dxa" w:w="1728"/>
          </w:tcPr>
          <w:p>
            <w:r>
              <w:t>Lié à `Community` (N:N), `PublicService` (N:N), `Project` (N:N), `Outcome` (N:N).</w:t>
            </w:r>
          </w:p>
        </w:tc>
      </w:tr>
      <w:tr>
        <w:tc>
          <w:tcPr>
            <w:tcW w:type="dxa" w:w="1728"/>
          </w:tcPr>
          <w:p>
            <w:r>
              <w:t>`Project`</w:t>
            </w:r>
          </w:p>
        </w:tc>
        <w:tc>
          <w:tcPr>
            <w:tcW w:type="dxa" w:w="1728"/>
          </w:tcPr>
          <w:p>
            <w:r>
              <w:t>Projet collaboratif territorial labellisé ou financé.</w:t>
            </w:r>
          </w:p>
        </w:tc>
        <w:tc>
          <w:tcPr>
            <w:tcW w:type="dxa" w:w="1728"/>
          </w:tcPr>
          <w:p>
            <w:r>
              <w:t>**W3C ORG / S3 Ontology**</w:t>
            </w:r>
          </w:p>
        </w:tc>
        <w:tc>
          <w:tcPr>
            <w:tcW w:type="dxa" w:w="1728"/>
          </w:tcPr>
          <w:p>
            <w:r>
              <w:t>`id`, `name`, `description`, `status` (ACTIVE, PLANNED)</w:t>
            </w:r>
          </w:p>
        </w:tc>
        <w:tc>
          <w:tcPr>
            <w:tcW w:type="dxa" w:w="1728"/>
          </w:tcPr>
          <w:p>
            <w:r>
              <w:t>Lié à `Beneficiary` (N:1), `EcosystemChallenge` (N:N), `FundingAward` (1:N), `Roadmap` (N:N).</w:t>
            </w:r>
          </w:p>
        </w:tc>
      </w:tr>
      <w:tr>
        <w:tc>
          <w:tcPr>
            <w:tcW w:type="dxa" w:w="1728"/>
          </w:tcPr>
          <w:p>
            <w:r>
              <w:t>`FundingCall`</w:t>
            </w:r>
          </w:p>
        </w:tc>
        <w:tc>
          <w:tcPr>
            <w:tcW w:type="dxa" w:w="1728"/>
          </w:tcPr>
          <w:p>
            <w:r>
              <w:t>Appel à projets ouvert rattaché à un programme financier.</w:t>
            </w:r>
          </w:p>
        </w:tc>
        <w:tc>
          <w:tcPr>
            <w:tcW w:type="dxa" w:w="1728"/>
          </w:tcPr>
          <w:p>
            <w:r>
              <w:t>**W3C S3 / Funding**</w:t>
            </w:r>
          </w:p>
        </w:tc>
        <w:tc>
          <w:tcPr>
            <w:tcW w:type="dxa" w:w="1728"/>
          </w:tcPr>
          <w:p>
            <w:r>
              <w:t>`id`, `name`, `description`, `status` (OPEN, CLOSED)</w:t>
            </w:r>
          </w:p>
        </w:tc>
        <w:tc>
          <w:tcPr>
            <w:tcW w:type="dxa" w:w="1728"/>
          </w:tcPr>
          <w:p>
            <w:r>
              <w:t>Lié à `FundingProgram` (N:1), `FundingInstrument` (1:N), `EcosystemChallenge` (N:N).</w:t>
            </w:r>
          </w:p>
        </w:tc>
      </w:tr>
      <w:tr>
        <w:tc>
          <w:tcPr>
            <w:tcW w:type="dxa" w:w="1728"/>
          </w:tcPr>
          <w:p>
            <w:r>
              <w:t>`FundingInstrument`</w:t>
            </w:r>
          </w:p>
        </w:tc>
        <w:tc>
          <w:tcPr>
            <w:tcW w:type="dxa" w:w="1728"/>
          </w:tcPr>
          <w:p>
            <w:r>
              <w:t>Subvention ou type d'aide publique mobilisable.</w:t>
            </w:r>
          </w:p>
        </w:tc>
        <w:tc>
          <w:tcPr>
            <w:tcW w:type="dxa" w:w="1728"/>
          </w:tcPr>
          <w:p>
            <w:r>
              <w:t>**CPSV-AP Output**</w:t>
            </w:r>
          </w:p>
        </w:tc>
        <w:tc>
          <w:tcPr>
            <w:tcW w:type="dxa" w:w="1728"/>
          </w:tcPr>
          <w:p>
            <w:r>
              <w:t>`id`, `name`, `type` (ex: Chèque, FEDER), `description`</w:t>
            </w:r>
          </w:p>
        </w:tc>
        <w:tc>
          <w:tcPr>
            <w:tcW w:type="dxa" w:w="1728"/>
          </w:tcPr>
          <w:p>
            <w:r>
              <w:t>Lié à `FundingCall` (N:1), `FundingAward` (1:N).</w:t>
            </w:r>
          </w:p>
        </w:tc>
      </w:tr>
      <w:tr>
        <w:tc>
          <w:tcPr>
            <w:tcW w:type="dxa" w:w="1728"/>
          </w:tcPr>
          <w:p>
            <w:r>
              <w:t>`FundingAward`</w:t>
            </w:r>
          </w:p>
        </w:tc>
        <w:tc>
          <w:tcPr>
            <w:tcW w:type="dxa" w:w="1728"/>
          </w:tcPr>
          <w:p>
            <w:r>
              <w:t>Financement octroyé à un projet à l'issue d'un appel.</w:t>
            </w:r>
          </w:p>
        </w:tc>
        <w:tc>
          <w:tcPr>
            <w:tcW w:type="dxa" w:w="1728"/>
          </w:tcPr>
          <w:p>
            <w:r>
              <w:t>**W3C Funding**</w:t>
            </w:r>
          </w:p>
        </w:tc>
        <w:tc>
          <w:tcPr>
            <w:tcW w:type="dxa" w:w="1728"/>
          </w:tcPr>
          <w:p>
            <w:r>
              <w:t>`id`, `amount` (Float), `status` (GRANTED), `projectId`</w:t>
            </w:r>
          </w:p>
        </w:tc>
        <w:tc>
          <w:tcPr>
            <w:tcW w:type="dxa" w:w="1728"/>
          </w:tcPr>
          <w:p>
            <w:r>
              <w:t>Lié à `Project` (N:1) et `FundingInstrument` (N:1).</w:t>
            </w:r>
          </w:p>
        </w:tc>
      </w:tr>
      <w:tr>
        <w:tc>
          <w:tcPr>
            <w:tcW w:type="dxa" w:w="1728"/>
          </w:tcPr>
          <w:p>
            <w:r>
              <w:t>`ServiceDelivery`</w:t>
            </w:r>
          </w:p>
        </w:tc>
        <w:tc>
          <w:tcPr>
            <w:tcW w:type="dxa" w:w="1728"/>
          </w:tcPr>
          <w:p>
            <w:r>
              <w:t>Historique de réalisation physique d'une prestation.</w:t>
            </w:r>
          </w:p>
        </w:tc>
        <w:tc>
          <w:tcPr>
            <w:tcW w:type="dxa" w:w="1728"/>
          </w:tcPr>
          <w:p>
            <w:r>
              <w:t>**Custom Provenance Model**</w:t>
            </w:r>
          </w:p>
        </w:tc>
        <w:tc>
          <w:tcPr>
            <w:tcW w:type="dxa" w:w="1728"/>
          </w:tcPr>
          <w:p>
            <w:r>
              <w:t>`id`, `date`, `status` (COMPLETED, PLANNED), `outputReal` (Livrable), `outcomeReal`</w:t>
            </w:r>
          </w:p>
        </w:tc>
        <w:tc>
          <w:tcPr>
            <w:tcW w:type="dxa" w:w="1728"/>
          </w:tcPr>
          <w:p>
            <w:r>
              <w:t>Lié à `Beneficiary` (N:1), `PublicService` (N:1), `JourneyStage` (N:1), `Evidence` (1:N).</w:t>
            </w:r>
          </w:p>
        </w:tc>
      </w:tr>
      <w:tr>
        <w:tc>
          <w:tcPr>
            <w:tcW w:type="dxa" w:w="1728"/>
          </w:tcPr>
          <w:p>
            <w:r>
              <w:t>`Evidence`</w:t>
            </w:r>
          </w:p>
        </w:tc>
        <w:tc>
          <w:tcPr>
            <w:tcW w:type="dxa" w:w="1728"/>
          </w:tcPr>
          <w:p>
            <w:r>
              <w:t>Pièce justificative officielle prouvant la livraison.</w:t>
            </w:r>
          </w:p>
        </w:tc>
        <w:tc>
          <w:tcPr>
            <w:tcW w:type="dxa" w:w="1728"/>
          </w:tcPr>
          <w:p>
            <w:r>
              <w:t>**CPSV-AP Evidence**</w:t>
            </w:r>
          </w:p>
        </w:tc>
        <w:tc>
          <w:tcPr>
            <w:tcW w:type="dxa" w:w="1728"/>
          </w:tcPr>
          <w:p>
            <w:r>
              <w:t>`id`, `name`, `url` (Blob/Drive), `type` (PDF, Contrat), `status` (APPROVED, PENDING)</w:t>
            </w:r>
          </w:p>
        </w:tc>
        <w:tc>
          <w:tcPr>
            <w:tcW w:type="dxa" w:w="1728"/>
          </w:tcPr>
          <w:p>
            <w:r>
              <w:t>Lié à `ServiceDelivery` (N:1), `Requirement` (N:1).</w:t>
            </w:r>
          </w:p>
        </w:tc>
      </w:tr>
      <w:tr>
        <w:tc>
          <w:tcPr>
            <w:tcW w:type="dxa" w:w="1728"/>
          </w:tcPr>
          <w:p>
            <w:r>
              <w:t>`Dataset`</w:t>
            </w:r>
          </w:p>
        </w:tc>
        <w:tc>
          <w:tcPr>
            <w:tcW w:type="dxa" w:w="1728"/>
          </w:tcPr>
          <w:p>
            <w:r>
              <w:t>Actifs de données partagés et référencés.</w:t>
            </w:r>
          </w:p>
        </w:tc>
        <w:tc>
          <w:tcPr>
            <w:tcW w:type="dxa" w:w="1728"/>
          </w:tcPr>
          <w:p>
            <w:r>
              <w:t>**DCAT-AP**</w:t>
            </w:r>
          </w:p>
        </w:tc>
        <w:tc>
          <w:tcPr>
            <w:tcW w:type="dxa" w:w="1728"/>
          </w:tcPr>
          <w:p>
            <w:r>
              <w:t>`id`, `title`, `description`, `publisher`, `format` (API, CSV, JSON-LD)</w:t>
            </w:r>
          </w:p>
        </w:tc>
        <w:tc>
          <w:tcPr>
            <w:tcW w:type="dxa" w:w="1728"/>
          </w:tcPr>
          <w:p>
            <w:r>
              <w:t>Lié à `SourceSystem` (1:1).</w:t>
            </w:r>
          </w:p>
        </w:tc>
      </w:tr>
      <w:tr>
        <w:tc>
          <w:tcPr>
            <w:tcW w:type="dxa" w:w="1728"/>
          </w:tcPr>
          <w:p>
            <w:r>
              <w:t>`Territory`</w:t>
            </w:r>
          </w:p>
        </w:tc>
        <w:tc>
          <w:tcPr>
            <w:tcW w:type="dxa" w:w="1728"/>
          </w:tcPr>
          <w:p>
            <w:r>
              <w:t>Structuration géographique régionale.</w:t>
            </w:r>
          </w:p>
        </w:tc>
        <w:tc>
          <w:tcPr>
            <w:tcW w:type="dxa" w:w="1728"/>
          </w:tcPr>
          <w:p>
            <w:r>
              <w:t>**W3C LOCN (Location Core)**</w:t>
            </w:r>
          </w:p>
        </w:tc>
        <w:tc>
          <w:tcPr>
            <w:tcW w:type="dxa" w:w="1728"/>
          </w:tcPr>
          <w:p>
            <w:r>
              <w:t>`id`, `province` (Liège, Namur, Hainaut, Brabant wallon, Luxembourg), `arrondissement`</w:t>
            </w:r>
          </w:p>
        </w:tc>
        <w:tc>
          <w:tcPr>
            <w:tcW w:type="dxa" w:w="1728"/>
          </w:tcPr>
          <w:p>
            <w:r>
              <w:t>Lié à `Beneficiary` (N:N).</w:t>
            </w:r>
          </w:p>
        </w:tc>
      </w:tr>
    </w:tbl>
    <w:p>
      <w:pPr>
        <w:pStyle w:val="Heading2"/>
      </w:pPr>
      <w:r>
        <w:t>🏁 9. Conclusion stratégique</w:t>
      </w:r>
    </w:p>
    <w:p>
      <w:r>
        <w:t>La PIT constitue aujourd’hui un socle opérationnel de structuration et de pilotage de l’écosystème territorial wallon. Sa valeur immédiate réside dans la mise en cohérence des bénéficiaires, acteurs territoriaux, services, parcours, projets, preuves, financements, données et impacts.</w:t>
        <w:br/>
      </w:r>
    </w:p>
    <w:p>
      <w:r>
        <w:t>Elle ne vise pas à remplacer les outils métiers des partenaires, ni à devenir une salle de crise ou un centre de commandement. Elle fournit un cadre commun pour rendre les données plus compréhensibles, plus reliées, plus traçables et plus exploitables pour l’action publique.</w:t>
        <w:br/>
      </w:r>
    </w:p>
    <w:p>
      <w:r>
        <w:t>Sa trajectoire vNext vise à renforcer progressivement les capacités d’interopérabilité, d’analyse territoriale, de recommandation, de pilotage stratégique et de résilience économique. Cette trajectoire doit être construite par cas d’usage, avec les partenaires, en distinguant clairement ce qui est disponible, ce qui est démontré, ce qui reste à valider et ce qui relève de la cible future.</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