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2937"/>
          <w:sz w:val="44"/>
        </w:rPr>
        <w:t>PIT Wallonie - Guide des Workspaces &amp; Spécifications Sémantiques (vNext)</w:t>
      </w:r>
    </w:p>
    <w:p/>
    <w:p>
      <w:pPr>
        <w:pStyle w:val="Heading1"/>
      </w:pPr>
      <w:r>
        <w:t>GUIDE FONCTIONNEL COMPLET DES WORKSPACES ET INTERCONNEXIONS</w:t>
      </w:r>
    </w:p>
    <w:p>
      <w:pPr>
        <w:pStyle w:val="Heading2"/>
      </w:pPr>
      <w:r>
        <w:t>Plateforme d'Intelligence Territoriale (PIT vNext) - Région wallonne</w:t>
      </w:r>
    </w:p>
    <w:p>
      <w:r>
        <w:t xml:space="preserve">Ce document constitue la documentation fonctionnelle officielle de référence pour la </w:t>
      </w:r>
      <w:r>
        <w:rPr>
          <w:b/>
        </w:rPr>
        <w:t>Plateforme d'Intelligence Territoriale (PIT) vNext</w:t>
      </w:r>
      <w:r>
        <w:t>. Il décrit de manière exhaustive les cinq espaces de travail (</w:t>
      </w:r>
      <w:r>
        <w:rPr>
          <w:b/>
        </w:rPr>
        <w:t>Workspaces</w:t>
      </w:r>
      <w:r>
        <w:t xml:space="preserve">), leurs fonctionnalités opérationnelles, leurs modules, ainsi que les mécanismes sémantiques et d'interopérabilité qui les interconnectent à travers le </w:t>
      </w:r>
      <w:r>
        <w:rPr>
          <w:b/>
        </w:rPr>
        <w:t>Territorial Knowledge Graph</w:t>
      </w:r>
      <w:r>
        <w:t>.</w:t>
        <w:br/>
      </w:r>
    </w:p>
    <w:p>
      <w:pPr>
        <w:pStyle w:val="Heading2"/>
      </w:pPr>
      <w:r>
        <w:t>🌐 1. Architecture Centrée Graphe &amp; Vision</w:t>
      </w:r>
    </w:p>
    <w:p>
      <w:r>
        <w:t xml:space="preserve">La PIT vNext repose sur un paradigme de </w:t>
      </w:r>
      <w:r>
        <w:rPr>
          <w:b/>
        </w:rPr>
        <w:t>Graphe de Connaissances Unique (Single Source of Truth)</w:t>
      </w:r>
      <w:r>
        <w:t>. Contrairement aux applications traditionnelles cloisonnées par base de données ou par application, chaque entité territoriale (bénéficiaire, opérateur, pôle, projet, appel d'offres, indicateur, preuve) est modélisée comme un nœud interconnecté par des relations sémantiques typées.</w:t>
        <w:br/>
      </w:r>
    </w:p>
    <w:p>
      <w:r>
        <w:t xml:space="preserve">La PIT n'est pas un CRM classique. C'est un </w:t>
      </w:r>
      <w:r>
        <w:rPr>
          <w:b/>
        </w:rPr>
        <w:t>back-office territorial sémantisé</w:t>
      </w:r>
      <w:r>
        <w:t xml:space="preserve"> qui structure les acteurs, services, parcours, communautés, projets et preuves d'impact sur le territoire wallon.</w:t>
        <w:br/>
      </w:r>
    </w:p>
    <w:p>
      <w:r>
        <w:t xml:space="preserve">Les différents workspaces ne correspondent pas à des bases de données physiques distinctes, mais à des </w:t>
      </w:r>
      <w:r>
        <w:rPr>
          <w:b/>
        </w:rPr>
        <w:t>projections sémantiques contextuelles (Business Views)</w:t>
      </w:r>
      <w:r>
        <w:t xml:space="preserve"> du même graphe, optimisées pour les besoins opérationnels et décisionnels de chaque rôle (Persona) :</w:t>
        <w:br/>
      </w:r>
    </w:p>
    <w:p>
      <w:pPr>
        <w:ind w:left="720"/>
      </w:pPr>
      <w:r>
        <w:rPr>
          <w:rFonts w:ascii="Consolas" w:hAnsi="Consolas"/>
          <w:color w:val="4B5563"/>
          <w:sz w:val="19"/>
        </w:rPr>
        <w:t>graph TD</w:t>
        <w:br/>
        <w:t xml:space="preserve">    %% Base centrale %%</w:t>
        <w:br/>
        <w:t xml:space="preserve">    DB[(Territorial Knowledge Graph)]</w:t>
        <w:br/>
        <w:t xml:space="preserve">    </w:t>
        <w:br/>
        <w:t xml:space="preserve">    %% Workspaces %%</w:t>
        <w:br/>
        <w:t xml:space="preserve">    W_Anim[Workspace Animation]</w:t>
        <w:br/>
        <w:t xml:space="preserve">    W_Cons[Workspace Conseiller 360]</w:t>
        <w:br/>
        <w:t xml:space="preserve">    W_Entr[Workspace Entreprise]</w:t>
        <w:br/>
        <w:t xml:space="preserve">    W_DG[Cockpit Exécutif - DG]</w:t>
        <w:br/>
        <w:t xml:space="preserve">    W_Stew[Workspace Interopérabilité]</w:t>
        <w:br/>
        <w:t xml:space="preserve">    </w:t>
        <w:br/>
        <w:t xml:space="preserve">    %% Interconnexions %%</w:t>
        <w:br/>
        <w:t xml:space="preserve">    W_Anim --&gt;|Alimente Projets &amp; Communautés| DB</w:t>
        <w:br/>
        <w:t xml:space="preserve">    W_Cons --&gt;|Alimente Maturités &amp; Accompagnements| DB</w:t>
        <w:br/>
        <w:t xml:space="preserve">    W_Entr --&gt;|Déclare Défis &amp; Besoins| DB</w:t>
        <w:br/>
        <w:t xml:space="preserve">    W_DG --&gt;|Alimente Stratégies &amp; Budgets| DB</w:t>
        <w:br/>
        <w:t xml:space="preserve">    W_Stew --&gt;|Synchronise Référentiels Externes| DB</w:t>
        <w:br/>
        <w:t xml:space="preserve">    </w:t>
        <w:br/>
        <w:t xml:space="preserve">    DB --&gt;|Filtre Contextuel / RAG / Graph Explorer| W_Anim</w:t>
        <w:br/>
        <w:t xml:space="preserve">    DB --&gt;|Radar de Maturité &amp; Matchmaking| W_Cons</w:t>
        <w:br/>
        <w:t xml:space="preserve">    DB --&gt;|Parcours Interactifs &amp; Recommandations| W_Entr</w:t>
        <w:br/>
        <w:t xml:space="preserve">    DB --&gt;|Tableaux de Bord d'Impact &amp; Gap Analysis| W_DG</w:t>
        <w:br/>
        <w:t xml:space="preserve">    DB --&gt;|Statut de Qualité &amp; Provenance| W_Stew</w:t>
      </w:r>
    </w:p>
    <w:p>
      <w:pPr>
        <w:pStyle w:val="Heading2"/>
      </w:pPr>
      <w:r>
        <w:t>📊 2. Périmètre Opérationnel (Production vs Cible)</w:t>
      </w:r>
    </w:p>
    <w:p>
      <w:r>
        <w:t>&gt; [!IMPORTANT]</w:t>
        <w:br/>
      </w:r>
    </w:p>
    <w:p>
      <w:r>
        <w:t>&gt; La version actuelle de la PIT constitue un socle de back-office territorial sémantisé. Le Territorial Knowledge Graph complet, les agents IA/RAG, le portail entreprise, les vues avancées et la résilience territoriale relèvent de la cible vNext ou de démonstrateurs à construire progressivement.</w:t>
        <w:br/>
      </w:r>
    </w:p>
    <w:p>
      <w:pPr>
        <w:pStyle w:val="Heading3"/>
      </w:pPr>
      <w:r>
        <w:t>2.1 Disponible en Production (Socle) `[Disponible]`</w:t>
      </w:r>
    </w:p>
    <w:p>
      <w:pPr>
        <w:pStyle w:val="ListBullet"/>
      </w:pPr>
      <w:r/>
      <w:r>
        <w:rPr>
          <w:b/>
        </w:rPr>
        <w:t>Bénéficiaires 360</w:t>
      </w:r>
      <w:r>
        <w:t xml:space="preserve"> : Fiches unifiées avec typologie administrative, contacts rattachés, memberships, timeline d'interactions et soft delete (archivage logique).</w:t>
      </w:r>
    </w:p>
    <w:p>
      <w:pPr>
        <w:pStyle w:val="ListBullet"/>
      </w:pPr>
      <w:r/>
      <w:r>
        <w:rPr>
          <w:b/>
        </w:rPr>
        <w:t>Catalogue de services CPSV</w:t>
      </w:r>
      <w:r>
        <w:t xml:space="preserve"> : Offre de prestations structurée selon la norme européenne CPSV-AP v3.0, avec coût nominal et aide d'État.</w:t>
      </w:r>
    </w:p>
    <w:p>
      <w:pPr>
        <w:pStyle w:val="ListBullet"/>
      </w:pPr>
      <w:r/>
      <w:r>
        <w:rPr>
          <w:b/>
        </w:rPr>
        <w:t>Gestion de l'écosystème</w:t>
      </w:r>
      <w:r>
        <w:t xml:space="preserve"> : CRM territorial structurant les acteurs territoriaux (organisations), les bénéficiaires et les affiliations.</w:t>
      </w:r>
    </w:p>
    <w:p>
      <w:pPr>
        <w:pStyle w:val="ListBullet"/>
      </w:pPr>
      <w:r/>
      <w:r>
        <w:rPr>
          <w:b/>
        </w:rPr>
        <w:t>Défis d'écosystème</w:t>
      </w:r>
      <w:r>
        <w:t xml:space="preserve"> : Registre de qualification des verrous collectifs territoriaux (TRL, infrastructures, compétences).</w:t>
      </w:r>
    </w:p>
    <w:p>
      <w:pPr>
        <w:pStyle w:val="Heading3"/>
      </w:pPr>
      <w:r>
        <w:t>2.2 Disponible en Démonstrateur `[Démonstrateur]`</w:t>
      </w:r>
    </w:p>
    <w:p>
      <w:pPr>
        <w:pStyle w:val="ListBullet"/>
      </w:pPr>
      <w:r/>
      <w:r>
        <w:rPr>
          <w:b/>
        </w:rPr>
        <w:t>Moteur de Matchmaking</w:t>
      </w:r>
      <w:r>
        <w:t xml:space="preserve"> : Recommandations semi-automatiques basées sur les faiblesses de maturité DMAT et les défis déclarés.</w:t>
      </w:r>
    </w:p>
    <w:p>
      <w:pPr>
        <w:pStyle w:val="ListBullet"/>
      </w:pPr>
      <w:r/>
      <w:r>
        <w:rPr>
          <w:b/>
        </w:rPr>
        <w:t>Visualisations de Graphe</w:t>
      </w:r>
      <w:r>
        <w:t xml:space="preserve"> : Représentation visuelle des relations sémantiques locale (ReactFlow) et globale (forces 3D).</w:t>
      </w:r>
    </w:p>
    <w:p>
      <w:pPr>
        <w:pStyle w:val="ListBullet"/>
      </w:pPr>
      <w:r/>
      <w:r>
        <w:rPr>
          <w:b/>
        </w:rPr>
        <w:t>Mode Histoire</w:t>
      </w:r>
      <w:r>
        <w:t xml:space="preserve"> : Scénarios métiers de démo (BioWin, GreenWin, EDIH, AWEX/WE).</w:t>
      </w:r>
    </w:p>
    <w:p>
      <w:pPr>
        <w:pStyle w:val="Heading3"/>
      </w:pPr>
      <w:r>
        <w:t>2.3 Prévu en Cible vNext / Prototype</w:t>
      </w:r>
    </w:p>
    <w:p>
      <w:pPr>
        <w:pStyle w:val="ListBullet"/>
      </w:pPr>
      <w:r/>
      <w:r>
        <w:rPr>
          <w:b/>
        </w:rPr>
        <w:t>Résilience territoriale</w:t>
      </w:r>
      <w:r>
        <w:t xml:space="preserve"> `[Prototype]` : Évaluation de la vulnérabilité et de la capacité de rebond face aux chocs économiques.</w:t>
      </w:r>
    </w:p>
    <w:p>
      <w:pPr>
        <w:pStyle w:val="ListBullet"/>
      </w:pPr>
      <w:r/>
      <w:r>
        <w:rPr>
          <w:b/>
        </w:rPr>
        <w:t>Territorial Knowledge Graph complet</w:t>
      </w:r>
      <w:r>
        <w:t xml:space="preserve"> `[Cible vNext]` : Triplestore RDF natif avec requêtes SPARQL complexes.</w:t>
      </w:r>
    </w:p>
    <w:p>
      <w:pPr>
        <w:pStyle w:val="ListBullet"/>
      </w:pPr>
      <w:r/>
      <w:r>
        <w:rPr>
          <w:b/>
        </w:rPr>
        <w:t>Agents IA / RAG</w:t>
      </w:r>
      <w:r>
        <w:t xml:space="preserve"> `[Cible vNext]` : Assistants intelligents d'aide à la décision pour les conseillers.</w:t>
      </w:r>
    </w:p>
    <w:p>
      <w:pPr>
        <w:pStyle w:val="ListBullet"/>
      </w:pPr>
      <w:r/>
      <w:r>
        <w:rPr>
          <w:b/>
        </w:rPr>
        <w:t>Recommandation automatique avancée</w:t>
      </w:r>
      <w:r>
        <w:t xml:space="preserve"> `[Cible vNext]` : Moteur prédictif d'orientation automatique.</w:t>
      </w:r>
    </w:p>
    <w:p>
      <w:pPr>
        <w:pStyle w:val="ListBullet"/>
      </w:pPr>
      <w:r/>
      <w:r>
        <w:rPr>
          <w:b/>
        </w:rPr>
        <w:t>Portail entreprise complet</w:t>
      </w:r>
      <w:r>
        <w:t xml:space="preserve"> `[Cible vNext]` : Espace d'auto-évaluation interactif pour les bénéficiaires finaux.</w:t>
      </w:r>
    </w:p>
    <w:p>
      <w:pPr>
        <w:pStyle w:val="ListBullet"/>
      </w:pPr>
      <w:r/>
      <w:r>
        <w:rPr>
          <w:b/>
        </w:rPr>
        <w:t>Cockpit DG complet</w:t>
      </w:r>
      <w:r>
        <w:t xml:space="preserve"> `[Cible vNext]` : Tableaux de bord stratégiques de pilotage du ROI territorial.</w:t>
      </w:r>
    </w:p>
    <w:p>
      <w:pPr>
        <w:pStyle w:val="ListBullet"/>
      </w:pPr>
      <w:r/>
      <w:r>
        <w:rPr>
          <w:b/>
        </w:rPr>
        <w:t>Data Marketplace complet</w:t>
      </w:r>
      <w:r>
        <w:t xml:space="preserve"> `[Cible vNext]` : Partage de données décentralisé et de catalogue DCAT-AP.</w:t>
      </w:r>
    </w:p>
    <w:p>
      <w:pPr>
        <w:pStyle w:val="ListBullet"/>
      </w:pPr>
      <w:r/>
      <w:r>
        <w:rPr>
          <w:b/>
        </w:rPr>
        <w:t>Exports NGSI-LD industrialisés</w:t>
      </w:r>
      <w:r>
        <w:t xml:space="preserve"> `[Cible vNext]` : Exposition de contexte normalisé temps réel.</w:t>
      </w:r>
    </w:p>
    <w:p>
      <w:pPr>
        <w:pStyle w:val="Heading3"/>
      </w:pPr>
      <w:r>
        <w:t>2.4 Hors périmètre</w:t>
      </w:r>
    </w:p>
    <w:p>
      <w:pPr>
        <w:pStyle w:val="ListBullet"/>
      </w:pPr>
      <w:r/>
      <w:r>
        <w:rPr>
          <w:b/>
        </w:rPr>
        <w:t>CRM commercial classique</w:t>
      </w:r>
      <w:r>
        <w:t xml:space="preserve"> : Gestion du pipeline de vente, gestion des opportunités commerciales privées et facturation commerciale.</w:t>
      </w:r>
    </w:p>
    <w:p>
      <w:pPr>
        <w:pStyle w:val="ListBullet"/>
      </w:pPr>
      <w:r/>
      <w:r>
        <w:rPr>
          <w:b/>
        </w:rPr>
        <w:t>Facturation &amp; Comptabilité</w:t>
      </w:r>
      <w:r>
        <w:t xml:space="preserve"> : Outils de transaction financière, comptabilité interne et taxes.</w:t>
      </w:r>
    </w:p>
    <w:p>
      <w:pPr>
        <w:pStyle w:val="Heading2"/>
      </w:pPr>
      <w:r>
        <w:t>👥 3. Analyse Détaillée des 5 Workspaces (WKS)</w:t>
      </w:r>
    </w:p>
    <w:p>
      <w:pPr>
        <w:pStyle w:val="Heading3"/>
      </w:pPr>
      <w:r>
        <w:t>💼 3.1 Workspace Animation</w:t>
      </w:r>
    </w:p>
    <w:p>
      <w:r/>
      <w:r>
        <w:rPr>
          <w:b/>
        </w:rPr>
        <w:t>Persona cible : Animateur d'Écosystème (Pôle de compétitivité, Cluster, Hub d'innovation - BioWin, GreenWin, MecaTech...)</w:t>
      </w:r>
      <w:r>
        <w:br/>
      </w:r>
    </w:p>
    <w:p>
      <w:r>
        <w:t>Ce workspace permet de suivre la vitalité collective d'un écosystème, de stimuler l'interaction entre les membres et de valider les preuves physiques des livraisons de services.</w:t>
        <w:br/>
      </w:r>
    </w:p>
    <w:p>
      <w:pPr>
        <w:pStyle w:val="Heading4"/>
      </w:pPr>
      <w:r>
        <w:t>A. Tableau de Bord (Dashboard)</w:t>
      </w:r>
    </w:p>
    <w:p>
      <w:pPr>
        <w:pStyle w:val="ListBullet"/>
      </w:pPr>
      <w:r/>
      <w:r>
        <w:rPr>
          <w:b/>
        </w:rPr>
        <w:t>Indicateurs Clés (KPIs)</w:t>
      </w:r>
      <w:r>
        <w:t xml:space="preserve"> :</w:t>
      </w:r>
    </w:p>
    <w:p>
      <w:pPr>
        <w:pStyle w:val="ListBullet"/>
      </w:pPr>
      <w:r>
        <w:t>*Membres Actifs* : Organisations affiliées et engagées dans le pôle.</w:t>
      </w:r>
    </w:p>
    <w:p>
      <w:pPr>
        <w:pStyle w:val="ListBullet"/>
      </w:pPr>
      <w:r>
        <w:t>*Communautés* : Nombre de cercles d'animation thématiques (ex: IA Santé).</w:t>
      </w:r>
    </w:p>
    <w:p>
      <w:pPr>
        <w:pStyle w:val="ListBullet"/>
      </w:pPr>
      <w:r>
        <w:t>*Opportunités Actives* : Appels d'offres d'innovation ouverts dans la filière.</w:t>
      </w:r>
    </w:p>
    <w:p>
      <w:pPr>
        <w:pStyle w:val="ListBullet"/>
      </w:pPr>
      <w:r>
        <w:t>*Indice de Dynamique* : Taux d'engagement de l'écosystème dans les 30 derniers jours.</w:t>
      </w:r>
    </w:p>
    <w:p>
      <w:pPr>
        <w:pStyle w:val="ListBullet"/>
      </w:pPr>
      <w:r/>
      <w:r>
        <w:rPr>
          <w:b/>
        </w:rPr>
        <w:t>Funnel d'Animation Régionale (Conversion de valeur)</w:t>
      </w:r>
      <w:r>
        <w:t xml:space="preserve"> : Mesure physique et continue du parcours des acteurs :</w:t>
      </w:r>
    </w:p>
    <w:p>
      <w:pPr>
        <w:pStyle w:val="ListBullet"/>
      </w:pPr>
      <w:r>
        <w:t>*Participants* : Acteurs ayant participé à une activité collective, un atelier, un webinaire ou une action d’animation.</w:t>
      </w:r>
    </w:p>
    <w:p>
      <w:pPr>
        <w:pStyle w:val="ListBullet"/>
      </w:pPr>
      <w:r>
        <w:t>*Diagnostics* : Bénéficiaires ayant complété un diagnostic de maturité ou d’évaluation.</w:t>
      </w:r>
    </w:p>
    <w:p>
      <w:pPr>
        <w:pStyle w:val="ListBullet"/>
      </w:pPr>
      <w:r>
        <w:t>*Services* : Services ou accompagnements effectivement délivrés.</w:t>
      </w:r>
    </w:p>
    <w:p>
      <w:pPr>
        <w:pStyle w:val="ListBullet"/>
      </w:pPr>
      <w:r>
        <w:t>*Financements* : Opportunités, aides ou subsides connectés à un bénéficiaire, projet ou parcours.</w:t>
      </w:r>
    </w:p>
    <w:p>
      <w:pPr>
        <w:pStyle w:val="ListBullet"/>
      </w:pPr>
      <w:r>
        <w:t>*Projets* : Projets collaboratifs, R&amp;D ou transformation lancés.</w:t>
      </w:r>
    </w:p>
    <w:p>
      <w:pPr>
        <w:pStyle w:val="ListBullet"/>
      </w:pPr>
      <w:r>
        <w:t>*Outcomes* : Résultats ou impacts qualifiés, idéalement rattachés à une preuve validée.</w:t>
      </w:r>
    </w:p>
    <w:p>
      <w:pPr>
        <w:pStyle w:val="ListBullet"/>
      </w:pPr>
      <w:r>
        <w:t>*Mention clé* : Le funnel mesure la conversion de l’animation territoriale en valeur opérationnelle et en impact mesurable.</w:t>
      </w:r>
    </w:p>
    <w:p>
      <w:pPr>
        <w:pStyle w:val="Heading4"/>
      </w:pPr>
      <w:r>
        <w:t>B. Modules Fonctionnels</w:t>
      </w:r>
    </w:p>
    <w:p>
      <w:pPr>
        <w:pStyle w:val="ListNumber"/>
      </w:pPr>
      <w:r/>
      <w:r>
        <w:rPr>
          <w:b/>
        </w:rPr>
        <w:t>Activités &amp; événements (`/activities`)</w:t>
      </w:r>
      <w:r>
        <w:t xml:space="preserve"> : Organisation et pilotage des actions d'animation collective (ateliers, séminaires, visites d'entreprises).</w:t>
      </w:r>
    </w:p>
    <w:p>
      <w:r>
        <w:t xml:space="preserve">2. </w:t>
      </w:r>
      <w:r>
        <w:rPr>
          <w:b/>
        </w:rPr>
        <w:t>Communautés (`/communities`)</w:t>
      </w:r>
      <w:r>
        <w:t xml:space="preserve"> : Espaces de pilotage par communauté thématique (composition, rôles et groupes de travail).</w:t>
        <w:br/>
      </w:r>
    </w:p>
    <w:p>
      <w:r>
        <w:t xml:space="preserve">3. </w:t>
      </w:r>
      <w:r>
        <w:rPr>
          <w:b/>
        </w:rPr>
        <w:t>Défis d’écosystème (`/ecosystem-challenges`)</w:t>
      </w:r>
      <w:r>
        <w:t xml:space="preserve"> : Registre de qualification des verrous collectifs territoriaux rattachés aux filières S3 et communautés.</w:t>
        <w:br/>
      </w:r>
    </w:p>
    <w:p>
      <w:r>
        <w:t xml:space="preserve">4. </w:t>
      </w:r>
      <w:r>
        <w:rPr>
          <w:b/>
        </w:rPr>
        <w:t>Consortiums (`/consortia`)</w:t>
      </w:r>
      <w:r>
        <w:t xml:space="preserve"> : Suivi des groupements R&amp;D formés pour répondre à des appels.</w:t>
        <w:br/>
      </w:r>
    </w:p>
    <w:p>
      <w:r>
        <w:t xml:space="preserve">5. </w:t>
      </w:r>
      <w:r>
        <w:rPr>
          <w:b/>
        </w:rPr>
        <w:t>Projets (`/projects`)</w:t>
      </w:r>
      <w:r>
        <w:t xml:space="preserve"> : Suivi des projets collaboratifs financés ou labellisés.</w:t>
        <w:br/>
      </w:r>
    </w:p>
    <w:p>
      <w:r>
        <w:t xml:space="preserve">6. </w:t>
      </w:r>
      <w:r>
        <w:rPr>
          <w:b/>
        </w:rPr>
        <w:t>Justificatifs &amp; preuves d’impact (`/evidences`)</w:t>
      </w:r>
      <w:r>
        <w:t xml:space="preserve"> : Interface de contrôle de qualité et de validation des documents justificatifs soumis par les conseillers terrain.</w:t>
        <w:br/>
      </w:r>
    </w:p>
    <w:p>
      <w:pPr>
        <w:pStyle w:val="ListBullet"/>
      </w:pPr>
      <w:r>
        <w:t>*Justificatif métier* : Document officiel certifiant la bonne réalisation d'une prestation.</w:t>
      </w:r>
    </w:p>
    <w:p>
      <w:pPr>
        <w:pStyle w:val="ListBullet"/>
      </w:pPr>
      <w:r>
        <w:t>*Preuve d'impact* : Justification d'un outcome mesurable (ex: attestation de subvention, certificat).</w:t>
      </w:r>
    </w:p>
    <w:p>
      <w:pPr>
        <w:pStyle w:val="Heading3"/>
      </w:pPr>
      <w:r>
        <w:t>🤝 3.2 Workspace Conseiller</w:t>
      </w:r>
    </w:p>
    <w:p>
      <w:r/>
      <w:r>
        <w:rPr>
          <w:b/>
        </w:rPr>
        <w:t>Persona cible : Conseiller technologique ou d'affaires (EDIH, Wallonie Entreprendre, AdN, AWEX, UCM...)</w:t>
      </w:r>
      <w:r>
        <w:br/>
      </w:r>
    </w:p>
    <w:p>
      <w:r>
        <w:t>Ce workspace fournit une boîte à outils individuelle pour gérer un portefeuille d'entreprises, réaliser des diagnostics sémantiques, planifier des parcours de transition et formuler des recommandations automatiques.</w:t>
        <w:br/>
      </w:r>
    </w:p>
    <w:p>
      <w:pPr>
        <w:pStyle w:val="Heading4"/>
      </w:pPr>
      <w:r>
        <w:t>A. Tableau de Bord (Dashboard)</w:t>
      </w:r>
    </w:p>
    <w:p>
      <w:pPr>
        <w:pStyle w:val="ListBullet"/>
      </w:pPr>
      <w:r/>
      <w:r>
        <w:rPr>
          <w:b/>
        </w:rPr>
        <w:t>Portefeuille de Bénéficiaires</w:t>
      </w:r>
      <w:r>
        <w:t xml:space="preserve"> : Accès direct à l'annuaire filtrable des structures sous sa responsabilité.</w:t>
      </w:r>
    </w:p>
    <w:p>
      <w:pPr>
        <w:pStyle w:val="ListBullet"/>
      </w:pPr>
      <w:r/>
      <w:r>
        <w:rPr>
          <w:b/>
        </w:rPr>
        <w:t>Indicateurs Métiers</w:t>
      </w:r>
      <w:r>
        <w:t xml:space="preserve"> :</w:t>
      </w:r>
    </w:p>
    <w:p>
      <w:pPr>
        <w:pStyle w:val="ListBullet"/>
      </w:pPr>
      <w:r>
        <w:t>*Bénéficiaires accompagnés* : Nombre total de dossiers actifs suivis par le conseiller.</w:t>
      </w:r>
    </w:p>
    <w:p>
      <w:pPr>
        <w:pStyle w:val="ListBullet"/>
      </w:pPr>
      <w:r>
        <w:t>*Services délivrés* : Volume d'accompagnements individuels réalisés.</w:t>
      </w:r>
    </w:p>
    <w:p>
      <w:pPr>
        <w:pStyle w:val="ListBullet"/>
      </w:pPr>
      <w:r>
        <w:t>*Parcours complétés* : Taux d'achèvement des feuilles de route d'innovation enrôlées.</w:t>
      </w:r>
    </w:p>
    <w:p>
      <w:pPr>
        <w:pStyle w:val="ListBullet"/>
      </w:pPr>
      <w:r>
        <w:t>*Subsides mobilisés (€)* : Volume de financements sécurisés pour son portefeuille.</w:t>
      </w:r>
    </w:p>
    <w:p>
      <w:pPr>
        <w:pStyle w:val="Heading4"/>
      </w:pPr>
      <w:r>
        <w:t>B. Modules Fonctionnels</w:t>
      </w:r>
    </w:p>
    <w:p>
      <w:pPr>
        <w:pStyle w:val="ListNumber"/>
      </w:pPr>
      <w:r/>
      <w:r>
        <w:rPr>
          <w:b/>
        </w:rPr>
        <w:t>Bénéficiaires 360 (`/beneficiaries`)</w:t>
      </w:r>
      <w:r>
        <w:t xml:space="preserve"> : Fiche d'identité sémantique consolidée du bénéficiaire :</w:t>
      </w:r>
    </w:p>
    <w:p>
      <w:pPr>
        <w:pStyle w:val="ListBullet"/>
      </w:pPr>
      <w:r>
        <w:t>*Données administratives* : Provenance (BCE), code NACE, effectifs (ETP) et chiffre d'affaires. Les champs officiels BCE sont verrouillés (non modifiables manuellement) pour préserver l'intégrité de la source d'autorité.</w:t>
      </w:r>
    </w:p>
    <w:p>
      <w:pPr>
        <w:pStyle w:val="ListBullet"/>
      </w:pPr>
      <w:r>
        <w:t>*Contacts rattachés* : Liste des interlocuteurs physiques identifiés, spécifiant le contact principal.</w:t>
      </w:r>
    </w:p>
    <w:p>
      <w:pPr>
        <w:pStyle w:val="ListBullet"/>
      </w:pPr>
      <w:r>
        <w:t>*Diagnostics de Maturité* : Scores de maturité issus des diagnostics (DMAT numérique/cyber/durabilité, DMAT IA) sous forme de sliders et radar dynamique sur 5 axes.</w:t>
      </w:r>
    </w:p>
    <w:p>
      <w:pPr>
        <w:pStyle w:val="ListBullet"/>
      </w:pPr>
      <w:r>
        <w:t>*Timeline 360°* : Historique complet et chronologique des interactions, services reçus et projets.</w:t>
      </w:r>
    </w:p>
    <w:p>
      <w:pPr>
        <w:pStyle w:val="ListBullet"/>
      </w:pPr>
      <w:r>
        <w:t>*Archivage logique* : Soft Delete (statut `ARCHIVED` au lieu d'une suppression physique) pour conserver l'historique dans le graphe.</w:t>
      </w:r>
    </w:p>
    <w:p>
      <w:r>
        <w:t xml:space="preserve">2. </w:t>
      </w:r>
      <w:r>
        <w:rPr>
          <w:b/>
        </w:rPr>
        <w:t>Services CPSV (`/services`)</w:t>
      </w:r>
      <w:r>
        <w:t xml:space="preserve"> : Catalogue régional structuré des aides d'accompagnement disponibles. Permet de filtrer par canal (web, présentiel), public cible et tarification (prix nominal vs aide d'État).</w:t>
        <w:br/>
      </w:r>
    </w:p>
    <w:p>
      <w:r>
        <w:t xml:space="preserve">3. </w:t>
      </w:r>
      <w:r>
        <w:rPr>
          <w:b/>
        </w:rPr>
        <w:t>Parcours d'accompagnement (`/journeys`)</w:t>
      </w:r>
      <w:r>
        <w:t xml:space="preserve"> : Enrôlement des bénéficiaires dans des modèles de parcours types (ex: diagnostic initial ➔ audit de cybersécurité ➔ PoC technologique).</w:t>
        <w:br/>
      </w:r>
    </w:p>
    <w:p>
      <w:r>
        <w:t xml:space="preserve">4. </w:t>
      </w:r>
      <w:r>
        <w:rPr>
          <w:b/>
        </w:rPr>
        <w:t>Moteur de Match (`/recommender`)</w:t>
      </w:r>
      <w:r>
        <w:t xml:space="preserve"> : Algorithme prédictif suggérant automatiquement des services du catalogue, des événements, des partenaires ou des appels à projets en fonction des défis de l'entreprise.</w:t>
        <w:br/>
      </w:r>
    </w:p>
    <w:p>
      <w:pPr>
        <w:pStyle w:val="Heading3"/>
      </w:pPr>
      <w:r>
        <w:t>🏢 3.3 Workspace Entreprise</w:t>
      </w:r>
    </w:p>
    <w:p>
      <w:r/>
      <w:r>
        <w:rPr>
          <w:b/>
        </w:rPr>
        <w:t>Persona cible : Dirigeant de PME, Fondateur de Startup, Responsable de Centre de Recherche ou d'ASBL</w:t>
      </w:r>
      <w:r>
        <w:br/>
      </w:r>
    </w:p>
    <w:p>
      <w:r>
        <w:t>Ce portail en libre-service met le bénéficiaire final au centre du dispositif de transition en lui offrant une visibilité totale sur ses dossiers en cours.</w:t>
        <w:br/>
      </w:r>
    </w:p>
    <w:p>
      <w:pPr>
        <w:pStyle w:val="Heading4"/>
      </w:pPr>
      <w:r>
        <w:t>A. Tableau de Bord ("Mon Espace Innovation")</w:t>
      </w:r>
    </w:p>
    <w:p>
      <w:pPr>
        <w:pStyle w:val="ListBullet"/>
      </w:pPr>
      <w:r/>
      <w:r>
        <w:rPr>
          <w:b/>
        </w:rPr>
        <w:t>Identité Économique</w:t>
      </w:r>
      <w:r>
        <w:t xml:space="preserve"> : En-tête dynamique résumant le profil (nom, type de structure, localisation, secteur NACE principal).</w:t>
      </w:r>
    </w:p>
    <w:p>
      <w:pPr>
        <w:pStyle w:val="ListBullet"/>
      </w:pPr>
      <w:r/>
      <w:r>
        <w:rPr>
          <w:b/>
        </w:rPr>
        <w:t>Badges de Maturité</w:t>
      </w:r>
      <w:r>
        <w:t xml:space="preserve"> : Visualisation claire et simplifiée des scores DMAT de transition (Numérique, Cyber, IA...).</w:t>
      </w:r>
    </w:p>
    <w:p>
      <w:pPr>
        <w:pStyle w:val="ListBullet"/>
      </w:pPr>
      <w:r/>
      <w:r>
        <w:rPr>
          <w:b/>
        </w:rPr>
        <w:t>Frise du Parcours (Journey Progress)</w:t>
      </w:r>
      <w:r>
        <w:t xml:space="preserve"> : Ligne du temps interactive présentant les étapes franchies (ex: Diagnostic Cyber complété), l'étape active actuelle (ex: Implémentation du projet IA) et les étapes futures planifiées.</w:t>
      </w:r>
    </w:p>
    <w:p>
      <w:pPr>
        <w:pStyle w:val="Heading4"/>
      </w:pPr>
      <w:r>
        <w:t>B. Modules Fonctionnels</w:t>
      </w:r>
    </w:p>
    <w:p>
      <w:pPr>
        <w:pStyle w:val="ListNumber"/>
      </w:pPr>
      <w:r/>
      <w:r>
        <w:rPr>
          <w:b/>
        </w:rPr>
        <w:t>Mes Défis</w:t>
      </w:r>
      <w:r>
        <w:t xml:space="preserve"> : Outil de déclaration directe de verrous d'affaires ou technologiques. La soumission d'un défi alerte immédiatement le conseiller attitré.</w:t>
      </w:r>
    </w:p>
    <w:p>
      <w:r>
        <w:t xml:space="preserve">2. </w:t>
      </w:r>
      <w:r>
        <w:rPr>
          <w:b/>
        </w:rPr>
        <w:t>Mes Services</w:t>
      </w:r>
      <w:r>
        <w:t xml:space="preserve"> : Suivi des livraisons de services en cours, planification des rendez-vous et dépôt des livrables requis.</w:t>
        <w:br/>
      </w:r>
    </w:p>
    <w:p>
      <w:r>
        <w:t xml:space="preserve">3. </w:t>
      </w:r>
      <w:r>
        <w:rPr>
          <w:b/>
        </w:rPr>
        <w:t>Recommandations Personnalisées</w:t>
      </w:r>
      <w:r>
        <w:t xml:space="preserve"> : Suggestions ciblées de l'IA (services d'aide, appels à projets d'innovation ouverts comme le "Tremplin IA", experts qualifiés comme le CETIC ou Sirris).</w:t>
        <w:br/>
      </w:r>
    </w:p>
    <w:p>
      <w:pPr>
        <w:pStyle w:val="Heading3"/>
      </w:pPr>
      <w:r>
        <w:t>📊 3.4 Cockpit Exécutif (DG)</w:t>
      </w:r>
    </w:p>
    <w:p>
      <w:r/>
      <w:r>
        <w:rPr>
          <w:b/>
        </w:rPr>
        <w:t>Persona cible : Directeur de Pôle, Cabinet ministériel, Gestionnaire de programme de l'Administration (SPW)</w:t>
      </w:r>
      <w:r>
        <w:br/>
      </w:r>
    </w:p>
    <w:p>
      <w:r>
        <w:t>Ce cockpit stratégique permet d'évaluer l'efficacité de l'investissement public, de piloter les budgets régionaux et d'évaluer le ROI territorial de l'action publique.</w:t>
        <w:br/>
      </w:r>
    </w:p>
    <w:p>
      <w:r>
        <w:t>&gt; [!NOTE]</w:t>
        <w:br/>
      </w:r>
    </w:p>
    <w:p>
      <w:r>
        <w:t>&gt; Cette vue consolide les données validées issues des services, projets, preuves et outcomes. Les modifications de premier niveau sont désactivées en production pour ces profils décisionnels.</w:t>
        <w:br/>
      </w:r>
    </w:p>
    <w:p>
      <w:pPr>
        <w:pStyle w:val="Heading4"/>
      </w:pPr>
      <w:r>
        <w:t>A. Tableau de Bord &amp; Analyse d'Impact</w:t>
      </w:r>
    </w:p>
    <w:p>
      <w:pPr>
        <w:pStyle w:val="ListBullet"/>
      </w:pPr>
      <w:r/>
      <w:r>
        <w:rPr>
          <w:b/>
        </w:rPr>
        <w:t>Budget engagé (€)</w:t>
      </w:r>
      <w:r>
        <w:t xml:space="preserve"> : Sommes cumulées allouées à travers les programmes et instruments financiers régionaux.</w:t>
      </w:r>
    </w:p>
    <w:p>
      <w:pPr>
        <w:pStyle w:val="ListBullet"/>
      </w:pPr>
      <w:r/>
      <w:r>
        <w:rPr>
          <w:b/>
        </w:rPr>
        <w:t>Taux de conversion</w:t>
      </w:r>
      <w:r>
        <w:t xml:space="preserve"> : Efficacité de la conversion des consortiums créés en projets de R&amp;D actifs.</w:t>
      </w:r>
    </w:p>
    <w:p>
      <w:pPr>
        <w:pStyle w:val="ListBullet"/>
      </w:pPr>
      <w:r/>
      <w:r>
        <w:rPr>
          <w:b/>
        </w:rPr>
        <w:t>Indicateurs d'impact territorial</w:t>
      </w:r>
      <w:r>
        <w:t xml:space="preserve"> : Emplois nets créés (ETP), Tonnes de CO2 évitées, Chiffre d'affaires additionnel généré, Hausse moyenne de la maturité technologique.</w:t>
      </w:r>
    </w:p>
    <w:p>
      <w:pPr>
        <w:pStyle w:val="Heading4"/>
      </w:pPr>
      <w:r>
        <w:t>B. Modules Fonctionnels</w:t>
      </w:r>
    </w:p>
    <w:p>
      <w:pPr>
        <w:pStyle w:val="ListNumber"/>
      </w:pPr>
      <w:r/>
      <w:r>
        <w:rPr>
          <w:b/>
        </w:rPr>
        <w:t>Missions &amp; Roadmaps (`/strategic`)</w:t>
      </w:r>
      <w:r>
        <w:t xml:space="preserve"> : Pilotage du cadre stratégique wallon (Missions, Roadmaps et objectifs de performance).</w:t>
      </w:r>
    </w:p>
    <w:p>
      <w:r>
        <w:t xml:space="preserve">2. </w:t>
      </w:r>
      <w:r>
        <w:rPr>
          <w:b/>
        </w:rPr>
        <w:t>Politiques Publiques (`/strategic-frameworks`)</w:t>
      </w:r>
      <w:r>
        <w:t xml:space="preserve"> : Alignement sur les grands cadres européens et wallons (Smart Specialisation Strategy S3, Plan de Relance, Digital Wallonia).</w:t>
        <w:br/>
      </w:r>
    </w:p>
    <w:p>
      <w:r>
        <w:t xml:space="preserve">3. </w:t>
      </w:r>
      <w:r>
        <w:rPr>
          <w:b/>
        </w:rPr>
        <w:t>Gap Analysis (`/gap-analysis`)</w:t>
      </w:r>
      <w:r>
        <w:t xml:space="preserve"> : Outil cartographique mettant en évidence les déséquilibres du territoire.</w:t>
        <w:br/>
      </w:r>
    </w:p>
    <w:p>
      <w:r>
        <w:t xml:space="preserve">4. </w:t>
      </w:r>
      <w:r>
        <w:rPr>
          <w:b/>
        </w:rPr>
        <w:t>Vue Preuves &amp; Impacts (Registre Stratégique)</w:t>
      </w:r>
      <w:r>
        <w:t xml:space="preserve"> : Consultation des projets financés, des outcomes livrés et des preuves physiques associées.</w:t>
        <w:br/>
      </w:r>
    </w:p>
    <w:p>
      <w:r>
        <w:t xml:space="preserve">5. </w:t>
      </w:r>
      <w:r>
        <w:rPr>
          <w:b/>
        </w:rPr>
        <w:t>Lignage Stratégique S3 (Lineage Trace Visualizer)</w:t>
      </w:r>
      <w:r>
        <w:t xml:space="preserve"> : Outil graphique interactif traçant à l'écran la chaîne de valeur ascendante/descendante reliant chaque preuve physique à l'objectif de politique publique original.</w:t>
        <w:br/>
      </w:r>
    </w:p>
    <w:p>
      <w:pPr>
        <w:pStyle w:val="Heading3"/>
      </w:pPr>
      <w:r>
        <w:t>🔮 3.5 Workspace Interopérabilité</w:t>
      </w:r>
    </w:p>
    <w:p>
      <w:r/>
      <w:r>
        <w:rPr>
          <w:b/>
        </w:rPr>
        <w:t>Persona cible : Architecte IT, Data Steward, Administrateur système</w:t>
      </w:r>
      <w:r>
        <w:br/>
      </w:r>
    </w:p>
    <w:p>
      <w:r>
        <w:t>Espace technique dédié au monitoring de la qualité des données, à la configuration des connecteurs et à la publication du catalogue de données régional.</w:t>
        <w:br/>
      </w:r>
    </w:p>
    <w:p>
      <w:pPr>
        <w:pStyle w:val="Heading4"/>
      </w:pPr>
      <w:r>
        <w:t>A. Tableau de Bord de Santé du Graphe</w:t>
      </w:r>
    </w:p>
    <w:p>
      <w:pPr>
        <w:pStyle w:val="ListBullet"/>
      </w:pPr>
      <w:r/>
      <w:r>
        <w:rPr>
          <w:b/>
        </w:rPr>
        <w:t>Qualité des métadonnées</w:t>
      </w:r>
      <w:r>
        <w:t xml:space="preserve"> : Taux d'entités disposant d'un identifiant sémantique global (URI) valide.</w:t>
      </w:r>
    </w:p>
    <w:p>
      <w:pPr>
        <w:pStyle w:val="ListBullet"/>
      </w:pPr>
      <w:r/>
      <w:r>
        <w:rPr>
          <w:b/>
        </w:rPr>
        <w:t>Taille du Graphe</w:t>
      </w:r>
      <w:r>
        <w:t xml:space="preserve"> : Nombre total de nœuds (entités) et d'arêtes (relations) indexés dans le référentiel.</w:t>
      </w:r>
    </w:p>
    <w:p>
      <w:pPr>
        <w:pStyle w:val="ListBullet"/>
      </w:pPr>
      <w:r/>
      <w:r>
        <w:rPr>
          <w:b/>
        </w:rPr>
        <w:t>Statut de Synchronisation</w:t>
      </w:r>
      <w:r>
        <w:t xml:space="preserve"> : Rapport de santé et logs des jobs automatiques d'importation depuis les systèmes d'autorité externes (BCE, CRM partenaires).</w:t>
      </w:r>
    </w:p>
    <w:p>
      <w:pPr>
        <w:pStyle w:val="Heading4"/>
      </w:pPr>
      <w:r>
        <w:t>B. Modules Fonctionnels</w:t>
      </w:r>
    </w:p>
    <w:p>
      <w:pPr>
        <w:pStyle w:val="ListNumber"/>
      </w:pPr>
      <w:r/>
      <w:r>
        <w:rPr>
          <w:b/>
        </w:rPr>
        <w:t>Sources de données (`/interoperability`)</w:t>
      </w:r>
      <w:r>
        <w:t xml:space="preserve"> : Enregistrement et configuration des systèmes de référence partenaires (SoR). Définition de la fréquence de synchronisation, de l'endpoint d'API et du niveau de confiance (indice de qualité).</w:t>
      </w:r>
    </w:p>
    <w:p>
      <w:r>
        <w:t xml:space="preserve">2. </w:t>
      </w:r>
      <w:r>
        <w:rPr>
          <w:b/>
        </w:rPr>
        <w:t>Mappings (`/interoperability?tab=mappings`)</w:t>
      </w:r>
      <w:r>
        <w:t xml:space="preserve"> : Configuration visuelle des mappings reliant les champs des bases sources à l'ontologie cible (ex: mapper le numéro d'entreprise de la base BCE vers la propriété `dct:identifier` de la classe `d4wmo:Beneficiary`).</w:t>
        <w:br/>
      </w:r>
    </w:p>
    <w:p>
      <w:r>
        <w:t xml:space="preserve">3. </w:t>
      </w:r>
      <w:r>
        <w:rPr>
          <w:b/>
        </w:rPr>
        <w:t>Datasets (`/marketplace`)</w:t>
      </w:r>
      <w:r>
        <w:t xml:space="preserve"> : Publication de catalogues de données partagés (`Datasets` normalisés au format DCAT-AP) et gestion des points d'accès API (GraphQL / REST).</w:t>
        <w:br/>
      </w:r>
    </w:p>
    <w:p>
      <w:r>
        <w:t xml:space="preserve">4. </w:t>
      </w:r>
      <w:r>
        <w:rPr>
          <w:b/>
        </w:rPr>
        <w:t>Qualité des données (`/interoperability/quality`)</w:t>
      </w:r>
      <w:r>
        <w:t xml:space="preserve"> : Tableau de bord de vérification de la qualité selon les 9 dimensions fondamentales.</w:t>
        <w:br/>
      </w:r>
    </w:p>
    <w:p>
      <w:r>
        <w:t xml:space="preserve">5. </w:t>
      </w:r>
      <w:r>
        <w:rPr>
          <w:b/>
        </w:rPr>
        <w:t>API &amp; exports (`/interoperability/api-exports`)</w:t>
      </w:r>
      <w:r>
        <w:t xml:space="preserve"> : Points d'accès techniques d'expositions (REST, GraphQL, Turtle, RDF/XML).</w:t>
        <w:br/>
      </w:r>
    </w:p>
    <w:p>
      <w:pPr>
        <w:pStyle w:val="Heading2"/>
      </w:pPr>
      <w:r>
        <w:t>⛓️ 4. Les 9 Dimensions de Qualité des Données</w:t>
      </w:r>
    </w:p>
    <w:p>
      <w:r>
        <w:t>La qualité des données est évaluée pour garantir que les données territoriales sont utilisables, compréhensibles, fiables, traçables et adaptées aux usages de pilotage, d’interopérabilité et de recommandation.</w:t>
        <w:br/>
      </w:r>
    </w:p>
    <w:p>
      <w:pPr>
        <w:pStyle w:val="ListNumber"/>
      </w:pPr>
      <w:r/>
      <w:r>
        <w:rPr>
          <w:b/>
        </w:rPr>
        <w:t>Complétude</w:t>
      </w:r>
      <w:r>
        <w:t xml:space="preserve"> : Taux de présence des informations obligatoires (ex: code NACE principal, n° BCE, contacts principal).</w:t>
      </w:r>
    </w:p>
    <w:p>
      <w:r>
        <w:t xml:space="preserve">2. </w:t>
      </w:r>
      <w:r>
        <w:rPr>
          <w:b/>
        </w:rPr>
        <w:t>Précision</w:t>
      </w:r>
      <w:r>
        <w:t xml:space="preserve"> : Exactitude des informations géographiques (province, arrondissement) et des classifications d'affaires.</w:t>
        <w:br/>
      </w:r>
    </w:p>
    <w:p>
      <w:r>
        <w:t xml:space="preserve">3. </w:t>
      </w:r>
      <w:r>
        <w:rPr>
          <w:b/>
        </w:rPr>
        <w:t>Conformité</w:t>
      </w:r>
      <w:r>
        <w:t xml:space="preserve"> : Respect des schémas sémantiques définis par l'Union Européenne (CPSV-AP, DCAT-AP).</w:t>
        <w:br/>
      </w:r>
    </w:p>
    <w:p>
      <w:r>
        <w:t xml:space="preserve">4. </w:t>
      </w:r>
      <w:r>
        <w:rPr>
          <w:b/>
        </w:rPr>
        <w:t>Unicité</w:t>
      </w:r>
      <w:r>
        <w:t xml:space="preserve"> : Non-duplication des organisations territoriales assurée par des URIs sémantiques uniques (`semanticId`).</w:t>
        <w:br/>
      </w:r>
    </w:p>
    <w:p>
      <w:r>
        <w:t xml:space="preserve">5. </w:t>
      </w:r>
      <w:r>
        <w:rPr>
          <w:b/>
        </w:rPr>
        <w:t>Cohérence</w:t>
      </w:r>
      <w:r>
        <w:t xml:space="preserve"> : Solidité logique des liens (ex: pas d'accompagnement ou d'outcome sans justificatif d'accompagnement).</w:t>
        <w:br/>
      </w:r>
    </w:p>
    <w:p>
      <w:r>
        <w:t xml:space="preserve">6. </w:t>
      </w:r>
      <w:r>
        <w:rPr>
          <w:b/>
        </w:rPr>
        <w:t>Fraîcheur</w:t>
      </w:r>
      <w:r>
        <w:t xml:space="preserve"> : Délai depuis la dernière mise à jour système depuis les référentiels d'autorité.</w:t>
        <w:br/>
      </w:r>
    </w:p>
    <w:p>
      <w:r>
        <w:t xml:space="preserve">7. </w:t>
      </w:r>
      <w:r>
        <w:rPr>
          <w:b/>
        </w:rPr>
        <w:t>Traçabilité</w:t>
      </w:r>
      <w:r>
        <w:t xml:space="preserve"> : Présence des métadonnées de provenance d'origine (`DataSourceMetadata`).</w:t>
        <w:br/>
      </w:r>
    </w:p>
    <w:p>
      <w:r>
        <w:t xml:space="preserve">8. </w:t>
      </w:r>
      <w:r>
        <w:rPr>
          <w:b/>
        </w:rPr>
        <w:t>Clarté</w:t>
      </w:r>
      <w:r>
        <w:t xml:space="preserve"> : Explication et documentation textuelle des taxonomies transversales utilisées (ex: DR-BEST).</w:t>
        <w:br/>
      </w:r>
    </w:p>
    <w:p>
      <w:r>
        <w:t xml:space="preserve">9. </w:t>
      </w:r>
      <w:r>
        <w:rPr>
          <w:b/>
        </w:rPr>
        <w:t>Disponibilité</w:t>
      </w:r>
      <w:r>
        <w:t xml:space="preserve"> : Taux de bon fonctionnement et d'accessibilité aux endpoints d'intégration de données.</w:t>
        <w:br/>
      </w:r>
    </w:p>
    <w:p>
      <w:pPr>
        <w:pStyle w:val="Heading2"/>
      </w:pPr>
      <w:r>
        <w:t>🔗 5. Interconnexions et Flux de Données Sémantiques</w:t>
      </w:r>
    </w:p>
    <w:p>
      <w:r>
        <w:t>Les workspaces interagissent de manière dynamique par l'intermédiaire de trois flux logiques transversaux :</w:t>
        <w:br/>
      </w:r>
    </w:p>
    <w:p>
      <w:pPr>
        <w:pStyle w:val="Heading3"/>
      </w:pPr>
      <w:r>
        <w:t>5.1 Flux 1 : De la Décision Politique au Terrain (Top-Down Alignment)</w:t>
      </w:r>
    </w:p>
    <w:p>
      <w:r>
        <w:t>Ce flux montre comment une directive stratégique se traduit concrètement en accompagnement sur le terrain :</w:t>
        <w:br/>
      </w:r>
    </w:p>
    <w:p>
      <w:pPr>
        <w:pStyle w:val="ListNumber"/>
      </w:pPr>
      <w:r/>
      <w:r>
        <w:rPr>
          <w:b/>
        </w:rPr>
        <w:t>Cabinet Stratégique (Strategic Workspace / Cockpit DG)</w:t>
      </w:r>
      <w:r>
        <w:t xml:space="preserve"> : Définit une priorité S3 régionale et l'associe à un programme d'accompagnement de financement (ex: Audit Cybersécurité).</w:t>
      </w:r>
    </w:p>
    <w:p>
      <w:r>
        <w:t xml:space="preserve">2. </w:t>
      </w:r>
      <w:r>
        <w:rPr>
          <w:b/>
        </w:rPr>
        <w:t>Animateur Écosystème (Animation Workspace)</w:t>
      </w:r>
      <w:r>
        <w:t xml:space="preserve"> : Publie les fiches de services normalisées correspondantes (conforme CPSV-AP) et structure les parcours d'accompagnement types (Journeys).</w:t>
        <w:br/>
      </w:r>
    </w:p>
    <w:p>
      <w:r>
        <w:t xml:space="preserve">3. </w:t>
      </w:r>
      <w:r>
        <w:rPr>
          <w:b/>
        </w:rPr>
        <w:t>Conseiller (Conseiller Workspace)</w:t>
      </w:r>
      <w:r>
        <w:t xml:space="preserve"> : Diagnostics les PMEs de son portefeuille, détecte leurs défis et les enrôle dans le parcours type.</w:t>
        <w:br/>
      </w:r>
    </w:p>
    <w:p>
      <w:pPr>
        <w:pStyle w:val="Heading3"/>
      </w:pPr>
      <w:r>
        <w:t>5.2 Flux 2 : Du Terrain à la Preuve d'Impact (Bottom-Up Lineage)</w:t>
      </w:r>
    </w:p>
    <w:p>
      <w:r>
        <w:t>Ce flux décrit comment les actions individuelles d'une PME remontent sous forme d'impacts pour les décideurs politiques :</w:t>
        <w:br/>
      </w:r>
    </w:p>
    <w:p>
      <w:pPr>
        <w:pStyle w:val="ListNumber"/>
      </w:pPr>
      <w:r/>
      <w:r>
        <w:rPr>
          <w:b/>
        </w:rPr>
        <w:t>PME / Startup (Entreprise Workspace)</w:t>
      </w:r>
      <w:r>
        <w:t xml:space="preserve"> : Déclare un défi technique ou d'affaires.</w:t>
      </w:r>
    </w:p>
    <w:p>
      <w:r>
        <w:t xml:space="preserve">2. </w:t>
      </w:r>
      <w:r>
        <w:rPr>
          <w:b/>
        </w:rPr>
        <w:t>Conseiller (Conseiller Workspace)</w:t>
      </w:r>
      <w:r>
        <w:t xml:space="preserve"> : Réalise un audit d'accompagnement et dépose le rapport justificatif (Evidence - statut `PENDING`).</w:t>
        <w:br/>
      </w:r>
    </w:p>
    <w:p>
      <w:r>
        <w:t xml:space="preserve">3. </w:t>
      </w:r>
      <w:r>
        <w:rPr>
          <w:b/>
        </w:rPr>
        <w:t>Animateur (Animation Workspace)</w:t>
      </w:r>
      <w:r>
        <w:t xml:space="preserve"> : Contrôle et approuve le justificatif métier (Evidence - statut `APPROVED`).</w:t>
        <w:br/>
      </w:r>
    </w:p>
    <w:p>
      <w:r>
        <w:t xml:space="preserve">4. </w:t>
      </w:r>
      <w:r>
        <w:rPr>
          <w:b/>
        </w:rPr>
        <w:t>Knowledge Graph computation</w:t>
      </w:r>
      <w:r>
        <w:t xml:space="preserve"> : Le graphe sémantique met à jour automatiquement la maturité du bénéficiaire, calcule la contribution stratégique et incrémente les KPIs macro territoriaux.</w:t>
        <w:br/>
      </w:r>
    </w:p>
    <w:p>
      <w:r>
        <w:t xml:space="preserve">5. </w:t>
      </w:r>
      <w:r>
        <w:rPr>
          <w:b/>
        </w:rPr>
        <w:t>DG / Cabinet (Cockpit DG)</w:t>
      </w:r>
      <w:r>
        <w:t xml:space="preserve"> : Visualise l'impact en direct relié sémantiquement au document original (Audit Trail).</w:t>
        <w:br/>
      </w:r>
    </w:p>
    <w:p>
      <w:pPr>
        <w:pStyle w:val="Heading3"/>
      </w:pPr>
      <w:r>
        <w:t>5.3 Flux 3 : L'Interopérabilité et la Provenance (Data Governance Pipeline)</w:t>
      </w:r>
    </w:p>
    <w:p>
      <w:r>
        <w:t>Ce flux garantit la conformité des données territoriales et évite les collisions d'écritures :</w:t>
        <w:br/>
      </w:r>
    </w:p>
    <w:p>
      <w:pPr>
        <w:pStyle w:val="ListNumber"/>
      </w:pPr>
      <w:r/>
      <w:r>
        <w:rPr>
          <w:b/>
        </w:rPr>
        <w:t>Harvesting (Data Steward / Interop Workspace)</w:t>
      </w:r>
      <w:r>
        <w:t xml:space="preserve"> : Récupération périodique des bases d'autorité (BCE) au format DCAT-AP.</w:t>
      </w:r>
    </w:p>
    <w:p>
      <w:r>
        <w:t xml:space="preserve">2. </w:t>
      </w:r>
      <w:r>
        <w:rPr>
          <w:b/>
        </w:rPr>
        <w:t>Graphe de Connaissances</w:t>
      </w:r>
      <w:r>
        <w:t xml:space="preserve"> : Enregistrement de l'entité avec métadonnées de provenance (source: BCE, authoritative: true).</w:t>
        <w:br/>
      </w:r>
    </w:p>
    <w:p>
      <w:r>
        <w:t xml:space="preserve">3. </w:t>
      </w:r>
      <w:r>
        <w:rPr>
          <w:b/>
        </w:rPr>
        <w:t>Conseiller (Conseiller Workspace)</w:t>
      </w:r>
      <w:r>
        <w:t xml:space="preserve"> : Fiche Bénéficiaire 360 chargée. Les champs officiels BCE (code NACE, adresse, dénomination) sont verrouillés en modification. Seuls les champs de diagnostic locaux restent éditables.</w:t>
        <w:br/>
      </w:r>
    </w:p>
    <w:p>
      <w:pPr>
        <w:pStyle w:val="Heading2"/>
      </w:pPr>
      <w:r>
        <w:t>🎨 6. Les Vues d'analyse (Perspectives)</w:t>
      </w:r>
    </w:p>
    <w:p>
      <w:r>
        <w:t xml:space="preserve">Pour explorer le Territorial Knowledge Graph, l'application intègre un module de </w:t>
      </w:r>
      <w:r>
        <w:rPr>
          <w:b/>
        </w:rPr>
        <w:t>Vues d'analyse</w:t>
      </w:r>
      <w:r>
        <w:t xml:space="preserve"> dans la barre latérale gauche :</w:t>
        <w:br/>
      </w:r>
    </w:p>
    <w:p>
      <w:pPr>
        <w:pStyle w:val="ListNumber"/>
      </w:pPr>
      <w:r/>
      <w:r>
        <w:rPr>
          <w:b/>
        </w:rPr>
        <w:t>Cartographie globale</w:t>
      </w:r>
      <w:r>
        <w:t xml:space="preserve"> : Visualiser l’ensemble des liens entre acteurs, services, projets, communautés, données, filières et impacts.</w:t>
      </w:r>
    </w:p>
    <w:p>
      <w:r>
        <w:t xml:space="preserve">2. </w:t>
      </w:r>
      <w:r>
        <w:rPr>
          <w:b/>
        </w:rPr>
        <w:t>Stratégie &amp; impacts</w:t>
      </w:r>
      <w:r>
        <w:t xml:space="preserve"> : Analyser les objectifs, priorités, programmes, KPI, outcomes et contributions aux stratégies régionales.</w:t>
        <w:br/>
      </w:r>
    </w:p>
    <w:p>
      <w:r>
        <w:t xml:space="preserve">3. </w:t>
      </w:r>
      <w:r>
        <w:rPr>
          <w:b/>
        </w:rPr>
        <w:t>Opérations &amp; suivi</w:t>
      </w:r>
      <w:r>
        <w:t xml:space="preserve"> : Suivre les activités, diagnostics, missions, services délivrés, financements, projets et preuves à valider.</w:t>
        <w:br/>
      </w:r>
    </w:p>
    <w:p>
      <w:r>
        <w:t xml:space="preserve">4. </w:t>
      </w:r>
      <w:r>
        <w:rPr>
          <w:b/>
        </w:rPr>
        <w:t>Territoire &amp; écosystèmes</w:t>
      </w:r>
      <w:r>
        <w:t xml:space="preserve"> : Explorer la répartition territoriale des acteurs, communautés, filières, chaînes de valeur et dynamiques locales.</w:t>
        <w:br/>
      </w:r>
    </w:p>
    <w:p>
      <w:r>
        <w:t xml:space="preserve">5. </w:t>
      </w:r>
      <w:r>
        <w:rPr>
          <w:b/>
        </w:rPr>
        <w:t>Données &amp; interopérabilité</w:t>
      </w:r>
      <w:r>
        <w:t xml:space="preserve"> : Analyser les datasets, demandes de données, accords, qualité, interopérabilité, API, DCAT-AP et NGSI-LD.</w:t>
        <w:br/>
      </w:r>
    </w:p>
    <w:p>
      <w:r>
        <w:t xml:space="preserve">6. </w:t>
      </w:r>
      <w:r>
        <w:rPr>
          <w:b/>
        </w:rPr>
        <w:t>Parcours &amp; transformation</w:t>
      </w:r>
      <w:r>
        <w:t xml:space="preserve"> : Suivre les parcours des bénéficiaires, leur maturité, les services consommés, les recommandations et la progression.</w:t>
        <w:br/>
      </w:r>
    </w:p>
    <w:p>
      <w:r>
        <w:t xml:space="preserve">7. </w:t>
      </w:r>
      <w:r>
        <w:rPr>
          <w:b/>
        </w:rPr>
        <w:t>Résilience territoriale</w:t>
      </w:r>
      <w:r>
        <w:t xml:space="preserve"> : Vue d’analyse permettant d’évaluer la résilience économique du territoire à travers cinq dimensions : exposition, vulnérabilité, capacité d’absorption, capacité d’adaptation et capacité de rebond. Cette vue est destinée à préparer des démonstrateurs sur des cas tels que crise énergétique, inondation, cybermenace, pandémie ou rupture d’approvisionnement.</w:t>
        <w:br/>
      </w:r>
    </w:p>
    <w:p>
      <w:r>
        <w:t>&gt; [!IMPORTANT]</w:t>
        <w:br/>
      </w:r>
    </w:p>
    <w:p>
      <w:r>
        <w:t>&gt; La PIT ne constitue pas un outil de gestion opérationnelle de crise. Elle constitue un socle informationnel et analytique permettant de mieux préparer les décisions, cibler les aides, identifier les vulnérabilités et mobiliser les services disponibles.</w:t>
        <w:br/>
      </w:r>
    </w:p>
    <w:p>
      <w:pPr>
        <w:pStyle w:val="Heading2"/>
      </w:pPr>
      <w:r>
        <w:t>🏆 7. Glossaire Technique &amp; Alignement Sémantique (SEMIC)</w:t>
      </w:r>
    </w:p>
    <w:p>
      <w:r>
        <w:t>Pour garantir l'interopérabilité transfrontalière et fédérale, les entités physiques de la base de données PostgreSQL (Prisma) s'alignent directement sur les vocabulaires contrôlés européens (</w:t>
      </w:r>
      <w:r>
        <w:rPr>
          <w:b/>
        </w:rPr>
        <w:t>SEMIC</w:t>
      </w:r>
      <w:r>
        <w:t>) :</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