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2937"/>
          <w:sz w:val="44"/>
        </w:rPr>
        <w:t>PIT Wallonie - Guide d'Usage Métier &amp; Pilotage Territorial</w:t>
      </w:r>
    </w:p>
    <w:p/>
    <w:p>
      <w:pPr>
        <w:pStyle w:val="Heading1"/>
      </w:pPr>
      <w:r>
        <w:t>🏢 Guide Métier &amp; Manuel de Pilotage Territorial - PIT Wallonie</w:t>
      </w:r>
    </w:p>
    <w:p>
      <w:r>
        <w:t xml:space="preserve">Ce guide est destiné aux décideurs, aux gestionnaires de plateformes territoriales (AdN, WE, AWEX, clusters) et aux gestionnaires publics. Il explique la valeur stratégique du standard sémantique européen </w:t>
      </w:r>
      <w:r>
        <w:rPr>
          <w:b/>
        </w:rPr>
        <w:t>CPSV-AP</w:t>
      </w:r>
      <w:r>
        <w:t>, le fonctionnement des écrans de pilotage et l'interprétation des graphiques d'aide à la décision.</w:t>
        <w:br/>
      </w:r>
    </w:p>
    <w:p>
      <w:pPr>
        <w:pStyle w:val="Heading2"/>
      </w:pPr>
      <w:r>
        <w:t>🌟 1. Vision Stratégique : Pourquoi CPSV-AP et les Graphes Territoriaux ?</w:t>
      </w:r>
    </w:p>
    <w:p>
      <w:r>
        <w:t xml:space="preserve">Dans le cadre d'un </w:t>
      </w:r>
      <w:r>
        <w:rPr>
          <w:b/>
        </w:rPr>
        <w:t>Territoire Intelligent (Smart Region)</w:t>
      </w:r>
      <w:r>
        <w:t>, l'information sur les services d'aide aux entreprises (financements, diagnostics, accompagnements) est souvent fragmentée entre plusieurs dizaines d'acteurs (clusters, agences régionales, guichets d'indépendants).</w:t>
        <w:br/>
      </w:r>
    </w:p>
    <w:p>
      <w:pPr>
        <w:pStyle w:val="Heading3"/>
      </w:pPr>
      <w:r>
        <w:t>Le Problème Historique</w:t>
      </w:r>
    </w:p>
    <w:p>
      <w:r>
        <w:t>Un entrepreneur ou un conseiller d'entreprise passe des heures à naviguer d'un site web à un autre pour comprendre à quel accompagnement une PME a droit, quels documents fournir, et par quel canal passer.</w:t>
        <w:br/>
      </w:r>
    </w:p>
    <w:p>
      <w:pPr>
        <w:pStyle w:val="Heading3"/>
      </w:pPr>
      <w:r>
        <w:t>La Solution PIT Wallonie (CPSV-AP v3.0)</w:t>
      </w:r>
    </w:p>
    <w:p>
      <w:r>
        <w:t xml:space="preserve">La norme </w:t>
      </w:r>
      <w:r>
        <w:rPr>
          <w:b/>
        </w:rPr>
        <w:t>CPSV-AP (Common Public Service Application Profile)</w:t>
      </w:r>
      <w:r>
        <w:t xml:space="preserve"> est le standard sémantique de la Commission Européenne (SEMIC) pour décrire les services publics de manière universelle et interopérable. </w:t>
        <w:br/>
      </w:r>
    </w:p>
    <w:p>
      <w:r>
        <w:t xml:space="preserve">En structurant l'information selon cette norme et en l'hébergeant sous forme de </w:t>
      </w:r>
      <w:r>
        <w:rPr>
          <w:b/>
        </w:rPr>
        <w:t>Graphe de Connaissances (Knowledge Graph)</w:t>
      </w:r>
      <w:r>
        <w:t>, PIT Wallonie permet :</w:t>
        <w:br/>
      </w:r>
    </w:p>
    <w:p>
      <w:pPr>
        <w:pStyle w:val="ListBullet"/>
      </w:pPr>
      <w:r>
        <w:t xml:space="preserve">  </w:t>
      </w:r>
      <w:r>
        <w:rPr>
          <w:b/>
        </w:rPr>
        <w:t>L'interopérabilité immédiate</w:t>
      </w:r>
      <w:r>
        <w:t xml:space="preserve"> : Les fiches de services de l'Agence du Numérique, de Wallonie Entreprendre et de l'AWEX parlent le même langage informatique et s'assemblent automatiquement.</w:t>
      </w:r>
    </w:p>
    <w:p>
      <w:pPr>
        <w:pStyle w:val="ListBullet"/>
      </w:pPr>
      <w:r>
        <w:t xml:space="preserve">  </w:t>
      </w:r>
      <w:r>
        <w:rPr>
          <w:b/>
        </w:rPr>
        <w:t>L'intelligence de parcours</w:t>
      </w:r>
      <w:r>
        <w:t xml:space="preserve"> : Les services sont reliés sémantiquement (par exemple : *le diagnostic de maturité numérique de l'AdN* est le </w:t>
      </w:r>
      <w:r>
        <w:rPr>
          <w:b/>
        </w:rPr>
        <w:t>prérequis obligatoire</w:t>
      </w:r>
      <w:r>
        <w:t xml:space="preserve"> du *programme d'expérimentation IA d'EDIH Wallonia*).</w:t>
      </w:r>
    </w:p>
    <w:p>
      <w:pPr>
        <w:pStyle w:val="ListBullet"/>
      </w:pPr>
      <w:r>
        <w:t xml:space="preserve">  </w:t>
      </w:r>
      <w:r>
        <w:rPr>
          <w:b/>
        </w:rPr>
        <w:t>La préparation de l'IA territoriale</w:t>
      </w:r>
      <w:r>
        <w:t xml:space="preserve"> : Ce modèle structuré en JSON-LD est le carburant parfait pour des assistants IA de territoire qui pourront conseiller instantanément les entrepreneurs wallons sans jamais halluciner.</w:t>
      </w:r>
    </w:p>
    <w:p>
      <w:pPr>
        <w:pStyle w:val="Heading2"/>
      </w:pPr>
      <w:r>
        <w:t>🖥️ 2. Manuel d'Utilisation des Écrans de la Plateforme</w:t>
      </w:r>
    </w:p>
    <w:p>
      <w:r>
        <w:t>L'application se compose de 4 grands écrans de pilotage, conçus sur le modèle des interfaces de données industrielles modernes (*Palantir Foundry*, *Notion Enterprise*) :</w:t>
        <w:br/>
      </w:r>
    </w:p>
    <w:p>
      <w:pPr>
        <w:pStyle w:val="Heading3"/>
      </w:pPr>
      <w:r>
        <w:t>Écran A : Le Tableau de Bord Territorial (`/dashboard`)</w:t>
      </w:r>
    </w:p>
    <w:p>
      <w:r>
        <w:t>Cet écran offre une vue d'ensemble instantanée sur la maturité et la richesse de l'offre de services du territoire.</w:t>
        <w:br/>
      </w:r>
    </w:p>
    <w:p>
      <w:pPr>
        <w:pStyle w:val="Heading4"/>
      </w:pPr>
      <w:r>
        <w:t>📊 Décryptage des Graphiques et Scorecards de Pilotage :</w:t>
      </w:r>
    </w:p>
    <w:p>
      <w:pPr>
        <w:pStyle w:val="ListNumber"/>
      </w:pPr>
      <w:r>
        <w:t xml:space="preserve"> </w:t>
      </w:r>
      <w:r>
        <w:rPr>
          <w:b/>
        </w:rPr>
        <w:t>Scorecards KPIs Stratégiques (Indicateurs clés)</w:t>
      </w:r>
      <w:r>
        <w:t xml:space="preserve"> :</w:t>
      </w:r>
    </w:p>
    <w:p>
      <w:pPr>
        <w:pStyle w:val="ListBullet"/>
      </w:pPr>
      <w:r>
        <w:t xml:space="preserve">  </w:t>
      </w:r>
      <w:r>
        <w:rPr>
          <w:b/>
        </w:rPr>
        <w:t>Services</w:t>
      </w:r>
      <w:r>
        <w:t xml:space="preserve"> : Le nombre total de fiches de services publics CPSV-AP encodées dans le catalogue régional.</w:t>
      </w:r>
    </w:p>
    <w:p>
      <w:pPr>
        <w:pStyle w:val="ListBullet"/>
      </w:pPr>
      <w:r>
        <w:t xml:space="preserve">  </w:t>
      </w:r>
      <w:r>
        <w:rPr>
          <w:b/>
        </w:rPr>
        <w:t>Organisations</w:t>
      </w:r>
      <w:r>
        <w:t xml:space="preserve"> : Le nombre d'acteurs publics (Agence du Numérique, AWEX, WE, etc.) dont l'offre est officiellement référencée.</w:t>
      </w:r>
    </w:p>
    <w:p>
      <w:pPr>
        <w:pStyle w:val="ListBullet"/>
      </w:pPr>
      <w:r>
        <w:t xml:space="preserve">  </w:t>
      </w:r>
      <w:r>
        <w:rPr>
          <w:b/>
        </w:rPr>
        <w:t>Parcours Clients</w:t>
      </w:r>
      <w:r>
        <w:t xml:space="preserve"> : Le nombre de parcours intégrés inter-organisations opérationnels pour guider une entreprise de A à Z.</w:t>
      </w:r>
    </w:p>
    <w:p>
      <w:pPr>
        <w:pStyle w:val="ListBullet"/>
      </w:pPr>
      <w:r>
        <w:t xml:space="preserve">  </w:t>
      </w:r>
      <w:r>
        <w:rPr>
          <w:b/>
        </w:rPr>
        <w:t>Relations (Edges)</w:t>
      </w:r>
      <w:r>
        <w:t xml:space="preserve"> : Mesure l'interconnexion sémantique. Plus ce nombre est élevé, plus le réseau territorial est riche en partenariats et en parcours fluides.</w:t>
      </w:r>
    </w:p>
    <w:p>
      <w:r>
        <w:t xml:space="preserve">2.  </w:t>
      </w:r>
      <w:r>
        <w:rPr>
          <w:b/>
        </w:rPr>
        <w:t>Heatmap d'Impact Territorial</w:t>
      </w:r>
      <w:r>
        <w:t xml:space="preserve"> :</w:t>
        <w:br/>
      </w:r>
    </w:p>
    <w:p>
      <w:pPr>
        <w:pStyle w:val="ListBullet"/>
      </w:pPr>
      <w:r>
        <w:t xml:space="preserve">  *À quoi ça sert ?* Visualise la répartition géographique de l'impact des services sur les provinces et bassins d'emplois wallons.</w:t>
      </w:r>
    </w:p>
    <w:p>
      <w:pPr>
        <w:pStyle w:val="ListBullet"/>
      </w:pPr>
      <w:r>
        <w:t xml:space="preserve">  *Lecture métier* : Permet aux cabinets et directions stratégiques (SPW EER) de détecter les zones blanches du territoire (zones manquant d'accompagnements ou de financements).</w:t>
      </w:r>
    </w:p>
    <w:p>
      <w:r>
        <w:t xml:space="preserve">3.  </w:t>
      </w:r>
      <w:r>
        <w:rPr>
          <w:b/>
        </w:rPr>
        <w:t>Radar Chart de Priorité Stratégique (Domaines S3)</w:t>
      </w:r>
      <w:r>
        <w:t xml:space="preserve"> :</w:t>
        <w:br/>
      </w:r>
    </w:p>
    <w:p>
      <w:pPr>
        <w:pStyle w:val="ListBullet"/>
      </w:pPr>
      <w:r>
        <w:t xml:space="preserve">  *À quoi ça sert ?* Mesure l'alignement des services publics avec la </w:t>
      </w:r>
      <w:r>
        <w:rPr>
          <w:b/>
        </w:rPr>
        <w:t>Stratégie de Spécialisation Intelligente (S3)</w:t>
      </w:r>
      <w:r>
        <w:t xml:space="preserve"> de la Wallonie (IA, Industrie 4.0, Circularité, Énergie, Export, Cybersécurité).</w:t>
      </w:r>
    </w:p>
    <w:p>
      <w:pPr>
        <w:pStyle w:val="ListBullet"/>
      </w:pPr>
      <w:r>
        <w:t xml:space="preserve">  *Lecture métier* : Si le radar penche fortement vers la "Cybersécurité" mais est vide sur la "Circularité", le manager de la plateforme peut réorienter l'encodage ou la création de nouveaux programmes d'aide.</w:t>
      </w:r>
    </w:p>
    <w:p>
      <w:pPr>
        <w:pStyle w:val="Heading3"/>
      </w:pPr>
      <w:r>
        <w:t>Écran B : Le Catalogue des Services Publics (`/services`)</w:t>
      </w:r>
    </w:p>
    <w:p>
      <w:r>
        <w:t>Le catalogue est l'annuaire unifié de référence pour les conseillers territoriaux.</w:t>
        <w:br/>
      </w:r>
    </w:p>
    <w:p>
      <w:pPr>
        <w:pStyle w:val="ListBullet"/>
      </w:pPr>
      <w:r>
        <w:t xml:space="preserve">  </w:t>
      </w:r>
      <w:r>
        <w:rPr>
          <w:b/>
        </w:rPr>
        <w:t>Fiches descriptives denses</w:t>
      </w:r>
      <w:r>
        <w:t xml:space="preserve"> : Chaque fiche résume en un coup d'œil l'autorité compétente, le public cible éligible, le délai moyen de traitement (SLA), et les canaux d'accès autorisés.</w:t>
      </w:r>
    </w:p>
    <w:p>
      <w:pPr>
        <w:pStyle w:val="ListBullet"/>
      </w:pPr>
      <w:r>
        <w:t xml:space="preserve">  </w:t>
      </w:r>
      <w:r>
        <w:rPr>
          <w:b/>
        </w:rPr>
        <w:t>Moteur de recherche multicritère</w:t>
      </w:r>
      <w:r>
        <w:t xml:space="preserve"> : Permet de filtrer l'offre instantanément par domaine d'innovation S3, par taille d'entreprise ou par niveau de maturité numérique.</w:t>
      </w:r>
    </w:p>
    <w:p>
      <w:pPr>
        <w:pStyle w:val="Heading3"/>
      </w:pPr>
      <w:r>
        <w:t>Écran C : Le Cockpit Sémantique d'Encodage (`/services/encode`)</w:t>
      </w:r>
    </w:p>
    <w:p>
      <w:r>
        <w:t>Le cœur technologique de la plateforme. Ce formulaire wizard multi-étapes "sticky" à 17 étapes permet à un administrateur ou un cluster d'encoder un service complexe de niveau enterprise.</w:t>
        <w:br/>
      </w:r>
    </w:p>
    <w:p>
      <w:pPr>
        <w:pStyle w:val="Heading4"/>
      </w:pPr>
      <w:r>
        <w:t>🔍 Explication des 17 Étapes Sémantiques Métier :</w:t>
      </w:r>
    </w:p>
    <w:p>
      <w:pPr>
        <w:pStyle w:val="ListNumber"/>
      </w:pPr>
      <w:r>
        <w:t xml:space="preserve"> </w:t>
      </w:r>
      <w:r>
        <w:rPr>
          <w:b/>
        </w:rPr>
        <w:t>Infos Générales</w:t>
      </w:r>
      <w:r>
        <w:t xml:space="preserve"> : Nom, URI officielle unique, description, statut du cycle de vie (Brouillon, Publié) et thématiques S3 associées.</w:t>
      </w:r>
    </w:p>
    <w:p>
      <w:r>
        <w:t xml:space="preserve">2.  </w:t>
      </w:r>
      <w:r>
        <w:rPr>
          <w:b/>
        </w:rPr>
        <w:t>Description Métier</w:t>
      </w:r>
      <w:r>
        <w:t xml:space="preserve"> : Niveau TRL (Technology Readiness Level) visé et maturité digitale ciblée pour qualifier la technicité de l'aide.</w:t>
        <w:br/>
      </w:r>
    </w:p>
    <w:p>
      <w:r>
        <w:t xml:space="preserve">3.  </w:t>
      </w:r>
      <w:r>
        <w:rPr>
          <w:b/>
        </w:rPr>
        <w:t>Fournisseurs (Agent)</w:t>
      </w:r>
      <w:r>
        <w:t xml:space="preserve"> : Définition de l'autorité compétente principale (ex: AWEX) et des partenaires co-fournisseurs.</w:t>
        <w:br/>
      </w:r>
    </w:p>
    <w:p>
      <w:r>
        <w:t xml:space="preserve">4.  </w:t>
      </w:r>
      <w:r>
        <w:rPr>
          <w:b/>
        </w:rPr>
        <w:t>Bénéficiaires (Target Audience)</w:t>
      </w:r>
      <w:r>
        <w:t xml:space="preserve"> : Sélection précise des cibles (indépendant, TPE, PME, startup) et des secteurs d'activité éligibles.</w:t>
        <w:br/>
      </w:r>
    </w:p>
    <w:p>
      <w:r>
        <w:t xml:space="preserve">5.  </w:t>
      </w:r>
      <w:r>
        <w:rPr>
          <w:b/>
        </w:rPr>
        <w:t>Événements Sémantiques (Life/Business Events)</w:t>
      </w:r>
      <w:r>
        <w:t xml:space="preserve"> : Raccroche le service à un moment charnière de l'entreprise (ex: "Transformation digitale", "Difficultés financières", "Internationalisation").</w:t>
        <w:br/>
      </w:r>
    </w:p>
    <w:p>
      <w:r>
        <w:t xml:space="preserve">6.  </w:t>
      </w:r>
      <w:r>
        <w:rPr>
          <w:b/>
        </w:rPr>
        <w:t>Éligibilité (Requirements)</w:t>
      </w:r>
      <w:r>
        <w:t xml:space="preserve"> : </w:t>
      </w:r>
      <w:r>
        <w:rPr>
          <w:b/>
        </w:rPr>
        <w:t>Rule Builder visuel</w:t>
      </w:r>
      <w:r>
        <w:t xml:space="preserve"> permettant de définir des conditions logiques complexes (ex: *Activité en Wallonie* AND *Numéro BCE valide* AND *Projet Innovant*).</w:t>
        <w:br/>
      </w:r>
    </w:p>
    <w:p>
      <w:r>
        <w:t xml:space="preserve">7.  </w:t>
      </w:r>
      <w:r>
        <w:rPr>
          <w:b/>
        </w:rPr>
        <w:t>Documents Requis (Evidence)</w:t>
      </w:r>
      <w:r>
        <w:t xml:space="preserve"> : Liste exhaustive des preuves documentaires que l'entrepreneur doit soumettre (ex: Comptes annuels, Business Plan).</w:t>
        <w:br/>
      </w:r>
    </w:p>
    <w:p>
      <w:r>
        <w:t xml:space="preserve">8.  </w:t>
      </w:r>
      <w:r>
        <w:rPr>
          <w:b/>
        </w:rPr>
        <w:t>Canaux d'Accès (Channel)</w:t>
      </w:r>
      <w:r>
        <w:t xml:space="preserve"> : Les canaux physiques ou numériques par lesquels le citoyen peut demander le service (API, Guichet, Plateforme en ligne, Atelier).</w:t>
        <w:br/>
      </w:r>
    </w:p>
    <w:p>
      <w:r>
        <w:t xml:space="preserve">9.  </w:t>
      </w:r>
      <w:r>
        <w:rPr>
          <w:b/>
        </w:rPr>
        <w:t>Outputs</w:t>
      </w:r>
      <w:r>
        <w:t xml:space="preserve"> : Les livrables concrets et juridiques produits à l'issue du service (ex: Feuille de route IA, Rapport de diagnostic, Subsides accordés).</w:t>
        <w:br/>
      </w:r>
    </w:p>
    <w:p>
      <w:r>
        <w:t xml:space="preserve">10. </w:t>
      </w:r>
      <w:r>
        <w:rPr>
          <w:b/>
        </w:rPr>
        <w:t>Outcomes</w:t>
      </w:r>
      <w:r>
        <w:t xml:space="preserve"> : L'impact direct à moyen terme sur l'entreprise (ex: Augmentation de productivité, Amélioration cybersécurité).</w:t>
        <w:br/>
      </w:r>
    </w:p>
    <w:p>
      <w:r>
        <w:t xml:space="preserve">11. </w:t>
      </w:r>
      <w:r>
        <w:rPr>
          <w:b/>
        </w:rPr>
        <w:t>Impacts Territoriaux</w:t>
      </w:r>
      <w:r>
        <w:t xml:space="preserve"> : Score d'évaluation d'impact à long terme (emplois créés, réduction carbone, souveraineté numérique).</w:t>
        <w:br/>
      </w:r>
    </w:p>
    <w:p>
      <w:r>
        <w:t xml:space="preserve">12. </w:t>
      </w:r>
      <w:r>
        <w:rPr>
          <w:b/>
        </w:rPr>
        <w:t>Ressources (Resource)</w:t>
      </w:r>
      <w:r>
        <w:t xml:space="preserve"> : Besoins en équipements ou experts nécessaires pour dispenser l'aide (ex: Infrastructure cloud, Coût de l'expert).</w:t>
        <w:br/>
      </w:r>
    </w:p>
    <w:p>
      <w:r>
        <w:t xml:space="preserve">13. </w:t>
      </w:r>
      <w:r>
        <w:rPr>
          <w:b/>
        </w:rPr>
        <w:t>Services Liés</w:t>
      </w:r>
      <w:r>
        <w:t xml:space="preserve"> : Déclaration des liaisons de dépendance sémantiques (Services prérequis, complémentaires conseillés ou successeurs).</w:t>
        <w:br/>
      </w:r>
    </w:p>
    <w:p>
      <w:r>
        <w:t xml:space="preserve">14. </w:t>
      </w:r>
      <w:r>
        <w:rPr>
          <w:b/>
        </w:rPr>
        <w:t>Parcours Client (Journey)</w:t>
      </w:r>
      <w:r>
        <w:t xml:space="preserve"> : Positionnement du service dans les phases du cycle de vie de l'entreprise (Sensibilisation ➔ Diagnostic ➔ Financement ➔ Internationalisation).</w:t>
        <w:br/>
      </w:r>
    </w:p>
    <w:p>
      <w:r>
        <w:t xml:space="preserve">15. </w:t>
      </w:r>
      <w:r>
        <w:rPr>
          <w:b/>
        </w:rPr>
        <w:t>Indicateurs KPI</w:t>
      </w:r>
      <w:r>
        <w:t xml:space="preserve"> : Configuration d'objectifs de performance chiffrés et du mode de mesure pour l'évaluation continue de l'action publique.</w:t>
        <w:br/>
      </w:r>
    </w:p>
    <w:p>
      <w:r>
        <w:t xml:space="preserve">16. </w:t>
      </w:r>
      <w:r>
        <w:rPr>
          <w:b/>
        </w:rPr>
        <w:t>Interopérabilité</w:t>
      </w:r>
      <w:r>
        <w:t xml:space="preserve"> : Vocabulaires sémantiques européens utilisés et conformité sémantique.</w:t>
        <w:br/>
      </w:r>
    </w:p>
    <w:p>
      <w:r>
        <w:t xml:space="preserve">17. </w:t>
      </w:r>
      <w:r>
        <w:rPr>
          <w:b/>
        </w:rPr>
        <w:t>Publication &amp; Gouvernance</w:t>
      </w:r>
      <w:r>
        <w:t xml:space="preserve"> : Workflow d'approbation administrative (validation technique, métier, notes de gouvernance).</w:t>
        <w:br/>
      </w:r>
    </w:p>
    <w:p>
      <w:pPr>
        <w:pStyle w:val="Heading3"/>
      </w:pPr>
      <w:r>
        <w:t>Écran D : L'Explorateur de Knowledge Graph (`/graph`)</w:t>
      </w:r>
    </w:p>
    <w:p>
      <w:r>
        <w:t>La représentation visuelle du "cerveau" sémantique du territoire.</w:t>
        <w:br/>
      </w:r>
    </w:p>
    <w:p>
      <w:pPr>
        <w:pStyle w:val="ListBullet"/>
      </w:pPr>
      <w:r>
        <w:t xml:space="preserve">  *À quoi ça sert ?* Cet écran affiche dynamiquement les nœuds (les Services, les Organisations, les Canaux, les Événements) sous forme de réseau interconnecté (Graph).</w:t>
      </w:r>
    </w:p>
    <w:p>
      <w:pPr>
        <w:pStyle w:val="ListBullet"/>
      </w:pPr>
      <w:r>
        <w:t xml:space="preserve">  *Interprétation métier* :</w:t>
      </w:r>
    </w:p>
    <w:p>
      <w:pPr>
        <w:pStyle w:val="ListBullet"/>
      </w:pPr>
      <w:r>
        <w:t xml:space="preserve">  </w:t>
      </w:r>
      <w:r>
        <w:rPr>
          <w:b/>
        </w:rPr>
        <w:t>Les grappes de nœuds (Clusters)</w:t>
      </w:r>
      <w:r>
        <w:t xml:space="preserve"> : Plus un nœud d'organisation a de lignes qui en partent, plus cette organisation est centrale dans l'écosystème territorial (ex: l'AdN pour le numérique).</w:t>
      </w:r>
    </w:p>
    <w:p>
      <w:pPr>
        <w:pStyle w:val="ListBullet"/>
      </w:pPr>
      <w:r>
        <w:t xml:space="preserve">  </w:t>
      </w:r>
      <w:r>
        <w:rPr>
          <w:b/>
        </w:rPr>
        <w:t>Les chemins (Path)</w:t>
      </w:r>
      <w:r>
        <w:t xml:space="preserve"> : Permet de voir visuellement les enchaînements logiques. Si un conseiller clique sur "Diagnostic de maturité", il voit s'allumer la ligne vers "Accompagnement Cyber", puis vers "Aide financière", matérialisant visuellement le parcours idéal de l'entreprise.</w:t>
      </w:r>
    </w:p>
    <w:p>
      <w:pPr>
        <w:pStyle w:val="ListBullet"/>
      </w:pPr>
      <w:r>
        <w:t xml:space="preserve">  </w:t>
      </w:r>
      <w:r>
        <w:rPr>
          <w:b/>
        </w:rPr>
        <w:t>Détection des silos</w:t>
      </w:r>
      <w:r>
        <w:t xml:space="preserve"> : Un service ou une organisation totalement déconnecté du reste du graphe indique un "silo d'information" ou un manque d'intégration partenariale sur le territoire.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