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 Cases CPSV-AP / PIT – Partenaires wallons</w:t>
      </w:r>
    </w:p>
    <w:p>
      <w:r>
        <w:t>Ce document présente une série de use cases structurés sur base du modèle CPSV-AP dans le cadre de la Plateforme d’Intelligence Territoriale (PIT). Les use cases sont alignés avec les métiers et besoins des partenaires wallons : WE, SPW EER / S3, AKT, UCM, AWEX, WBI, pôles et clusters wallons. Chaque use case comprend des données de test et un exemple concret d’utilisation.</w:t>
      </w:r>
    </w:p>
    <w:p>
      <w:pPr>
        <w:pStyle w:val="Heading2"/>
      </w:pPr>
      <w:r>
        <w:t>WE — Orientation financement PME</w:t>
      </w:r>
    </w:p>
    <w:p>
      <w:r>
        <w:rPr>
          <w:b/>
        </w:rPr>
        <w:t xml:space="preserve">Données de test : </w:t>
      </w:r>
      <w:r>
        <w:t>Données de test : MecaTech SRL, fabrication mécanique, 38 ETP, projet robot collaboratif de 180 000 €, Charleroi.</w:t>
      </w:r>
    </w:p>
    <w:p>
      <w:r>
        <w:rPr>
          <w:b/>
        </w:rPr>
        <w:t xml:space="preserve">Exemple : </w:t>
      </w:r>
      <w:r>
        <w:t>Exemple : la PIT recommande un diagnostic EDIH, un accompagnement WE et une mise en relation avec un intégrateur robotique.</w:t>
      </w:r>
    </w:p>
    <w:p>
      <w:pPr>
        <w:pStyle w:val="Heading2"/>
      </w:pPr>
      <w:r>
        <w:t>WE — Détection proactive d’entreprises à potentiel</w:t>
      </w:r>
    </w:p>
    <w:p>
      <w:r>
        <w:rPr>
          <w:b/>
        </w:rPr>
        <w:t xml:space="preserve">Données de test : </w:t>
      </w:r>
      <w:r>
        <w:t>Données de test : GreenSensor SA, IoT environnemental, croissance +28 %, brevet déposé.</w:t>
      </w:r>
    </w:p>
    <w:p>
      <w:r>
        <w:rPr>
          <w:b/>
        </w:rPr>
        <w:t xml:space="preserve">Exemple : </w:t>
      </w:r>
      <w:r>
        <w:t>Exemple : la PIT identifie l’entreprise comme candidate à un accompagnement croissance/export.</w:t>
      </w:r>
    </w:p>
    <w:p>
      <w:pPr>
        <w:pStyle w:val="Heading2"/>
      </w:pPr>
      <w:r>
        <w:t>SPW EER / S3 — Cartographie dynamique S3</w:t>
      </w:r>
    </w:p>
    <w:p>
      <w:r>
        <w:rPr>
          <w:b/>
        </w:rPr>
        <w:t xml:space="preserve">Données de test : </w:t>
      </w:r>
      <w:r>
        <w:t>Données de test : projet Smart Factory Wallonia, DIS industrie du futur, acteurs multiples.</w:t>
      </w:r>
    </w:p>
    <w:p>
      <w:r>
        <w:rPr>
          <w:b/>
        </w:rPr>
        <w:t xml:space="preserve">Exemple : </w:t>
      </w:r>
      <w:r>
        <w:t>Exemple : visualisation des projets, financements et impacts territoriaux.</w:t>
      </w:r>
    </w:p>
    <w:p>
      <w:pPr>
        <w:pStyle w:val="Heading2"/>
      </w:pPr>
      <w:r>
        <w:t>SPW EER / S3 — Détection de synergies inter-DIS</w:t>
      </w:r>
    </w:p>
    <w:p>
      <w:r>
        <w:rPr>
          <w:b/>
        </w:rPr>
        <w:t xml:space="preserve">Données de test : </w:t>
      </w:r>
      <w:r>
        <w:t>Données de test : projets IA agriculture et maintenance prédictive industrielle.</w:t>
      </w:r>
    </w:p>
    <w:p>
      <w:r>
        <w:rPr>
          <w:b/>
        </w:rPr>
        <w:t xml:space="preserve">Exemple : </w:t>
      </w:r>
      <w:r>
        <w:t>Exemple : détection de technologies communes et proposition de collaboration.</w:t>
      </w:r>
    </w:p>
    <w:p>
      <w:pPr>
        <w:pStyle w:val="Heading2"/>
      </w:pPr>
      <w:r>
        <w:t>AKT — Matching entreprises / partenaires</w:t>
      </w:r>
    </w:p>
    <w:p>
      <w:r>
        <w:rPr>
          <w:b/>
        </w:rPr>
        <w:t xml:space="preserve">Données de test : </w:t>
      </w:r>
      <w:r>
        <w:t>Données de test : BuildTech SRL recherchant une solution BIM + IA.</w:t>
      </w:r>
    </w:p>
    <w:p>
      <w:r>
        <w:rPr>
          <w:b/>
        </w:rPr>
        <w:t xml:space="preserve">Exemple : </w:t>
      </w:r>
      <w:r>
        <w:t>Exemple : recommandation automatique de partenaires pertinents.</w:t>
      </w:r>
    </w:p>
    <w:p>
      <w:pPr>
        <w:pStyle w:val="Heading2"/>
      </w:pPr>
      <w:r>
        <w:t>AKT — Détection des besoins sectoriels émergents</w:t>
      </w:r>
    </w:p>
    <w:p>
      <w:r>
        <w:rPr>
          <w:b/>
        </w:rPr>
        <w:t xml:space="preserve">Données de test : </w:t>
      </w:r>
      <w:r>
        <w:t>Données de test : hausse des besoins BIM et cybersécurité dans la construction.</w:t>
      </w:r>
    </w:p>
    <w:p>
      <w:r>
        <w:rPr>
          <w:b/>
        </w:rPr>
        <w:t xml:space="preserve">Exemple : </w:t>
      </w:r>
      <w:r>
        <w:t>Exemple : création d’une action collective sectorielle.</w:t>
      </w:r>
    </w:p>
    <w:p>
      <w:pPr>
        <w:pStyle w:val="Heading2"/>
      </w:pPr>
      <w:r>
        <w:t>UCM — Assistant administratif PME</w:t>
      </w:r>
    </w:p>
    <w:p>
      <w:r>
        <w:rPr>
          <w:b/>
        </w:rPr>
        <w:t xml:space="preserve">Données de test : </w:t>
      </w:r>
      <w:r>
        <w:t>Données de test : Boulangerie Dupont, besoin de digitalisation des commandes.</w:t>
      </w:r>
    </w:p>
    <w:p>
      <w:r>
        <w:rPr>
          <w:b/>
        </w:rPr>
        <w:t xml:space="preserve">Exemple : </w:t>
      </w:r>
      <w:r>
        <w:t>Exemple : parcours simplifié vers aides et services adaptés.</w:t>
      </w:r>
    </w:p>
    <w:p>
      <w:pPr>
        <w:pStyle w:val="Heading2"/>
      </w:pPr>
      <w:r>
        <w:t>UCM — Détection des fragilités entrepreneuriales</w:t>
      </w:r>
    </w:p>
    <w:p>
      <w:r>
        <w:rPr>
          <w:b/>
        </w:rPr>
        <w:t xml:space="preserve">Données de test : </w:t>
      </w:r>
      <w:r>
        <w:t>Données de test : Salon Clara, baisse de CA de 18 %, faible digitalisation.</w:t>
      </w:r>
    </w:p>
    <w:p>
      <w:r>
        <w:rPr>
          <w:b/>
        </w:rPr>
        <w:t xml:space="preserve">Exemple : </w:t>
      </w:r>
      <w:r>
        <w:t>Exemple : recommandation proactive d’accompagnement.</w:t>
      </w:r>
    </w:p>
    <w:p>
      <w:pPr>
        <w:pStyle w:val="Heading2"/>
      </w:pPr>
      <w:r>
        <w:t>AWEX — Recommandation marchés export</w:t>
      </w:r>
    </w:p>
    <w:p>
      <w:r>
        <w:rPr>
          <w:b/>
        </w:rPr>
        <w:t xml:space="preserve">Données de test : </w:t>
      </w:r>
      <w:r>
        <w:t>Données de test : GreenSensor SA, capteurs environnementaux, marchés smart city.</w:t>
      </w:r>
    </w:p>
    <w:p>
      <w:r>
        <w:rPr>
          <w:b/>
        </w:rPr>
        <w:t xml:space="preserve">Exemple : </w:t>
      </w:r>
      <w:r>
        <w:t>Exemple : recommandation d’une mission économique aux Pays-Bas.</w:t>
      </w:r>
    </w:p>
    <w:p>
      <w:pPr>
        <w:pStyle w:val="Heading2"/>
      </w:pPr>
      <w:r>
        <w:t>AWEX — Détection d’entreprises exportables</w:t>
      </w:r>
    </w:p>
    <w:p>
      <w:r>
        <w:rPr>
          <w:b/>
        </w:rPr>
        <w:t xml:space="preserve">Données de test : </w:t>
      </w:r>
      <w:r>
        <w:t>Données de test : BioPack Wallonia, emballages biosourcés, innovation forte.</w:t>
      </w:r>
    </w:p>
    <w:p>
      <w:r>
        <w:rPr>
          <w:b/>
        </w:rPr>
        <w:t xml:space="preserve">Exemple : </w:t>
      </w:r>
      <w:r>
        <w:t>Exemple : identification comme entreprise export-ready.</w:t>
      </w:r>
    </w:p>
    <w:p>
      <w:pPr>
        <w:pStyle w:val="Heading2"/>
      </w:pPr>
      <w:r>
        <w:t>WBI — Recommandation programmes européens</w:t>
      </w:r>
    </w:p>
    <w:p>
      <w:r>
        <w:rPr>
          <w:b/>
        </w:rPr>
        <w:t xml:space="preserve">Données de test : </w:t>
      </w:r>
      <w:r>
        <w:t>Données de test : projet IA efficacité énergétique avec partenaires européens.</w:t>
      </w:r>
    </w:p>
    <w:p>
      <w:r>
        <w:rPr>
          <w:b/>
        </w:rPr>
        <w:t xml:space="preserve">Exemple : </w:t>
      </w:r>
      <w:r>
        <w:t>Exemple : matching avec Horizon Europe et Interreg.</w:t>
      </w:r>
    </w:p>
    <w:p>
      <w:pPr>
        <w:pStyle w:val="Heading2"/>
      </w:pPr>
      <w:r>
        <w:t>Pôles / Clusters — Détection automatique de consortiums</w:t>
      </w:r>
    </w:p>
    <w:p>
      <w:r>
        <w:rPr>
          <w:b/>
        </w:rPr>
        <w:t xml:space="preserve">Données de test : </w:t>
      </w:r>
      <w:r>
        <w:t>Données de test : projet maintenance prédictive avec startup IA et centre de recherche.</w:t>
      </w:r>
    </w:p>
    <w:p>
      <w:r>
        <w:rPr>
          <w:b/>
        </w:rPr>
        <w:t xml:space="preserve">Exemple : </w:t>
      </w:r>
      <w:r>
        <w:t>Exemple : consortium généré automatiquement.</w:t>
      </w:r>
    </w:p>
    <w:p>
      <w:pPr>
        <w:pStyle w:val="Heading2"/>
      </w:pPr>
      <w:r>
        <w:t>Pôles / Clusters — Cartographie chaînes de valeur</w:t>
      </w:r>
    </w:p>
    <w:p>
      <w:r>
        <w:rPr>
          <w:b/>
        </w:rPr>
        <w:t xml:space="preserve">Données de test : </w:t>
      </w:r>
      <w:r>
        <w:t>Données de test : chaîne de valeur batteries en Wallonie.</w:t>
      </w:r>
    </w:p>
    <w:p>
      <w:r>
        <w:rPr>
          <w:b/>
        </w:rPr>
        <w:t xml:space="preserve">Exemple : </w:t>
      </w:r>
      <w:r>
        <w:t>Exemple : identification des maillons manquants.</w:t>
      </w:r>
    </w:p>
    <w:p>
      <w:pPr>
        <w:pStyle w:val="Heading2"/>
      </w:pPr>
      <w:r>
        <w:t>Use case transversal — Moteur de recommandation de services</w:t>
      </w:r>
    </w:p>
    <w:p>
      <w:r>
        <w:rPr>
          <w:b/>
        </w:rPr>
        <w:t xml:space="preserve">Données de test : </w:t>
      </w:r>
      <w:r>
        <w:t>Données de test : DataWood SRL, automatisation devis et production.</w:t>
      </w:r>
    </w:p>
    <w:p>
      <w:r>
        <w:rPr>
          <w:b/>
        </w:rPr>
        <w:t xml:space="preserve">Exemple : </w:t>
      </w:r>
      <w:r>
        <w:t>Exemple : recommandation coordonnée EDIH, WE, AWEX et cluster.</w:t>
      </w:r>
    </w:p>
    <w:p>
      <w:pPr>
        <w:pStyle w:val="Heading2"/>
      </w:pPr>
      <w:r>
        <w:t>Use case transversal — Customer Journey territorial</w:t>
      </w:r>
    </w:p>
    <w:p>
      <w:r>
        <w:rPr>
          <w:b/>
        </w:rPr>
        <w:t xml:space="preserve">Données de test : </w:t>
      </w:r>
      <w:r>
        <w:t>Données de test : FoodProcess SA, optimisation énergétique.</w:t>
      </w:r>
    </w:p>
    <w:p>
      <w:r>
        <w:rPr>
          <w:b/>
        </w:rPr>
        <w:t xml:space="preserve">Exemple : </w:t>
      </w:r>
      <w:r>
        <w:t>Exemple : parcours intégré sensibilisation → financement → déploiement.</w:t>
      </w:r>
    </w:p>
    <w:p>
      <w:pPr>
        <w:pStyle w:val="Heading2"/>
      </w:pPr>
      <w:r>
        <w:t>Use case transversal — Knowledge Graph territorial</w:t>
      </w:r>
    </w:p>
    <w:p>
      <w:r>
        <w:rPr>
          <w:b/>
        </w:rPr>
        <w:t xml:space="preserve">Données de test : </w:t>
      </w:r>
      <w:r>
        <w:t>Données de test : entreprises, projets, services, financements et DIS.</w:t>
      </w:r>
    </w:p>
    <w:p>
      <w:r>
        <w:rPr>
          <w:b/>
        </w:rPr>
        <w:t xml:space="preserve">Exemple : </w:t>
      </w:r>
      <w:r>
        <w:t>Exemple : requêtes intelligentes sur l’écosystème territorial.</w:t>
      </w:r>
    </w:p>
    <w:p>
      <w:pPr>
        <w:pStyle w:val="Heading2"/>
      </w:pPr>
      <w:r>
        <w:t>Structure de données de test recommandée</w:t>
      </w:r>
    </w:p>
    <w:p>
      <w:r>
        <w:t>- 10 entreprises fictives wallonnes</w:t>
        <w:br/>
        <w:t>- 8 organisations partenaires</w:t>
        <w:br/>
        <w:t>- 20 services CPSV</w:t>
        <w:br/>
        <w:t>- 8 business events</w:t>
        <w:br/>
        <w:t>- 6 life events</w:t>
        <w:br/>
        <w:t>- 10 target audiences</w:t>
        <w:br/>
        <w:t>- 15 requirements</w:t>
        <w:br/>
        <w:t>- 10 outputs</w:t>
        <w:br/>
        <w:t>- 10 channels</w:t>
        <w:br/>
        <w:t>- 10 parcours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