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2937"/>
          <w:sz w:val="44"/>
        </w:rPr>
        <w:t>PIT Wallonie - Guide d'Usage Métier &amp; Pilotage Territorial</w:t>
      </w:r>
    </w:p>
    <w:p/>
    <w:p>
      <w:pPr>
        <w:pStyle w:val="Heading1"/>
      </w:pPr>
      <w:r>
        <w:t>GUIDE D'USAGE MÉTIER ET DOCUMENTATION FONCTIONNELLE COMPLETE</w:t>
      </w:r>
    </w:p>
    <w:p>
      <w:pPr>
        <w:pStyle w:val="Heading2"/>
      </w:pPr>
      <w:r>
        <w:t>Plateforme d'Intelligence Territoriale (PIT vNext) — Région Wallonne</w:t>
      </w:r>
    </w:p>
    <w:p>
      <w:r>
        <w:t xml:space="preserve">Ce document constitue la </w:t>
      </w:r>
      <w:r>
        <w:rPr>
          <w:b/>
        </w:rPr>
        <w:t>documentation fonctionnelle métier officielle</w:t>
      </w:r>
      <w:r>
        <w:t xml:space="preserve"> de la Plateforme d'Intelligence Territoriale (PIT) vNext. Il est conçu pour les utilisateurs métier, les conseillers, les animateurs d'écosystèmes et les décideurs publics afin de comprendre à quoi sert la plateforme, comment naviguer dans ses différents cockpits et comment les données, onglets et processus s'interconnectent.</w:t>
        <w:br/>
      </w:r>
    </w:p>
    <w:p>
      <w:pPr>
        <w:pStyle w:val="Heading2"/>
      </w:pPr>
      <w:r>
        <w:t>🌐 1. Vision Métier : Qu'est-ce que la PIT vNext ?</w:t>
      </w:r>
    </w:p>
    <w:p>
      <w:r>
        <w:t xml:space="preserve">La Plateforme d'Intelligence Territoriale (PIT) n'est </w:t>
      </w:r>
      <w:r>
        <w:rPr>
          <w:b/>
        </w:rPr>
        <w:t>ni un CRM commercial classique</w:t>
      </w:r>
      <w:r>
        <w:t xml:space="preserve">, </w:t>
      </w:r>
      <w:r>
        <w:rPr>
          <w:b/>
        </w:rPr>
        <w:t>ni une salle opérationnelle de gestion de crise</w:t>
      </w:r>
      <w:r>
        <w:t xml:space="preserve">, </w:t>
      </w:r>
      <w:r>
        <w:rPr>
          <w:b/>
        </w:rPr>
        <w:t>ni un simple annuaire</w:t>
      </w:r>
      <w:r>
        <w:t xml:space="preserve">. </w:t>
        <w:br/>
      </w:r>
    </w:p>
    <w:p>
      <w:r>
        <w:t xml:space="preserve">C'est un </w:t>
      </w:r>
      <w:r>
        <w:rPr>
          <w:b/>
        </w:rPr>
        <w:t>back-office territorial sémantisé</w:t>
      </w:r>
      <w:r>
        <w:t xml:space="preserve"> qui structure les informations de l'écosystème économique wallon afin de maximiser l'impact de l'action publique et de mesurer le retour sur investissement (ROI) territorial.</w:t>
        <w:br/>
      </w:r>
    </w:p>
    <w:p>
      <w:pPr>
        <w:pStyle w:val="Heading3"/>
      </w:pPr>
      <w:r>
        <w:t>🎯 Ses objectifs principaux :</w:t>
      </w:r>
    </w:p>
    <w:p>
      <w:pPr>
        <w:pStyle w:val="ListBullet"/>
      </w:pPr>
      <w:r/>
      <w:r>
        <w:rPr>
          <w:b/>
        </w:rPr>
        <w:t>Unifier la connaissance des acteurs</w:t>
      </w:r>
      <w:r>
        <w:t xml:space="preserve"> : Centraliser les PME accompagnées, les opérateurs (pôles, clusters, institutions), les contacts et leurs relations d'affiliation.</w:t>
      </w:r>
    </w:p>
    <w:p>
      <w:pPr>
        <w:pStyle w:val="ListBullet"/>
      </w:pPr>
      <w:r/>
      <w:r>
        <w:rPr>
          <w:b/>
        </w:rPr>
        <w:t>Normaliser l'offre de services</w:t>
      </w:r>
      <w:r>
        <w:t xml:space="preserve"> : Utiliser la norme européenne </w:t>
      </w:r>
      <w:r>
        <w:rPr>
          <w:b/>
        </w:rPr>
        <w:t>CPSV-AP</w:t>
      </w:r>
      <w:r>
        <w:t xml:space="preserve"> pour décrire l'ensemble des aides régionales de manière structurée.</w:t>
      </w:r>
    </w:p>
    <w:p>
      <w:pPr>
        <w:pStyle w:val="ListBullet"/>
      </w:pPr>
      <w:r/>
      <w:r>
        <w:rPr>
          <w:b/>
        </w:rPr>
        <w:t>Tracer l'impact réel</w:t>
      </w:r>
      <w:r>
        <w:t xml:space="preserve"> : Relier chaque prestation fournie à un justificatif physique, puis à des indicateurs d'outcomes et de maturité pour mesurer la transformation du territoire.</w:t>
      </w:r>
    </w:p>
    <w:p>
      <w:pPr>
        <w:pStyle w:val="ListBullet"/>
      </w:pPr>
      <w:r/>
      <w:r>
        <w:rPr>
          <w:b/>
        </w:rPr>
        <w:t>Aider à la décision</w:t>
      </w:r>
      <w:r>
        <w:t xml:space="preserve"> : Fournir aux décideurs des cockpits d'adéquation stratégique (S3, circularité, etc.) et de détection des déséquilibres (Gap Analysis).</w:t>
      </w:r>
    </w:p>
    <w:p>
      <w:pPr>
        <w:pStyle w:val="Heading2"/>
      </w:pPr>
      <w:r>
        <w:t>⛓️ 2. Le Modèle de Données Métier &amp; Ses Interconnexions</w:t>
      </w:r>
    </w:p>
    <w:p>
      <w:r>
        <w:t>Dans la version actuelle, la PIT repose sur un modèle de données relationnel sémantisé, organisé comme un graphe métier logique. Les entités — bénéficiaires, acteurs territoriaux, services, parcours, projets, preuves, outcomes, datasets et financements — sont reliées fonctionnellement afin de produire des vues transversales. La cible vNext est de faire évoluer ce socle vers un Territorial Knowledge Graph natif complet, basé sur des identifiants sémantiques interopérables, RDF/SPARQL et des capacités avancées d’exploitation graph.</w:t>
        <w:br/>
      </w:r>
    </w:p>
    <w:p>
      <w:r>
        <w:t>Chaque concept est relié logiquement aux autres :</w:t>
        <w:br/>
      </w:r>
    </w:p>
    <w:p>
      <w:pPr>
        <w:ind w:left="720"/>
      </w:pPr>
      <w:r>
        <w:rPr>
          <w:rFonts w:ascii="Consolas" w:hAnsi="Consolas"/>
          <w:color w:val="4B5563"/>
          <w:sz w:val="19"/>
        </w:rPr>
        <w:t>graph TD</w:t>
        <w:br/>
        <w:t xml:space="preserve">    %% Entités %%</w:t>
        <w:br/>
        <w:t xml:space="preserve">    Beneficiary[Bénéficiaire (PME/Startup)]</w:t>
        <w:br/>
        <w:t xml:space="preserve">    Contact[Contact physique]</w:t>
        <w:br/>
        <w:t xml:space="preserve">    Org[Acteur Territorial (Opérateur/Pôle)]</w:t>
        <w:br/>
        <w:t xml:space="preserve">    Service[Service Public (CPSV-AP)]</w:t>
        <w:br/>
        <w:t xml:space="preserve">    Cost[Coûts &amp; Aides d'État]</w:t>
        <w:br/>
        <w:t xml:space="preserve">    Challenge[Défi / Verrou territorial]</w:t>
        <w:br/>
        <w:t xml:space="preserve">    Journey[Parcours de croissance]</w:t>
        <w:br/>
        <w:t xml:space="preserve">    Delivery[Prestation (Service Delivery)]</w:t>
        <w:br/>
        <w:t xml:space="preserve">    Evidence[Justificatif / Preuve]</w:t>
        <w:br/>
        <w:t xml:space="preserve">    Outcome[Résultat d'impact (Maturité)]</w:t>
        <w:br/>
        <w:t xml:space="preserve">    Indicator[Indicateur Macro S3]</w:t>
        <w:br/>
        <w:t xml:space="preserve">    Award[Subvention (Funding Award)]</w:t>
        <w:br/>
        <w:t xml:space="preserve">    Project[Projet R&amp;D / Innovation]</w:t>
        <w:br/>
        <w:t xml:space="preserve">    </w:t>
        <w:br/>
        <w:t xml:space="preserve">    %% Relations %%</w:t>
        <w:br/>
        <w:t xml:space="preserve">    Beneficiary --&gt;|a pour contact| Contact</w:t>
        <w:br/>
        <w:t xml:space="preserve">    Beneficiary --&gt;|déclare| Challenge</w:t>
        <w:br/>
        <w:t xml:space="preserve">    Beneficiary --&gt;|affilié à| Org</w:t>
        <w:br/>
        <w:t xml:space="preserve">    Org --&gt;|délivre| Service</w:t>
        <w:br/>
        <w:t xml:space="preserve">    Service --&gt;|comporte| Cost</w:t>
        <w:br/>
        <w:t xml:space="preserve">    Service --&gt;|adresse| Challenge</w:t>
        <w:br/>
        <w:t xml:space="preserve">    Journey --&gt;|recommande| Service</w:t>
        <w:br/>
        <w:t xml:space="preserve">    Beneficiary --&gt;|enrôlé dans| Journey</w:t>
        <w:br/>
        <w:t xml:space="preserve">    Delivery --&gt;|concrétise| Service</w:t>
        <w:br/>
        <w:t xml:space="preserve">    Delivery --&gt;|bénéficiaire| Beneficiary</w:t>
        <w:br/>
        <w:t xml:space="preserve">    Delivery --&gt;|génère| Outcome</w:t>
        <w:br/>
        <w:t xml:space="preserve">    Delivery --&gt;|justifié par| Evidence</w:t>
        <w:br/>
        <w:t xml:space="preserve">    Outcome --&gt;|prouvé par| Evidence</w:t>
        <w:br/>
        <w:t xml:space="preserve">    Outcome --&gt;|incrémente| Indicator</w:t>
        <w:br/>
        <w:t xml:space="preserve">    Project --&gt;|bénéficiaire| Beneficiary</w:t>
        <w:br/>
        <w:t xml:space="preserve">    Project --&gt;|sécurise| Award</w:t>
        <w:br/>
        <w:t xml:space="preserve">    Award --&gt;|finance| Project</w:t>
      </w:r>
    </w:p>
    <w:p>
      <w:pPr>
        <w:pStyle w:val="Heading3"/>
      </w:pPr>
      <w:r>
        <w:t>💡 Les interconnexions clés à comprendre :</w:t>
      </w:r>
    </w:p>
    <w:p>
      <w:pPr>
        <w:pStyle w:val="ListNumber"/>
      </w:pPr>
      <w:r/>
      <w:r>
        <w:rPr>
          <w:b/>
        </w:rPr>
        <w:t>Le triptyque Prestation ➔ Justificatif ➔ Impact</w:t>
      </w:r>
      <w:r>
        <w:t xml:space="preserve"> :</w:t>
      </w:r>
    </w:p>
    <w:p>
      <w:pPr>
        <w:pStyle w:val="ListBullet"/>
      </w:pPr>
      <w:r>
        <w:t xml:space="preserve">Une prestation de conseil effectuée par un conseiller terrain auprès d'une PME est enregistrée sous forme de </w:t>
      </w:r>
      <w:r>
        <w:rPr>
          <w:b/>
        </w:rPr>
        <w:t>ServiceDelivery</w:t>
      </w:r>
      <w:r>
        <w:t>.</w:t>
      </w:r>
    </w:p>
    <w:p>
      <w:pPr>
        <w:pStyle w:val="ListBullet"/>
      </w:pPr>
      <w:r>
        <w:t xml:space="preserve">Pour être validée, cette prestation doit être rattachée à un justificatif physique (un </w:t>
      </w:r>
      <w:r>
        <w:rPr>
          <w:b/>
        </w:rPr>
        <w:t>Evidence</w:t>
      </w:r>
      <w:r>
        <w:t xml:space="preserve"> : ex: PDF d'audit ou livrable signé).</w:t>
      </w:r>
    </w:p>
    <w:p>
      <w:pPr>
        <w:pStyle w:val="ListBullet"/>
      </w:pPr>
      <w:r>
        <w:t>Une fois le justificatif validé par l'animateur, le système calcule l'</w:t>
      </w:r>
      <w:r>
        <w:rPr>
          <w:b/>
        </w:rPr>
        <w:t>Outcome</w:t>
      </w:r>
      <w:r>
        <w:t xml:space="preserve"> (ex: gain de `+1` en maturité Cybersécurité) et met à jour l'évolution des indicateurs de réussite régionaux.</w:t>
      </w:r>
    </w:p>
    <w:p>
      <w:r>
        <w:t xml:space="preserve">2. </w:t>
      </w:r>
      <w:r>
        <w:rPr>
          <w:b/>
        </w:rPr>
        <w:t>Le couple Catalogue CPSV-AP &amp; Grille de Coûts</w:t>
      </w:r>
      <w:r>
        <w:t xml:space="preserve"> :</w:t>
        <w:br/>
      </w:r>
    </w:p>
    <w:p>
      <w:pPr>
        <w:pStyle w:val="ListBullet"/>
      </w:pPr>
      <w:r>
        <w:t xml:space="preserve">Chaque </w:t>
      </w:r>
      <w:r>
        <w:rPr>
          <w:b/>
        </w:rPr>
        <w:t>PublicService</w:t>
      </w:r>
      <w:r>
        <w:t xml:space="preserve"> est indexé avec ses métadonnées standardisées.</w:t>
      </w:r>
    </w:p>
    <w:p>
      <w:pPr>
        <w:pStyle w:val="ListBullet"/>
      </w:pPr>
      <w:r>
        <w:t xml:space="preserve">Il est relié à une ou plusieurs fiches de </w:t>
      </w:r>
      <w:r>
        <w:rPr>
          <w:b/>
        </w:rPr>
        <w:t>Cost</w:t>
      </w:r>
      <w:r>
        <w:t xml:space="preserve"> (coût) qui distinguent le *Prix Nominal* (ce que vaut la prestation sur le marché) et l'*Aide d'État rétro-cédée* (ce que la PME n'a pas à payer grâce aux subsides de la Wallonie), assurant le respect des règles d'aides d'État européennes.</w:t>
      </w:r>
    </w:p>
    <w:p>
      <w:r>
        <w:t xml:space="preserve">3. </w:t>
      </w:r>
      <w:r>
        <w:rPr>
          <w:b/>
        </w:rPr>
        <w:t>Liaison Défi (Challenge) ➔ Recommandation</w:t>
      </w:r>
      <w:r>
        <w:t xml:space="preserve"> :</w:t>
        <w:br/>
      </w:r>
    </w:p>
    <w:p>
      <w:pPr>
        <w:pStyle w:val="ListBullet"/>
      </w:pPr>
      <w:r>
        <w:t>Une PME déclare un verrou d'affaires (ex: rupture d'approvisionnement en intrants critiques).</w:t>
      </w:r>
    </w:p>
    <w:p>
      <w:pPr>
        <w:pStyle w:val="ListBullet"/>
      </w:pPr>
      <w:r>
        <w:t xml:space="preserve">Le </w:t>
      </w:r>
      <w:r>
        <w:rPr>
          <w:b/>
        </w:rPr>
        <w:t>Moteur de Match</w:t>
      </w:r>
      <w:r>
        <w:t xml:space="preserve"> scanne le catalogue CPSV et identifie les services ou consortiums d'experts qui adressent spécifiquement ce type de verrou, générant des recommandations automatiques pour les conseillers.</w:t>
      </w:r>
    </w:p>
    <w:p>
      <w:r>
        <w:t xml:space="preserve">4. </w:t>
      </w:r>
      <w:r>
        <w:rPr>
          <w:b/>
        </w:rPr>
        <w:t>La notion de Membership / Affiliation</w:t>
      </w:r>
      <w:r>
        <w:t xml:space="preserve"> :</w:t>
        <w:br/>
      </w:r>
    </w:p>
    <w:p>
      <w:pPr>
        <w:pStyle w:val="ListBullet"/>
      </w:pPr>
      <w:r>
        <w:t>Un acteur n'est pas isolé. La relation d'</w:t>
      </w:r>
      <w:r>
        <w:rPr>
          <w:b/>
        </w:rPr>
        <w:t>Affiliation</w:t>
      </w:r>
      <w:r>
        <w:t xml:space="preserve"> lie une organisation à un collectif (consortium, programme thématique, cluster comme BioWin ou GreenWin) avec un rôle formalisé.</w:t>
      </w:r>
    </w:p>
    <w:p>
      <w:pPr>
        <w:pStyle w:val="Heading2"/>
      </w:pPr>
      <w:r>
        <w:t>👥 3. Guide d'Usage des 5 Espaces de Travail (Workspaces)</w:t>
      </w:r>
    </w:p>
    <w:p>
      <w:r>
        <w:t>L'interface de la PIT s'adapte dynamiquement selon le rôle (Persona) sélectionné dans l'en-tête de la plateforme :</w:t>
        <w:br/>
      </w:r>
    </w:p>
    <w:p>
      <w:pPr>
        <w:pStyle w:val="Heading3"/>
      </w:pPr>
      <w:r>
        <w:t>💼 3.1 Workspace Animation</w:t>
      </w:r>
    </w:p>
    <w:p>
      <w:pPr>
        <w:pStyle w:val="ListBullet"/>
      </w:pPr>
      <w:r/>
      <w:r>
        <w:rPr>
          <w:b/>
        </w:rPr>
        <w:t>Qui l'utilise ?</w:t>
      </w:r>
      <w:r>
        <w:t xml:space="preserve"> Les animateurs de pôles de compétitivité, clusters, EDIH ou hubs (ex: BioWin, GreenWin, AdN).</w:t>
      </w:r>
    </w:p>
    <w:p>
      <w:pPr>
        <w:pStyle w:val="ListBullet"/>
      </w:pPr>
      <w:r/>
      <w:r>
        <w:rPr>
          <w:b/>
        </w:rPr>
        <w:t>Objectif</w:t>
      </w:r>
      <w:r>
        <w:t xml:space="preserve"> : Piloter la vitalité de la filière et valider les livrables physiques du terrain.</w:t>
      </w:r>
    </w:p>
    <w:p>
      <w:pPr>
        <w:pStyle w:val="ListBullet"/>
      </w:pPr>
      <w:r/>
      <w:r>
        <w:rPr>
          <w:b/>
        </w:rPr>
        <w:t>Fonctions clés</w:t>
      </w:r>
      <w:r>
        <w:t xml:space="preserve"> :</w:t>
      </w:r>
    </w:p>
    <w:p>
      <w:pPr>
        <w:pStyle w:val="ListBullet"/>
      </w:pPr>
      <w:r>
        <w:t xml:space="preserve">*Tableau de bord* : Mesure la conversion à travers le </w:t>
      </w:r>
      <w:r>
        <w:rPr>
          <w:b/>
        </w:rPr>
        <w:t>Funnel d'Animation Régionale</w:t>
      </w:r>
      <w:r>
        <w:t xml:space="preserve"> (de l'inscription à un événement jusqu'à l'outcomes d'impact).</w:t>
      </w:r>
    </w:p>
    <w:p>
      <w:pPr>
        <w:pStyle w:val="ListBullet"/>
      </w:pPr>
      <w:r>
        <w:t>*Justificatifs &amp; Preuves* : Valider ou rejeter les rapports de prestations soumis par les conseillers pour débloquer l'impact dans le graphe.</w:t>
      </w:r>
    </w:p>
    <w:p>
      <w:pPr>
        <w:pStyle w:val="ListBullet"/>
      </w:pPr>
      <w:r>
        <w:t>*Communautés &amp; Consortiums* : Gérer les cercles technologiques thématiques et la constitution des groupements R&amp;D.</w:t>
      </w:r>
    </w:p>
    <w:p>
      <w:pPr>
        <w:pStyle w:val="Heading3"/>
      </w:pPr>
      <w:r>
        <w:t>🤝 3.2 Workspace Conseiller</w:t>
      </w:r>
    </w:p>
    <w:p>
      <w:pPr>
        <w:pStyle w:val="ListBullet"/>
      </w:pPr>
      <w:r/>
      <w:r>
        <w:rPr>
          <w:b/>
        </w:rPr>
        <w:t>Qui l'utilise ?</w:t>
      </w:r>
      <w:r>
        <w:t xml:space="preserve"> Les conseillers économiques ou technologiques sur le terrain (Wallonie Entreprendre, AdN, AWEX, UCM, experts agréés).</w:t>
      </w:r>
    </w:p>
    <w:p>
      <w:pPr>
        <w:pStyle w:val="ListBullet"/>
      </w:pPr>
      <w:r/>
      <w:r>
        <w:rPr>
          <w:b/>
        </w:rPr>
        <w:t>Objectif</w:t>
      </w:r>
      <w:r>
        <w:t xml:space="preserve"> : Accompagner individuellement les PME dans leur diagnostic et leur parcours de transition.</w:t>
      </w:r>
    </w:p>
    <w:p>
      <w:pPr>
        <w:pStyle w:val="ListBullet"/>
      </w:pPr>
      <w:r/>
      <w:r>
        <w:rPr>
          <w:b/>
        </w:rPr>
        <w:t>Fonctions clés</w:t>
      </w:r>
      <w:r>
        <w:t xml:space="preserve"> :</w:t>
      </w:r>
    </w:p>
    <w:p>
      <w:pPr>
        <w:pStyle w:val="ListBullet"/>
      </w:pPr>
      <w:r>
        <w:t xml:space="preserve">*Bénéficiaires 360°* : Consulter les fiches d'identité. Les données administratives (BCE) sont </w:t>
      </w:r>
      <w:r>
        <w:rPr>
          <w:b/>
        </w:rPr>
        <w:t>verrouillées</w:t>
      </w:r>
      <w:r>
        <w:t xml:space="preserve"> (provenant de sources d'autorité), mais le conseiller gère les sliders de maturité (DMAT, IA) et consulte la timeline d'interactions historique de l'entreprise.</w:t>
      </w:r>
    </w:p>
    <w:p>
      <w:pPr>
        <w:pStyle w:val="ListBullet"/>
      </w:pPr>
      <w:r>
        <w:t>*Moteur de Match* `[Démonstrateur / à valider métier]` : Le moteur de match constitue actuellement une fonctionnalité de démonstration permettant d’illustrer comment les diagnostics, défis déclarés et profils de bénéficiaires peuvent orienter vers des services CPSV, appels à projets ou experts pertinents. Les règles de recommandation doivent être validées avec les métiers avant industrialisation.</w:t>
      </w:r>
    </w:p>
    <w:p>
      <w:pPr>
        <w:pStyle w:val="ListBullet"/>
      </w:pPr>
      <w:r>
        <w:t>*Parcours (Parcours)* : Enrôler la PME dans une suite logique d'aides (ex: Audit ➔ PoC ➔ Déploiement) et suivre son état d'avancement.</w:t>
      </w:r>
    </w:p>
    <w:p>
      <w:pPr>
        <w:pStyle w:val="Heading3"/>
      </w:pPr>
      <w:r>
        <w:t>🏢 3.3 Workspace Entreprise `[Cible vNext]`</w:t>
      </w:r>
    </w:p>
    <w:p>
      <w:pPr>
        <w:pStyle w:val="ListBullet"/>
      </w:pPr>
      <w:r/>
      <w:r>
        <w:rPr>
          <w:b/>
        </w:rPr>
        <w:t>Qui l'utilise ?</w:t>
      </w:r>
      <w:r>
        <w:t xml:space="preserve"> Le dirigeant de PME ou de Startup bénéficiaire.</w:t>
      </w:r>
    </w:p>
    <w:p>
      <w:pPr>
        <w:pStyle w:val="ListBullet"/>
      </w:pPr>
      <w:r/>
      <w:r>
        <w:rPr>
          <w:b/>
        </w:rPr>
        <w:t>Objectif</w:t>
      </w:r>
      <w:r>
        <w:t xml:space="preserve"> : Auto-évaluer sa maturité et suivre ses dossiers en libre-service.</w:t>
      </w:r>
    </w:p>
    <w:p>
      <w:r>
        <w:t>Ce workspace constitue une cible vNext de portail en libre-service destiné aux bénéficiaires finaux. Il illustre la trajectoire souhaitée : permettre à une PME, startup, ASBL, commune ou centre de recherche de visualiser son parcours, déclarer ses besoins et suivre ses services.</w:t>
        <w:br/>
      </w:r>
    </w:p>
    <w:p>
      <w:pPr>
        <w:pStyle w:val="ListBullet"/>
      </w:pPr>
      <w:r/>
      <w:r>
        <w:rPr>
          <w:b/>
        </w:rPr>
        <w:t>Fonctions clés cibles</w:t>
      </w:r>
      <w:r>
        <w:t xml:space="preserve"> :</w:t>
      </w:r>
    </w:p>
    <w:p>
      <w:pPr>
        <w:pStyle w:val="ListBullet"/>
      </w:pPr>
      <w:r>
        <w:t>*Mon Espace Innovation* : Visualiser en direct son radar de maturité DR-BEST.</w:t>
      </w:r>
    </w:p>
    <w:p>
      <w:pPr>
        <w:pStyle w:val="ListBullet"/>
      </w:pPr>
      <w:r>
        <w:t>*Mes Défis* : Déclarer directement un verrou technique ou d'affaires pour alerter son conseiller.</w:t>
      </w:r>
    </w:p>
    <w:p>
      <w:pPr>
        <w:pStyle w:val="ListBullet"/>
      </w:pPr>
      <w:r>
        <w:t>*Suivi de Parcours* : Consulter la frise chronologique de son accompagnement et déposer les livrables requis.</w:t>
      </w:r>
    </w:p>
    <w:p>
      <w:pPr>
        <w:pStyle w:val="Heading3"/>
      </w:pPr>
      <w:r>
        <w:t>📊 3.4 Cockpit Exécutif (DG) `[Démonstrateur / Cible vNext selon les modules]`</w:t>
      </w:r>
    </w:p>
    <w:p>
      <w:pPr>
        <w:pStyle w:val="ListBullet"/>
      </w:pPr>
      <w:r/>
      <w:r>
        <w:rPr>
          <w:b/>
        </w:rPr>
        <w:t>Qui l'utilise ?</w:t>
      </w:r>
      <w:r>
        <w:t xml:space="preserve"> Les cabinets ministériels, directeurs de pôles, gestionnaires de l'administration (SPW).</w:t>
      </w:r>
    </w:p>
    <w:p>
      <w:pPr>
        <w:pStyle w:val="ListBullet"/>
      </w:pPr>
      <w:r/>
      <w:r>
        <w:rPr>
          <w:b/>
        </w:rPr>
        <w:t>Objectif</w:t>
      </w:r>
      <w:r>
        <w:t xml:space="preserve"> : Évaluer l'efficacité de l'argent public et piloter les budgets wallons.</w:t>
      </w:r>
    </w:p>
    <w:p>
      <w:r>
        <w:t>Le cockpit exécutif consolide les informations utiles au pilotage stratégique. Certaines vues (comme l'adéquation stratégique ou les synthèses budgétaires) peuvent être disponibles en démonstrateur, tandis que les capacités complètes d'analyse de ROI, de lignage stratégique et de simulation relèvent de la cible vNext.</w:t>
        <w:br/>
      </w:r>
    </w:p>
    <w:p>
      <w:pPr>
        <w:pStyle w:val="ListBullet"/>
      </w:pPr>
      <w:r/>
      <w:r>
        <w:rPr>
          <w:b/>
        </w:rPr>
        <w:t>Fonctions clés</w:t>
      </w:r>
      <w:r>
        <w:t xml:space="preserve"> :</w:t>
      </w:r>
    </w:p>
    <w:p>
      <w:pPr>
        <w:pStyle w:val="ListBullet"/>
      </w:pPr>
      <w:r>
        <w:t>*Alignement Stratégique* : Cartographier les priorités des politiques publiques (Axe S3, Plan de Relance).</w:t>
      </w:r>
    </w:p>
    <w:p>
      <w:pPr>
        <w:pStyle w:val="ListBullet"/>
      </w:pPr>
      <w:r>
        <w:t>*Lineage Trace Visualizer (Lignage)* : Suivre visuellement de bout en bout la contribution d'une preuve d'impact physique du terrain jusqu'à l'objectif macro de la politique publique d'origine.</w:t>
      </w:r>
    </w:p>
    <w:p>
      <w:pPr>
        <w:pStyle w:val="ListBullet"/>
      </w:pPr>
      <w:r>
        <w:t>*Gap Analysis* : Identifier géographiquement et sectoriellement les zones ou filières en retard d'accompagnement.</w:t>
      </w:r>
    </w:p>
    <w:p>
      <w:pPr>
        <w:pStyle w:val="Heading3"/>
      </w:pPr>
      <w:r>
        <w:t>🔮 3.5 Workspace Interopérabilité</w:t>
      </w:r>
    </w:p>
    <w:p>
      <w:pPr>
        <w:pStyle w:val="ListBullet"/>
      </w:pPr>
      <w:r/>
      <w:r>
        <w:rPr>
          <w:b/>
        </w:rPr>
        <w:t>Qui l'utilise ?</w:t>
      </w:r>
      <w:r>
        <w:t xml:space="preserve"> Les architectes informatiques, Data Stewards ou administrateurs système.</w:t>
      </w:r>
    </w:p>
    <w:p>
      <w:pPr>
        <w:pStyle w:val="ListBullet"/>
      </w:pPr>
      <w:r/>
      <w:r>
        <w:rPr>
          <w:b/>
        </w:rPr>
        <w:t>Objectif</w:t>
      </w:r>
      <w:r>
        <w:t xml:space="preserve"> : Monitoring de la santé et de la qualité du graphe de connaissances.</w:t>
      </w:r>
    </w:p>
    <w:p>
      <w:pPr>
        <w:pStyle w:val="ListBullet"/>
      </w:pPr>
      <w:r/>
      <w:r>
        <w:rPr>
          <w:b/>
        </w:rPr>
        <w:t>Fonctions clés</w:t>
      </w:r>
      <w:r>
        <w:t xml:space="preserve"> :</w:t>
      </w:r>
    </w:p>
    <w:p>
      <w:pPr>
        <w:pStyle w:val="ListBullet"/>
      </w:pPr>
      <w:r>
        <w:t>*Sources de données* : Configurer les systèmes de référence externes et suivre le journal de provenance.</w:t>
      </w:r>
    </w:p>
    <w:p>
      <w:pPr>
        <w:pStyle w:val="ListBullet"/>
      </w:pPr>
      <w:r>
        <w:t>*Mappings sémantiques* : Traduire les tables sources en ontologies cibles (W3C ORG, CPSV-AP, etc.).</w:t>
      </w:r>
    </w:p>
    <w:p>
      <w:pPr>
        <w:pStyle w:val="ListBullet"/>
      </w:pPr>
      <w:r>
        <w:t>*Qualité des données* : Espace de monitoring mesurant les données selon 9 dimensions de qualité (complétude, précision, conformité, etc.).</w:t>
      </w:r>
    </w:p>
    <w:p>
      <w:pPr>
        <w:pStyle w:val="ListBullet"/>
      </w:pPr>
      <w:r>
        <w:t>*API &amp; Exports* : Exposer les endpoints et générer les exports normalisés (JSON-LD, NGSI-LD, Turtle).</w:t>
      </w:r>
    </w:p>
    <w:p>
      <w:pPr>
        <w:pStyle w:val="Heading2"/>
      </w:pPr>
      <w:r>
        <w:t>🗺️ 4. Guide des Écrans &amp; Menus de la Sidebar (Situation Existante)</w:t>
      </w:r>
    </w:p>
    <w:p>
      <w:r>
        <w:t>Voici comment naviguer dans les différents onglets de la barre latérale :</w:t>
        <w:br/>
      </w:r>
    </w:p>
    <w:p>
      <w:pPr>
        <w:pStyle w:val="Heading3"/>
      </w:pPr>
      <w:r>
        <w:t>📂 Catégorie : Workspace Animation</w:t>
      </w:r>
    </w:p>
    <w:p>
      <w:pPr>
        <w:pStyle w:val="ListBullet"/>
      </w:pPr>
      <w:r/>
      <w:r>
        <w:rPr>
          <w:b/>
        </w:rPr>
        <w:t>Tableau de bord</w:t>
      </w:r>
      <w:r>
        <w:t xml:space="preserve"> (`/animation`) : Affiche les KPIs d'animation collective (membres, opportunités) et le funnel d'impact.</w:t>
      </w:r>
    </w:p>
    <w:p>
      <w:pPr>
        <w:pStyle w:val="ListBullet"/>
      </w:pPr>
      <w:r/>
      <w:r>
        <w:rPr>
          <w:b/>
        </w:rPr>
        <w:t>Activités &amp; événements</w:t>
      </w:r>
      <w:r>
        <w:t xml:space="preserve"> (`/activities`) : Liste des séminaires, webinaires et actions d'animation. Permet de loguer les participants.</w:t>
      </w:r>
    </w:p>
    <w:p>
      <w:pPr>
        <w:pStyle w:val="ListBullet"/>
      </w:pPr>
      <w:r/>
      <w:r>
        <w:rPr>
          <w:b/>
        </w:rPr>
        <w:t>Communautés</w:t>
      </w:r>
      <w:r>
        <w:t xml:space="preserve"> (`/communities`) : Gestion des cercles thématiques sectoriels ou technologiques.</w:t>
      </w:r>
    </w:p>
    <w:p>
      <w:pPr>
        <w:pStyle w:val="ListBullet"/>
      </w:pPr>
      <w:r/>
      <w:r>
        <w:rPr>
          <w:b/>
        </w:rPr>
        <w:t>Défis d’écosystème</w:t>
      </w:r>
      <w:r>
        <w:t xml:space="preserve"> (`/ecosystem-challenges`) : Registre des verrous collectifs territoriaux (TRL, infrastructures, compétences) identifiés dans les filières S3.</w:t>
      </w:r>
    </w:p>
    <w:p>
      <w:pPr>
        <w:pStyle w:val="ListBullet"/>
      </w:pPr>
      <w:r/>
      <w:r>
        <w:rPr>
          <w:b/>
        </w:rPr>
        <w:t>Consortiums</w:t>
      </w:r>
      <w:r>
        <w:t xml:space="preserve"> (`/consortia`) : Regroupements formés d'entreprises et d'universités en vue de répondre à des appels d'offres.</w:t>
      </w:r>
    </w:p>
    <w:p>
      <w:pPr>
        <w:pStyle w:val="ListBullet"/>
      </w:pPr>
      <w:r/>
      <w:r>
        <w:rPr>
          <w:b/>
        </w:rPr>
        <w:t>Projets</w:t>
      </w:r>
      <w:r>
        <w:t xml:space="preserve"> (`/projects`) : Suivi des projets collaboratifs R&amp;D labellisés ou financés.</w:t>
      </w:r>
    </w:p>
    <w:p>
      <w:pPr>
        <w:pStyle w:val="ListBullet"/>
      </w:pPr>
      <w:r/>
      <w:r>
        <w:rPr>
          <w:b/>
        </w:rPr>
        <w:t>Justificatifs &amp; preuves d’impact</w:t>
      </w:r>
      <w:r>
        <w:t xml:space="preserve"> (`/evidences`) : Boîte de validation des documents justificatifs. L'animateur approuve ou rejette les pièces soumises par les conseillers.</w:t>
      </w:r>
    </w:p>
    <w:p>
      <w:pPr>
        <w:pStyle w:val="Heading3"/>
      </w:pPr>
      <w:r>
        <w:t>📂 Catégorie : Gestion de l'écosystème</w:t>
      </w:r>
    </w:p>
    <w:p>
      <w:pPr>
        <w:pStyle w:val="ListBullet"/>
      </w:pPr>
      <w:r/>
      <w:r>
        <w:rPr>
          <w:b/>
        </w:rPr>
        <w:t>Acteurs territoriaux</w:t>
      </w:r>
      <w:r>
        <w:t xml:space="preserve"> (`/organizations`) : Annuaire de l'ensemble des structures (publiques, privées, académiques) impliquées sur le territoire.</w:t>
      </w:r>
    </w:p>
    <w:p>
      <w:pPr>
        <w:pStyle w:val="ListBullet"/>
      </w:pPr>
      <w:r/>
      <w:r>
        <w:rPr>
          <w:b/>
        </w:rPr>
        <w:t>Bénéficiaires</w:t>
      </w:r>
      <w:r>
        <w:t xml:space="preserve"> (`/beneficiaries`) : Liste et fiches 360° des PME/ASBL/Communes qui reçoivent l'aide. Comprend le radar de maturité DR-BEST, la timeline BCE et l'onglet de soft-delete.</w:t>
      </w:r>
    </w:p>
    <w:p>
      <w:pPr>
        <w:pStyle w:val="ListBullet"/>
      </w:pPr>
      <w:r/>
      <w:r>
        <w:rPr>
          <w:b/>
        </w:rPr>
        <w:t>Contacts</w:t>
      </w:r>
      <w:r>
        <w:t xml:space="preserve"> (`/contacts`) : Liste des personnes physiques de contact associées aux organisations, qualifiant le contact principal.</w:t>
      </w:r>
    </w:p>
    <w:p>
      <w:pPr>
        <w:pStyle w:val="ListBullet"/>
      </w:pPr>
      <w:r/>
      <w:r>
        <w:rPr>
          <w:b/>
        </w:rPr>
        <w:t>Affiliations &amp; membres</w:t>
      </w:r>
      <w:r>
        <w:t xml:space="preserve"> (`/members`) : Écran de gestion des relations d'appartenance d'un acteur à un cluster ou consortium. Comprend un bandeau d'aide méthodologique rappelant qu'un membre représente une relation structurée et non une entité isolée.</w:t>
      </w:r>
    </w:p>
    <w:p>
      <w:pPr>
        <w:pStyle w:val="Heading3"/>
      </w:pPr>
      <w:r>
        <w:t>📂 Catégorie : Catalogue territorial</w:t>
      </w:r>
    </w:p>
    <w:p>
      <w:pPr>
        <w:pStyle w:val="ListBullet"/>
      </w:pPr>
      <w:r/>
      <w:r>
        <w:rPr>
          <w:b/>
        </w:rPr>
        <w:t>Services CPSV</w:t>
      </w:r>
      <w:r>
        <w:t xml:space="preserve"> (`/services`) : Catalogue unifié de l'offre régionale structuré sous la norme CPSV-AP (description, coûts d'aide d'État, résultats, public cible).</w:t>
      </w:r>
    </w:p>
    <w:p>
      <w:pPr>
        <w:pStyle w:val="ListBullet"/>
      </w:pPr>
      <w:r/>
      <w:r>
        <w:rPr>
          <w:b/>
        </w:rPr>
        <w:t>Parcours d’accompagnement</w:t>
      </w:r>
      <w:r>
        <w:t xml:space="preserve"> (`/journeys`) : Modélisation des feuilles de route types d'innovation divisées en étapes (sensibilisation, PoC, etc.).</w:t>
      </w:r>
    </w:p>
    <w:p>
      <w:pPr>
        <w:pStyle w:val="ListBullet"/>
      </w:pPr>
      <w:r/>
      <w:r>
        <w:rPr>
          <w:b/>
        </w:rPr>
        <w:t>Opportunités d’innovation</w:t>
      </w:r>
      <w:r>
        <w:t xml:space="preserve"> (`/opportunities`) : Explorateur d'aides financières structuré selon la hiérarchie à 4 niveaux : *Programme* (ex: FEDER) ➔ *Appel (Call)* ➔ *Instrument* (ex: Chèque) ➔ *Award* (subvention octroyée à un projet).</w:t>
      </w:r>
    </w:p>
    <w:p>
      <w:pPr>
        <w:pStyle w:val="ListBullet"/>
      </w:pPr>
      <w:r/>
      <w:r>
        <w:rPr>
          <w:b/>
        </w:rPr>
        <w:t>Filières S3</w:t>
      </w:r>
      <w:r>
        <w:t xml:space="preserve"> (`/filieres`) : Cartographie des priorités de la Stratégie de Spécialisation Intelligente (Agroalimentaire durable, Circularité, etc.).</w:t>
      </w:r>
    </w:p>
    <w:p>
      <w:pPr>
        <w:pStyle w:val="ListBullet"/>
      </w:pPr>
      <w:r/>
      <w:r>
        <w:rPr>
          <w:b/>
        </w:rPr>
        <w:t>Explorateur de chaînes</w:t>
      </w:r>
      <w:r>
        <w:t xml:space="preserve"> (`/value-chain-explorer`) : Cartographie visuelle interactive reliant les entreprises aux maillons des chaînes de valeur stratégiques régionales.</w:t>
      </w:r>
    </w:p>
    <w:p>
      <w:pPr>
        <w:pStyle w:val="ListBullet"/>
      </w:pPr>
      <w:r/>
      <w:r>
        <w:rPr>
          <w:b/>
        </w:rPr>
        <w:t>Vues d’analyse</w:t>
      </w:r>
      <w:r>
        <w:t xml:space="preserve"> (`/analysis-views`) : Hub d'exploration métier regroupant 7 cartes d'exploration (détaillées dans la section suivante).</w:t>
      </w:r>
    </w:p>
    <w:p>
      <w:pPr>
        <w:pStyle w:val="Heading3"/>
      </w:pPr>
      <w:r>
        <w:t>📂 Catégorie : Données &amp; interopérabilité</w:t>
      </w:r>
    </w:p>
    <w:p>
      <w:pPr>
        <w:pStyle w:val="ListBullet"/>
      </w:pPr>
      <w:r/>
      <w:r>
        <w:rPr>
          <w:b/>
        </w:rPr>
        <w:t>Sources de données</w:t>
      </w:r>
      <w:r>
        <w:t xml:space="preserve"> (`/interoperability`) : Monitoring des flux de synchronisation des systèmes d'autorité externes (BCE, etc.).</w:t>
      </w:r>
    </w:p>
    <w:p>
      <w:pPr>
        <w:pStyle w:val="ListBullet"/>
      </w:pPr>
      <w:r/>
      <w:r>
        <w:rPr>
          <w:b/>
        </w:rPr>
        <w:t>Datasets</w:t>
      </w:r>
      <w:r>
        <w:t xml:space="preserve"> (`/marketplace`) `[Cible vNext]` : La marketplace de données constitue une trajectoire vNext visant à structurer progressivement les datasets, leurs métadonnées, leurs conditions d’accès et leurs points de publication selon DCAT-AP.</w:t>
      </w:r>
    </w:p>
    <w:p>
      <w:pPr>
        <w:pStyle w:val="ListBullet"/>
      </w:pPr>
      <w:r/>
      <w:r>
        <w:rPr>
          <w:b/>
        </w:rPr>
        <w:t>Mappings</w:t>
      </w:r>
      <w:r>
        <w:t xml:space="preserve"> (`/interoperability?tab=mappings`) : Outil technique de configuration sémantique.</w:t>
      </w:r>
    </w:p>
    <w:p>
      <w:pPr>
        <w:pStyle w:val="ListBullet"/>
      </w:pPr>
      <w:r/>
      <w:r>
        <w:rPr>
          <w:b/>
        </w:rPr>
        <w:t>Qualité des données</w:t>
      </w:r>
      <w:r>
        <w:t xml:space="preserve"> (`/interoperability/quality`) : Tableau de bord de vérification de la qualité mesurée sur 9 axes (complétude, fraîcheur, unicité, traçabilité...).</w:t>
      </w:r>
    </w:p>
    <w:p>
      <w:pPr>
        <w:pStyle w:val="ListBullet"/>
      </w:pPr>
      <w:r/>
      <w:r>
        <w:rPr>
          <w:b/>
        </w:rPr>
        <w:t>API &amp; exports</w:t>
      </w:r>
      <w:r>
        <w:t xml:space="preserve"> (`/interoperability/api-exports`) `[Prototype / vNext pour les exports avancés]` : Les capacités d’exposition et d’export sont progressives. Certains exports ou endpoints peuvent être disponibles en prototype ou démonstrateur. Les exports NGSI-LD industrialisés, l’exposition RDF/SPARQL complète et les connecteurs avancés relèvent de la cible vNext.</w:t>
      </w:r>
    </w:p>
    <w:p>
      <w:pPr>
        <w:pStyle w:val="Heading3"/>
      </w:pPr>
      <w:r>
        <w:t>📂 Catégorie : Gouvernance</w:t>
      </w:r>
    </w:p>
    <w:p>
      <w:pPr>
        <w:pStyle w:val="ListBullet"/>
      </w:pPr>
      <w:r/>
      <w:r>
        <w:rPr>
          <w:b/>
        </w:rPr>
        <w:t>Référentiels</w:t>
      </w:r>
      <w:r>
        <w:t xml:space="preserve"> (`/governance/referentiels`) : Administration des référentiels de base et des taxonomies.</w:t>
      </w:r>
    </w:p>
    <w:p>
      <w:pPr>
        <w:pStyle w:val="ListBullet"/>
      </w:pPr>
      <w:r/>
      <w:r>
        <w:rPr>
          <w:b/>
        </w:rPr>
        <w:t>Rôles &amp; droits</w:t>
      </w:r>
      <w:r>
        <w:t xml:space="preserve"> (`/governance/roles`) : Gestion des autorisations par Persona.</w:t>
      </w:r>
    </w:p>
    <w:p>
      <w:pPr>
        <w:pStyle w:val="ListBullet"/>
      </w:pPr>
      <w:r/>
      <w:r>
        <w:rPr>
          <w:b/>
        </w:rPr>
        <w:t>Audit technique</w:t>
      </w:r>
      <w:r>
        <w:t xml:space="preserve"> (`/governance/audit-technical`) : Journal de traçabilité des modifications du graphe.</w:t>
      </w:r>
    </w:p>
    <w:p>
      <w:pPr>
        <w:pStyle w:val="ListBullet"/>
      </w:pPr>
      <w:r/>
      <w:r>
        <w:rPr>
          <w:b/>
        </w:rPr>
        <w:t>Documentation</w:t>
      </w:r>
      <w:r>
        <w:t xml:space="preserve"> (`/guide`) : Espace d'information en ligne détaillant la méthodologie de déploiement en 8 étapes, le glossaire sémantique de la PIT et les cadres opérationnels.</w:t>
      </w:r>
    </w:p>
    <w:p>
      <w:pPr>
        <w:pStyle w:val="Heading2"/>
      </w:pPr>
      <w:r>
        <w:t>🎨 5. Les 7 Vues d'Analyse : Zoom sur l'Exploration du Graphe</w:t>
      </w:r>
    </w:p>
    <w:p>
      <w:r>
        <w:t>Le hub `/analysis-views` regroupe 7 cartes de navigation permettant de filtrer les informations du graphe selon le prisme métier choisi :</w:t>
        <w:br/>
      </w:r>
    </w:p>
    <w:p>
      <w:pPr>
        <w:pStyle w:val="ListNumber"/>
      </w:pPr>
      <w:r/>
      <w:r>
        <w:rPr>
          <w:b/>
        </w:rPr>
        <w:t>Cartographie globale</w:t>
      </w:r>
      <w:r>
        <w:t xml:space="preserve"> (`/graph`) : Affiche l'intégralité du Territorial Knowledge Graph de manière interactive. Permet de voir instantanément tous les liens entre acteurs, services, projets, communautés, filières S3 et impacts.</w:t>
      </w:r>
    </w:p>
    <w:p>
      <w:r>
        <w:t xml:space="preserve">2. </w:t>
      </w:r>
      <w:r>
        <w:rPr>
          <w:b/>
        </w:rPr>
        <w:t>Stratégie &amp; impacts</w:t>
      </w:r>
      <w:r>
        <w:t xml:space="preserve"> (`/strategic`) : Permet d'analyser les objectifs des politiques publiques, les priorités de la Région wallonne, les KPIs globaux et les contributions de l'action publique.</w:t>
        <w:br/>
      </w:r>
    </w:p>
    <w:p>
      <w:r>
        <w:t xml:space="preserve">3. </w:t>
      </w:r>
      <w:r>
        <w:rPr>
          <w:b/>
        </w:rPr>
        <w:t>Opérations &amp; suivi</w:t>
      </w:r>
      <w:r>
        <w:t xml:space="preserve"> (`/analysis-views/operational`) : *[Prototype / bientôt]* : Vue centralisée pour suivre l'exécution des prestations individuelles, les diagnostics de maturité et la validation des rapports d'audit.</w:t>
        <w:br/>
      </w:r>
    </w:p>
    <w:p>
      <w:r>
        <w:t xml:space="preserve">4. </w:t>
      </w:r>
      <w:r>
        <w:rPr>
          <w:b/>
        </w:rPr>
        <w:t>Territoire &amp; écosystèmes</w:t>
      </w:r>
      <w:r>
        <w:t xml:space="preserve"> (`/territories`) : Explore la répartition spatiale et géographique des entreprises, des clusters régionaux et la dynamique d'innovation par province ou bassin économique.</w:t>
        <w:br/>
      </w:r>
    </w:p>
    <w:p>
      <w:r>
        <w:t xml:space="preserve">5. </w:t>
      </w:r>
      <w:r>
        <w:rPr>
          <w:b/>
        </w:rPr>
        <w:t>Données &amp; interopérabilité</w:t>
      </w:r>
      <w:r>
        <w:t xml:space="preserve"> (`/interoperability`) : Permet de piloter la gouvernance, de suivre les mappings sémantiques, les catalogues d'échange DCAT-AP et la provenance des données.</w:t>
        <w:br/>
      </w:r>
    </w:p>
    <w:p>
      <w:r>
        <w:t xml:space="preserve">6. </w:t>
      </w:r>
      <w:r>
        <w:rPr>
          <w:b/>
        </w:rPr>
        <w:t>Parcours &amp; transformation</w:t>
      </w:r>
      <w:r>
        <w:t xml:space="preserve"> (`/analysis-views/transformation`) : *[Prototype / bientôt]* : Vue dédiée au suivi du taux d'avancement des PME enrôlées dans les feuilles de route de transformation numérique et durable.</w:t>
        <w:br/>
      </w:r>
    </w:p>
    <w:p>
      <w:r>
        <w:t xml:space="preserve">7. </w:t>
      </w:r>
      <w:r>
        <w:rPr>
          <w:b/>
        </w:rPr>
        <w:t>Résilience territoriale</w:t>
      </w:r>
      <w:r>
        <w:t xml:space="preserve"> (`/analysis-views/resilience`) : *[Prototype / Cible vNext]* : Outil dédié à l'évaluation de la résilience économique wallonne (détaillé ci-après).</w:t>
        <w:br/>
      </w:r>
    </w:p>
    <w:p>
      <w:pPr>
        <w:pStyle w:val="Heading2"/>
      </w:pPr>
      <w:r>
        <w:t>🛡️ 6. Focus : La Résilience Territoriale</w:t>
      </w:r>
    </w:p>
    <w:p>
      <w:r>
        <w:t xml:space="preserve">La vue d'analyse </w:t>
      </w:r>
      <w:r>
        <w:rPr>
          <w:b/>
        </w:rPr>
        <w:t>Résilience territoriale</w:t>
      </w:r>
      <w:r>
        <w:t xml:space="preserve"> (`/analysis-views/resilience`) s'appuie sur le cadrage de l'OCDE et le Cadre Wallon de Résilience Économique Territoriale pour anticiper et analyser les vulnérabilités de la Wallonie face aux crises.</w:t>
        <w:br/>
      </w:r>
    </w:p>
    <w:p>
      <w:r>
        <w:t>La vue Résilience territoriale constitue un cadre de travail et un démonstrateur cible. Elle doit être alimentée progressivement par un cas d’usage validé avec les partenaires, par exemple crise énergétique ou inondation. Les indicateurs, sources de données, règles de scoring et droits d’accès doivent encore être cadrés.</w:t>
        <w:br/>
      </w:r>
    </w:p>
    <w:p>
      <w:r>
        <w:t>La priorité n’est pas de modéliser toutes les crises, mais de choisir un premier cas représentatif, formuler les questions métier, identifier les données disponibles, qualifier les données manquantes, puis construire une première maquette d’analyse.</w:t>
        <w:br/>
      </w:r>
    </w:p>
    <w:p>
      <w:r>
        <w:t>&gt; [!IMPORTANT]</w:t>
        <w:br/>
      </w:r>
    </w:p>
    <w:p>
      <w:r>
        <w:t xml:space="preserve">&gt; </w:t>
      </w:r>
      <w:r>
        <w:rPr>
          <w:b/>
        </w:rPr>
        <w:t>Avertissement méthodologique :</w:t>
      </w:r>
      <w:r>
        <w:t xml:space="preserve"> La PIT ne constitue pas un outil de gestion opérationnelle de crise (salle de crise ou centre de commandement en temps réel). Elle constitue un socle informationnel et analytique froid permettant de mieux préparer les décisions stratégiques, d'anticiper les vulnérabilités, d'identifier les acteurs exposés et de cibler efficacement les futures aides ou services publics disponibles.</w:t>
        <w:br/>
      </w:r>
    </w:p>
    <w:p>
      <w:pPr>
        <w:pStyle w:val="Heading3"/>
      </w:pPr>
      <w:r>
        <w:t>📊 6.1 Le Cadre d'Analyse (5 Dimensions)</w:t>
      </w:r>
    </w:p>
    <w:p>
      <w:r>
        <w:t>Le modèle évalue la résilience à travers 5 axes :</w:t>
        <w:br/>
      </w:r>
    </w:p>
    <w:p>
      <w:pPr>
        <w:pStyle w:val="ListNumber"/>
      </w:pPr>
      <w:r/>
      <w:r>
        <w:rPr>
          <w:b/>
        </w:rPr>
        <w:t>Exposition</w:t>
      </w:r>
      <w:r>
        <w:t xml:space="preserve"> *(Qui peut être touché ?)* : Analyse la localisation géographique (ex: zone inondable), le secteur NACE (ex: secteur très énergivore), les dépendances à l'export ou la dépendance numérique.</w:t>
      </w:r>
    </w:p>
    <w:p>
      <w:r>
        <w:t xml:space="preserve">2. </w:t>
      </w:r>
      <w:r>
        <w:rPr>
          <w:b/>
        </w:rPr>
        <w:t>Vulnérabilité</w:t>
      </w:r>
      <w:r>
        <w:t xml:space="preserve"> *(Quelle serait la gravité de l'impact ?)* : Mesure la taille de l'acteur (TPE/PME), les emplois associés (ETP), le chiffre d'affaires, les fonds propres disponibles et les dépendances critiques envers des clients ou des fournisseurs.</w:t>
        <w:br/>
      </w:r>
    </w:p>
    <w:p>
      <w:r>
        <w:t xml:space="preserve">3. </w:t>
      </w:r>
      <w:r>
        <w:rPr>
          <w:b/>
        </w:rPr>
        <w:t>Capacité d’absorption</w:t>
      </w:r>
      <w:r>
        <w:t xml:space="preserve"> *(Combien de temps peut-on tenir ?)* : Analyse la trésorerie disponible, les stocks tampons, les réserves financières et les aides déjà mobilisées par l'entreprise.</w:t>
        <w:br/>
      </w:r>
    </w:p>
    <w:p>
      <w:r>
        <w:t xml:space="preserve">4. </w:t>
      </w:r>
      <w:r>
        <w:rPr>
          <w:b/>
        </w:rPr>
        <w:t>Capacité d’adaptation</w:t>
      </w:r>
      <w:r>
        <w:t xml:space="preserve"> *(Existe-t-il des alternatives ?)* : Cartographie les fournisseurs alternatifs possibles, le taux de télétravail, la diversification sectorielle et l'appartenance de l'acteur à un pôle de compétitivité pour activer la solidarité industrielle.</w:t>
        <w:br/>
      </w:r>
    </w:p>
    <w:p>
      <w:r>
        <w:t xml:space="preserve">5. </w:t>
      </w:r>
      <w:r>
        <w:rPr>
          <w:b/>
        </w:rPr>
        <w:t>Capacité de rebond</w:t>
      </w:r>
      <w:r>
        <w:t xml:space="preserve"> *(Comment revenir à la normale ou se renforcer ?)* : Identifie les financements d'urgence mobilisables, les couvertures d'assurance, les programmes d'innovation disponibles et les services publics locaux prêts à être activés.</w:t>
        <w:br/>
      </w:r>
    </w:p>
    <w:p>
      <w:pPr>
        <w:pStyle w:val="Heading3"/>
      </w:pPr>
      <w:r>
        <w:t>💡 6.2 Les Cas d'Usage pressentis (Démonstrateurs cibles)</w:t>
      </w:r>
    </w:p>
    <w:p>
      <w:r>
        <w:t>Quatre scénarios de crises industrielles sont modélisés dans l'application :</w:t>
        <w:br/>
      </w:r>
    </w:p>
    <w:p>
      <w:pPr>
        <w:pStyle w:val="ListBullet"/>
      </w:pPr>
      <w:r/>
      <w:r>
        <w:rPr>
          <w:b/>
        </w:rPr>
        <w:t>Crise énergétique</w:t>
      </w:r>
      <w:r>
        <w:t xml:space="preserve"> : Identifier les entreprises industrielles et les filières (ex: chimie, cimenterie) exposées à une hausse brutale des coûts d'énergie.</w:t>
      </w:r>
    </w:p>
    <w:p>
      <w:pPr>
        <w:pStyle w:val="ListBullet"/>
      </w:pPr>
      <w:r/>
      <w:r>
        <w:rPr>
          <w:b/>
        </w:rPr>
        <w:t>Inondation</w:t>
      </w:r>
      <w:r>
        <w:t xml:space="preserve"> : Cartographier les entreprises et les bassins d'emplois situés dans des zones inondables validées.</w:t>
      </w:r>
    </w:p>
    <w:p>
      <w:pPr>
        <w:pStyle w:val="ListBullet"/>
      </w:pPr>
      <w:r/>
      <w:r>
        <w:rPr>
          <w:b/>
        </w:rPr>
        <w:t>Rupture d’approvisionnement</w:t>
      </w:r>
      <w:r>
        <w:t xml:space="preserve"> : Suivre les filières industrielles wallonnes dépendantes de matières critiques ou de fournisseurs situés dans des pays à risque géopolitique élevé.</w:t>
      </w:r>
    </w:p>
    <w:p>
      <w:pPr>
        <w:pStyle w:val="ListBullet"/>
      </w:pPr>
      <w:r/>
      <w:r>
        <w:rPr>
          <w:b/>
        </w:rPr>
        <w:t>Cybermenace</w:t>
      </w:r>
      <w:r>
        <w:t xml:space="preserve"> : Identifier les infrastructures territoriales et entreprises critiques exposées à des risques numériques et répertorier les services de cybersécurité régionaux actionnables (ex: le catalogue EDIH).</w:t>
      </w:r>
    </w:p>
    <w:p>
      <w:pPr>
        <w:pStyle w:val="Heading2"/>
      </w:pPr>
      <w:r>
        <w:t>🔮 7. Périmètre Opérationnel — Ce qui est prêt vs Cible vNext</w:t>
      </w:r>
    </w:p>
    <w:p>
      <w:r>
        <w:t>Pour préserver la crédibilité de la plateforme face aux partenaires métiers et à l'administration, le guide en ligne trace une frontière nette sur l'état d'avancement des fonctionnalités, divisée en 4 catégories :</w:t>
        <w:br/>
      </w:r>
    </w:p>
    <w:p>
      <w:pPr>
        <w:pStyle w:val="ListNumber"/>
      </w:pPr>
      <w:r/>
      <w:r>
        <w:rPr>
          <w:b/>
        </w:rPr>
        <w:t>Disponible en production / socle opérationnel</w:t>
      </w:r>
      <w:r>
        <w:t xml:space="preserve"> :</w:t>
      </w:r>
    </w:p>
    <w:p>
      <w:pPr>
        <w:pStyle w:val="ListBullet"/>
      </w:pPr>
      <w:r>
        <w:t>Fiches bénéficiaires 360 ;</w:t>
      </w:r>
    </w:p>
    <w:p>
      <w:pPr>
        <w:pStyle w:val="ListBullet"/>
      </w:pPr>
      <w:r>
        <w:t>Catalogue CPSV-AP ;</w:t>
      </w:r>
    </w:p>
    <w:p>
      <w:pPr>
        <w:pStyle w:val="ListBullet"/>
      </w:pPr>
      <w:r>
        <w:t>Coûts et aides d’État ;</w:t>
      </w:r>
    </w:p>
    <w:p>
      <w:pPr>
        <w:pStyle w:val="ListBullet"/>
      </w:pPr>
      <w:r>
        <w:t>Gestion de l’écosystème ;</w:t>
      </w:r>
    </w:p>
    <w:p>
      <w:pPr>
        <w:pStyle w:val="ListBullet"/>
      </w:pPr>
      <w:r>
        <w:t>Affiliations &amp; membres ;</w:t>
      </w:r>
    </w:p>
    <w:p>
      <w:pPr>
        <w:pStyle w:val="ListBullet"/>
      </w:pPr>
      <w:r>
        <w:t>Défis d’écosystème ;</w:t>
      </w:r>
    </w:p>
    <w:p>
      <w:pPr>
        <w:pStyle w:val="ListBullet"/>
      </w:pPr>
      <w:r>
        <w:t>Projets ;</w:t>
      </w:r>
    </w:p>
    <w:p>
      <w:pPr>
        <w:pStyle w:val="ListBullet"/>
      </w:pPr>
      <w:r>
        <w:t>Justificatifs &amp; preuves d’impact ;</w:t>
      </w:r>
    </w:p>
    <w:p>
      <w:pPr>
        <w:pStyle w:val="ListBullet"/>
      </w:pPr>
      <w:r>
        <w:t>Qualité des données (9 dimensions) ;</w:t>
      </w:r>
    </w:p>
    <w:p>
      <w:pPr>
        <w:pStyle w:val="ListBullet"/>
      </w:pPr>
      <w:r>
        <w:t>Documentation et gouvernance de base.</w:t>
      </w:r>
    </w:p>
    <w:p>
      <w:r>
        <w:t xml:space="preserve">2. </w:t>
      </w:r>
      <w:r>
        <w:rPr>
          <w:b/>
        </w:rPr>
        <w:t>Disponible en démonstrateur / prototype</w:t>
      </w:r>
      <w:r>
        <w:t xml:space="preserve"> :</w:t>
        <w:br/>
      </w:r>
    </w:p>
    <w:p>
      <w:pPr>
        <w:pStyle w:val="ListBullet"/>
      </w:pPr>
      <w:r>
        <w:t>Moteur de match (matchmaking) ;</w:t>
      </w:r>
    </w:p>
    <w:p>
      <w:pPr>
        <w:pStyle w:val="ListBullet"/>
      </w:pPr>
      <w:r>
        <w:t>Visualisation de graphe logique ;</w:t>
      </w:r>
    </w:p>
    <w:p>
      <w:pPr>
        <w:pStyle w:val="ListBullet"/>
      </w:pPr>
      <w:r>
        <w:t>Vues d’analyse avancées ;</w:t>
      </w:r>
    </w:p>
    <w:p>
      <w:pPr>
        <w:pStyle w:val="ListBullet"/>
      </w:pPr>
      <w:r>
        <w:t>Mode histoire / démonstration ;</w:t>
      </w:r>
    </w:p>
    <w:p>
      <w:pPr>
        <w:pStyle w:val="ListBullet"/>
      </w:pPr>
      <w:r>
        <w:t>Premiers exports ou endpoints d’interopérabilité ;</w:t>
      </w:r>
    </w:p>
    <w:p>
      <w:pPr>
        <w:pStyle w:val="ListBullet"/>
      </w:pPr>
      <w:r>
        <w:t>Vue résilience territoriale en placeholder fonctionnel.</w:t>
      </w:r>
    </w:p>
    <w:p>
      <w:r>
        <w:t xml:space="preserve">3. </w:t>
      </w:r>
      <w:r>
        <w:rPr>
          <w:b/>
        </w:rPr>
        <w:t>Prévu en cible vNext</w:t>
      </w:r>
      <w:r>
        <w:t xml:space="preserve"> :</w:t>
        <w:br/>
      </w:r>
    </w:p>
    <w:p>
      <w:pPr>
        <w:pStyle w:val="ListBullet"/>
      </w:pPr>
      <w:r>
        <w:t>Territorial Knowledge Graph natif complet (RDF / SPARQL) ;</w:t>
      </w:r>
    </w:p>
    <w:p>
      <w:pPr>
        <w:pStyle w:val="ListBullet"/>
      </w:pPr>
      <w:r>
        <w:t>Agents IA / RAG ;</w:t>
      </w:r>
    </w:p>
    <w:p>
      <w:pPr>
        <w:pStyle w:val="ListBullet"/>
      </w:pPr>
      <w:r>
        <w:t>Portail entreprise complet ;</w:t>
      </w:r>
    </w:p>
    <w:p>
      <w:pPr>
        <w:pStyle w:val="ListBullet"/>
      </w:pPr>
      <w:r>
        <w:t>Cockpit DG complet ;</w:t>
      </w:r>
    </w:p>
    <w:p>
      <w:pPr>
        <w:pStyle w:val="ListBullet"/>
      </w:pPr>
      <w:r>
        <w:t>Recommandations industrialisées ;</w:t>
      </w:r>
    </w:p>
    <w:p>
      <w:pPr>
        <w:pStyle w:val="ListBullet"/>
      </w:pPr>
      <w:r>
        <w:t>Data Marketplace complet ;</w:t>
      </w:r>
    </w:p>
    <w:p>
      <w:pPr>
        <w:pStyle w:val="ListBullet"/>
      </w:pPr>
      <w:r>
        <w:t>Exports NGSI-LD industrialisés ;</w:t>
      </w:r>
    </w:p>
    <w:p>
      <w:pPr>
        <w:pStyle w:val="ListBullet"/>
      </w:pPr>
      <w:r>
        <w:t>Résilience territoriale industrialisée ;</w:t>
      </w:r>
    </w:p>
    <w:p>
      <w:pPr>
        <w:pStyle w:val="ListBullet"/>
      </w:pPr>
      <w:r>
        <w:t>Simulation et scoring avancé de vulnérabilité et d’impact.</w:t>
      </w:r>
    </w:p>
    <w:p>
      <w:r>
        <w:t xml:space="preserve">4. </w:t>
      </w:r>
      <w:r>
        <w:rPr>
          <w:b/>
        </w:rPr>
        <w:t>Hors périmètre actuel</w:t>
      </w:r>
      <w:r>
        <w:t xml:space="preserve"> :</w:t>
        <w:br/>
      </w:r>
    </w:p>
    <w:p>
      <w:pPr>
        <w:pStyle w:val="ListBullet"/>
      </w:pPr>
      <w:r>
        <w:t>Salle de crise opérationnelle ;</w:t>
      </w:r>
    </w:p>
    <w:p>
      <w:pPr>
        <w:pStyle w:val="ListBullet"/>
      </w:pPr>
      <w:r>
        <w:t>Centre de commandement temps réel ;</w:t>
      </w:r>
    </w:p>
    <w:p>
      <w:pPr>
        <w:pStyle w:val="ListBullet"/>
      </w:pPr>
      <w:r>
        <w:t>Prédiction automatique des crises ;</w:t>
      </w:r>
    </w:p>
    <w:p>
      <w:pPr>
        <w:pStyle w:val="ListBullet"/>
      </w:pPr>
      <w:r>
        <w:t>Centralisation non encadrée de toutes les données partenaires ;</w:t>
      </w:r>
    </w:p>
    <w:p>
      <w:pPr>
        <w:pStyle w:val="ListBullet"/>
      </w:pPr>
      <w:r>
        <w:t>Substitution aux outils métiers existants des partenaires.</w:t>
      </w:r>
    </w:p>
    <w:p>
      <w:pPr>
        <w:pStyle w:val="Heading2"/>
      </w:pPr>
      <w:r>
        <w:t>🏁 8. Conclusion stratégique</w:t>
      </w:r>
    </w:p>
    <w:p>
      <w:r>
        <w:t>La PIT constitue aujourd’hui un socle opérationnel de structuration et de pilotage de l’écosystème territorial wallon. Sa valeur immédiate réside dans la mise en cohérence des bénéficiaires, acteurs territoriaux, services, parcours, projets, preuves, financements, données et impacts.</w:t>
        <w:br/>
      </w:r>
    </w:p>
    <w:p>
      <w:r>
        <w:t>Elle ne vise pas à remplacer les outils métiers des partenaires, ni à devenir une salle de crise ou un centre de commandement. Elle fournit un cadre commun pour rendre les données plus compréhensibles, plus reliées, plus traçables et plus exploitables pour l’action publique.</w:t>
        <w:br/>
      </w:r>
    </w:p>
    <w:p>
      <w:r>
        <w:t>Sa trajectoire vNext vise à renforcer progressivement les capacités d’interopérabilité, d’analyse territoriale, de recommandation, de pilotage stratégique et de résilience économique. Cette trajectoire doit être construite par cas d’usage, avec les partenaires, en distinguant clairement ce qui est disponible, ce qui est démontré, ce qui reste à valider et ce qui relève de la cible future.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