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ТРЕБОВАНИЯ К ИЗМЕНЕНИЮ ДОГОВОРА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ООО «Гармония фитнеса» | Клубный контракт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Три пункта для обязательного согласования перед подписанием</w:t>
      </w:r>
    </w:p>
    <w:p>
      <w:pPr>
        <w:pBdr>
          <w:bottom w:val="single" w:color="1A1A2E" w:sz="4"/>
        </w:pBdr>
        <w:spacing w:after="60" w:before="60"/>
      </w:pPr>
    </w:p>
    <w:p>
      <w:pPr>
        <w:spacing w:after="8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  . ВОЗВРАТ И ПЕРЕДАЧА ОСТАТКА ТРЕТЬИМ ЛИЦАМ</w:t>
      </w:r>
    </w:p>
    <w:p>
      <w:pPr>
        <w:pBdr>
          <w:bottom w:val="single" w:color="C0392B" w:sz="4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Что сейчас в договоре (п. 4.2):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При досрочном расторжении клуб пересчитывает сумму возврата по повышенному короткому тарифу, а не по фактически неиспользованным дням. На годовом абонементе после 3–4 месяцев возврат может быть близок к нулю.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Требуемая редакция п. 4.2: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9"/>
                <w:szCs w:val="19"/>
              </w:rPr>
              <w:t xml:space="preserve">«При досрочном расторжении Контракта по инициативе Клиента Исполнитель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возвращает денежные средства за фактически неиспользованные дни,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рассчитанные пропорционально: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   (стоимость контракта ÷ количество дней контракта) × неиспользованные дни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без применения повышающих коэффициентов и перерасчёта по иным тарифам»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Требуемый дополнительный пункт — передача третьим лицам: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9"/>
                <w:szCs w:val="19"/>
              </w:rPr>
              <w:t xml:space="preserve">«Клиент вправе безвозмездно передать остаток неиспользованных услуг любому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третьему лицу без ограничений по количеству передач и без взимания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комиссии за переоформление»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4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💼  Позиция для переговоров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Текущий п. 4.2 противоречит ст. 32 ЗоЗПП — клиент вправе расторгнуть договор,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оплатив только фактические расходы исполнителя. Клуб не сможет обосновать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реальную себестоимость одного дня в суде. При отказе — жалоба в Роспотребнадзор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+ исковое заявление. Суды стабильно встают на сторону потребителя.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Неустойка: 3% за каждый день просрочки (ст. 28 ЗоЗПП) + штраф 50% от иска (ст. 13 ЗоЗПП).</w:t>
            </w:r>
          </w:p>
        </w:tc>
      </w:tr>
    </w:tbl>
    <w:p>
      <w:pPr>
        <w:spacing w:after="12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2.  . ПЕРСОНАЛЬНЫЕ ДАННЫЕ — ЗАПРЕТ ПЕРЕДАЧИ ТРЕТЬИМ ЛИЦАМ</w:t>
      </w:r>
    </w:p>
    <w:p>
      <w:pPr>
        <w:pBdr>
          <w:bottom w:val="single" w:color="E67E22" w:sz="4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Что сейчас в договоре (п. 2.3.1 и 2.3.2):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Клуб может передавать данные третьим лицам «для целей исполнения договора» — формулировка намеренно размытая. Согласие на рекламную рассылку вшито в тело договора, отдельно не выделено.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Требуемое дополнение к п. 2.3.1: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7E22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9"/>
                <w:szCs w:val="19"/>
              </w:rPr>
              <w:t xml:space="preserve">«Исполнитель обязуется не передавать персональные данные Клиента третьим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лицам, за исключением случаев, прямо предусмотренных законодательством РФ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(налоговые органы, суд, прокуратура).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Передача данных партнёрам, аффилированным лицам, рекламным агентствам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и иным коммерческим структурам без отдельного письменного согласия Клиента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— запрещена»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Требование по п. 2.3.2 — исключить полностью: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7E22" w:sz="12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9"/>
                <w:szCs w:val="19"/>
              </w:rPr>
              <w:t xml:space="preserve">«П. 2.3.2 исключить из текста Контракта как противоречащий п. 4 ст. 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Федерального закона №152-ФЗ "О персональных данных"»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4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💼  Позиция для переговоров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Смешение договора и согласия на рекламу в одном документе — нарушение п. 4 ст. 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152-ФЗ. Штраф для юрлица до 75 000 руб. по ст. 13.11 КоАП.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Жалоба в Роскомнадзор подаётся онлайн за 10 минут — клуб это знает.</w:t>
            </w:r>
          </w:p>
        </w:tc>
      </w:tr>
    </w:tbl>
    <w:p>
      <w:pPr>
        <w:spacing w:after="12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3.  . ОТВЕТСТВЕННОСТЬ ЗА НЕСЧАСТНЫЕ СЛУЧАИ ПО ВИНЕ КЛУБА</w:t>
      </w:r>
    </w:p>
    <w:p>
      <w:pPr>
        <w:pBdr>
          <w:bottom w:val="single" w:color="27AE60" w:sz="4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Что сейчас в договоре (п. 5.1–5.3):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Клуб снимает с себя ответственность за любой вред здоровью, ссылаясь на «ненадлежащее исполнение правил клиентом». Формулировка позволяет уйти от ответственности даже при сломанном тренажёре или скользком полу.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Требуемое дополнение к п. 5.1: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7AE60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9"/>
                <w:szCs w:val="19"/>
              </w:rPr>
              <w:t xml:space="preserve">«Исполнитель несёт полную ответственность за вред, причинённый жизни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и здоровью Клиента вследствие: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   — ненадлежащего технического состояния оборудования и тренажёров;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   — несоответствия помещений требованиям безопасности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      (скользкие покрытия, отсутствие разметки, неисправное освещение);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   — действий или бездействия персонала Клуба.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В указанных случаях Исполнитель обязан возместить Клиенту: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   — расходы на лечение и реабилитацию в полном объёме;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   — утраченный заработок за период нетрудоспособности;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   — компенсацию морального вреда»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Требуемая редакция п. 5.3: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7AE60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C3E50"/>
                <w:sz w:val="19"/>
                <w:szCs w:val="19"/>
              </w:rPr>
              <w:t xml:space="preserve">«Клиент не вправе требовать компенсации морального вреда за травмы,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полученные исключительно по собственной неосторожности, при условии что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Исполнитель надлежащим образом обеспечил безопасность оборудования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9"/>
                <w:szCs w:val="19"/>
              </w:rPr>
              <w:t xml:space="preserve">и помещений»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4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💼  Позиция для переговоров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П. 5.1–5.3 в текущей редакции частично ничтожны по ст. 1064 ГК РФ и ст. 14 ЗоЗПП.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Клуб не может договором отменить деликтную ответственность — это норма закона.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Клуб обязан обеспечить безопасность по ст. 7 ЗоЗПП и СанПиН.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Новая редакция лишь фиксирует то, что суд всё равно применит.</w:t>
            </w:r>
          </w:p>
        </w:tc>
      </w:tr>
    </w:tbl>
    <w:p>
      <w:pPr>
        <w:spacing w:after="120" w:before="0"/>
      </w:pPr>
    </w:p>
    <w:p>
      <w:pPr>
        <w:pBdr>
          <w:bottom w:val="single" w:color="BDC3C7" w:sz="4"/>
        </w:pBdr>
        <w:spacing w:after="60" w:before="60"/>
      </w:pPr>
    </w:p>
    <w:p>
      <w:pPr>
        <w:spacing w:after="12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ПОРЯДОК ПОДАЧИ ТРЕБОВАНИЙ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Распечатай этот документ — каждый пункт со ссылками на законы.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Подай письменно на имя директора с входящим номером.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При отказе — прямо скажи: «п. 4.2 и 5.1 не устоят в суде, штраф по ст. 13 ЗоЗПП — 50% сверх иска».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Не подписывай договор без письменных правок — устные обещания юридически ничто.</w:t>
      </w:r>
    </w:p>
    <w:p>
      <w:pPr>
        <w:spacing w:after="120" w:before="0"/>
      </w:pPr>
    </w:p>
    <w:p>
      <w:pPr>
        <w:pBdr>
          <w:bottom w:val="single" w:color="BDC3C7" w:sz="4"/>
        </w:pBdr>
        <w:spacing w:after="60" w:before="60"/>
      </w:pPr>
    </w:p>
    <w:p>
      <w:pPr>
        <w:spacing w:after="12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ИНСТРУМЕНТЫ ДАВЛЕНИЯ ПРИ ОТКАЗЕ КЛУБА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200"/>
        <w:gridCol w:w="24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Жалоба в Роспотребнадзор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Пп. 3.4, 4.2 — нарушение ЗоЗПП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Штраф клубу, давление до суда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Жалоба в Роскомнадзор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П. 2.3.2 — нарушение 152-ФЗ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Штраф до 75 000 руб.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Претензия с неустойкой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Ст. 28 ЗоЗПП — 3% в день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Быстрый добровольный возврат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Исковое заявление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Ст. 13 ЗоЗПП — штраф 50%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Взыскание сверх суммы иска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Публичная огласка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Клубы дорожат репутацией</w:t>
            </w:r>
          </w:p>
        </w:tc>
      </w:tr>
    </w:tbl>
    <w:p>
      <w:pPr>
        <w:spacing w:after="120" w:before="0"/>
      </w:pPr>
    </w:p>
    <w:p>
      <w:pPr>
        <w:pBdr>
          <w:bottom w:val="single" w:color="BDC3C7" w:sz="4"/>
        </w:pBdr>
        <w:spacing w:after="60" w:before="6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BDC3C7"/>
          <w:sz w:val="17"/>
          <w:szCs w:val="17"/>
        </w:rPr>
        <w:t xml:space="preserve">Документ носит информационный характер и не является официальной юридической консультацией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2026-05-30T23:50:32.912Z</dcterms:created>
  <dcterms:modified xsi:type="dcterms:W3CDTF">2026-05-30T23:50:32.913Z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