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pPr>
        <w:pStyle w:val="Titel"/>
      </w:pPr>
      <w:r>
        <w:t>Aether Motors – Architekturdokumentation</w:t>
      </w:r>
    </w:p>
    <w:p>
      <w:pPr>
        <w:pStyle w:val="Untertitel"/>
      </w:pPr>
      <w:r>
        <w:t>Cloud-native Microservice-Webshop für Elektrofahrzeuge</w:t>
      </w:r>
    </w:p>
    <w:p>
      <w:r>
        <w:t>Diese Dokumentation beschreibt die logische und physische Architektur des Aether Motors Webshops. Sie folgt der Vorlesungsstruktur (Architecture Component Descriptions, Architecture Decision Records, Deployment Decision Records) und beschreibt den realen Stand des Repositories nach Einführung von MinIO (Object Storage für Bildmaterial) und Redis (verteilter Warenkorb-Cache).</w:t>
      </w:r>
    </w:p>
    <w:p>
      <w:pPr>
        <w:pStyle w:val="berschrift1"/>
      </w:pPr>
      <w:r>
        <w:rPr>
          <w:sz w:val="36"/>
        </w:rPr>
        <w:t>Logical System Architecture</w:t>
      </w:r>
    </w:p>
    <w:p>
      <w:r>
        <w:t>Aether Motors realisiert einen 3-Tier-Microservice-Webshop. Der Presentation Tier wird vollständig vom Web Shop Backend Server-seitig gerendert und dient gleichzeitig als API-Gateway zu den nachgelagerten Microservices. Der Business Logic Tier besteht aus sieben fachlich geschnittenen Services (Product, Cart, Order, Media, Route, AI, Roadmap). Der Data Tier umfasst eine relationale MySQL-Datenbank, einen Redis-Cache sowie einen MinIO-Bucket für sämtliche Bildinhalte. Eine grafische Übersicht liefert das begleitende Foliendokument Architekturmodellierung.pptx.</w:t>
      </w:r>
    </w:p>
    <w:p>
      <w:pPr>
        <w:pStyle w:val="berschrift1"/>
      </w:pPr>
      <w:r>
        <w:rPr>
          <w:sz w:val="36"/>
        </w:rPr>
        <w:t>Architecture Component Descriptions</w:t>
      </w:r>
    </w:p>
    <w:p>
      <w:pPr>
        <w:pStyle w:val="berschrift2"/>
      </w:pPr>
      <w:r>
        <w:t>ACD1: Web Shop Frontend (Browser)</w:t>
      </w:r>
    </w:p>
    <w:p>
      <w:r>
        <w:t>Das Web Shop Frontend ist der vom Endkunden bediente Tier 1. Es besteht ausschließlich aus vom Web Shop Backend ausgeliefertem HTML, eingebettetem CSS sowie minimalen JavaScript-Inseln (z. B. Konfigurator-Interaktion, YouTube-Modal). Da kein Single-Page-Application-Framework aktiv ist, ist der Browser zustandslos – jeglicher Zustand liegt im Web Shop Backend bzw. in den Microservices. Lediglich die Cart-ID wird in einem Cookie persistiert, um zwischen Requests denselben Cart wiederzufinden.</w:t>
      </w:r>
    </w:p>
    <w:p>
      <w:pPr>
        <w:pStyle w:val="berschrift2"/>
      </w:pPr>
      <w:r>
        <w:t>ACD2: Web Shop Backend (SSR + API-Gateway)</w:t>
      </w:r>
    </w:p>
    <w:p>
      <w:r>
        <w:t>Das Web Shop Backend (Express + EJS, Port 3000) erfüllt zwei Aufgaben: (1) Server-Side Rendering aller Seiten (Home, Konfigurator, Galerie, Merchandise, Roadmap, Route) und (2) API-Gateway, das HTTP-Aufrufe an die Microservices weiterleitet. Eingehende Requests werden ausschließlich vom Backend bedient; Microservices sind nicht direkt öffentlich erreichbar. Das Backend ist einem unpredictable Workload ausgesetzt und muss daher elastisch horizontal skalieren (siehe ADR5).</w:t>
      </w:r>
    </w:p>
    <w:p>
      <w:pPr>
        <w:pStyle w:val="berschrift2"/>
      </w:pPr>
      <w:r>
        <w:t>ACD3: Product Information Service</w:t>
      </w:r>
    </w:p>
    <w:p>
      <w:r>
        <w:t>Der Product Information Service (Node.js, Port 3001) verwaltet sämtliche Stammdaten zu Fahrzeugen und Merchandise-Artikeln. Er stellt CRUD-Endpunkte über HTTP/JSON bereit und hält die Daten in der zugehörigen MySQL-Datenbank (siehe ACD10 und ADR7). Der Service ist – wie das Web Shop Backend – einem unpredictable Workload ausgesetzt und wird elastisch horizontal skaliert.</w:t>
      </w:r>
    </w:p>
    <w:p>
      <w:pPr>
        <w:pStyle w:val="berschrift2"/>
      </w:pPr>
      <w:r>
        <w:t>ACD4: Shopping Cart Service</w:t>
      </w:r>
    </w:p>
    <w:p>
      <w:r>
        <w:t>Der Shopping Cart Service (Node.js, Port 3002) verwaltet kundenspezifische Warenkörbe. Jeder Cart wird als JSON-Dokument in Redis unter dem Schlüssel &lt;prefix&gt;:&lt;cartId&gt; abgelegt und bei jeder Mutation mit einer sliding TTL neu geschrieben (Default 24 h, siehe ADR8). Eine eigene Datenbank pro Service ist hier bewusst durch einen In-Memory Cache ersetzt, weil Carts kurzlebig und nicht transaktionssicher zu persistieren sind. Da viele Kunden parallel einkaufen, ist der Workload unpredictable; der Service skaliert horizontal hinter einem Load Balancer.</w:t>
      </w:r>
    </w:p>
    <w:p>
      <w:pPr>
        <w:pStyle w:val="berschrift2"/>
      </w:pPr>
      <w:r>
        <w:t>ACD5: Order Service</w:t>
      </w:r>
    </w:p>
    <w:p>
      <w:r>
        <w:t>Der Order Service (Node.js, Port 3003) wandelt einen Cart in eine Bestellung um und führt einfache Bestellverwaltungsfunktionen aus. Er ruft den Cart Service über die HTTP-API auf, um den finalen Warenkorbinhalt zu übernehmen. In der aktuellen Ausbaustufe ist der Workload predictable, sodass ein einzelner Replica-Container ausreicht.</w:t>
      </w:r>
    </w:p>
    <w:p>
      <w:pPr>
        <w:pStyle w:val="berschrift2"/>
      </w:pPr>
      <w:r>
        <w:t>ACD6: Media Service</w:t>
      </w:r>
    </w:p>
    <w:p>
      <w:r>
        <w:t>Der Media Service (Node.js, Port 3004) liefert Metadaten über die in MinIO abgelegten Bild-, Video- und 3D-Assets. Der Service streamt die Binärdaten selbst nicht aus, sondern verweist über öffentliche MinIO-URLs auf die Objekte (siehe ACD12 und ADR9). Dadurch bleibt die Antwortlatenz vorhersagbar und der Service skaliert praktisch beliebig, da er nur Metadaten ausliefert.</w:t>
      </w:r>
    </w:p>
    <w:p>
      <w:pPr>
        <w:pStyle w:val="berschrift2"/>
      </w:pPr>
      <w:r>
        <w:t>ACD7: Route Service</w:t>
      </w:r>
    </w:p>
    <w:p>
      <w:r>
        <w:t>Der Route Service (Node.js, Port 3005) modelliert das Premiere-Event-Tracking, das auf der Startseite eingeblendet wird (Countdown, Live-Telemetrie, Wegpunkte zwischen Teststrecke und Pavillon). Der Service liefert ausschließlich statische bzw. mock-basierte Daten und ist daher zustandslos.</w:t>
      </w:r>
    </w:p>
    <w:p>
      <w:pPr>
        <w:pStyle w:val="berschrift2"/>
      </w:pPr>
      <w:r>
        <w:t>ACD8: AI Service</w:t>
      </w:r>
    </w:p>
    <w:p>
      <w:r>
        <w:t>Der AI Service (Node.js, Port 3006) generiert auf Basis natürlich-sprachlicher Kundenwünsche eine passende Fahrzeugkonfiguration. Im Regelbetrieb wird Google Gemini (Modell konfigurierbar via GEMINI_MODEL) aufgerufen; ist kein API-Key gesetzt, antwortet der Service deterministisch mit der ersten verfügbaren Option pro Konfigurations-kategorie und markiert die Antwort über meta.fallback (siehe ADR10). Dadurch funktioniert die Demo auch ohne externe Abhängigkeit.</w:t>
      </w:r>
    </w:p>
    <w:p>
      <w:pPr>
        <w:pStyle w:val="berschrift2"/>
      </w:pPr>
      <w:r>
        <w:t>ACD9: Roadmap Service</w:t>
      </w:r>
    </w:p>
    <w:p>
      <w:r>
        <w:t>Der Roadmap Service (Node.js, Port 3007) liefert die Produkt-Roadmap (Meilensteine, Releases, Marketing-Phasen). Wie der Route Service ist er rein lesend und zustandslos.</w:t>
      </w:r>
    </w:p>
    <w:p>
      <w:pPr>
        <w:pStyle w:val="berschrift2"/>
      </w:pPr>
      <w:r>
        <w:t>ACD10: Product Information Database (MySQL)</w:t>
      </w:r>
    </w:p>
    <w:p>
      <w:r>
        <w:t>Eine relationale MySQL-Datenbank (Port 3306) hält sämtliche Produktinformationen. Schema und Seed-Daten werden über services/product-service/aether_motors.sql beim ersten Container-Start eingespielt. Die Datenbank ist gemäß Database-per-Service-Pattern (ADR7) ausschließlich dem Product Information Service zugänglich; alle anderen Komponenten greifen über dessen HTTP-API zu.</w:t>
      </w:r>
    </w:p>
    <w:p>
      <w:pPr>
        <w:pStyle w:val="berschrift2"/>
      </w:pPr>
      <w:r>
        <w:t>ACD11: Cart Cache (Redis)</w:t>
      </w:r>
    </w:p>
    <w:p>
      <w:r>
        <w:t>Ein einzelner Redis-Container (Port 6379) persistiert die Warenkörbe des Cart Service. Persistenz erfolgt über Append-Only-File (--appendonly yes) auf einem Docker-Volume, sodass Cart-Daten einen Container-Neustart überleben. Die TTL pro Eintrag ist konfigurierbar (REDIS_TTL_SECONDS) und wird bei jeder Mutation refreshed.</w:t>
      </w:r>
    </w:p>
    <w:p>
      <w:pPr>
        <w:pStyle w:val="berschrift2"/>
      </w:pPr>
      <w:r>
        <w:t>ACD12: Media Object Storage (MinIO)</w:t>
      </w:r>
    </w:p>
    <w:p>
      <w:r>
        <w:t>MinIO ist die S3-kompatible Object-Storage-Komponente des Systems und beherbergt sämtliche Bild- und Mediendateien im Bucket aether-images. Der Bucket wird beim ersten docker-compose-Start automatisch durch den minio-init-Sidecar-Container angelegt und mit den im infrastructure/minio/seed-manifest.json hinterlegten Bildern befüllt. Anonyme Lese-Zugriffe sind erlaubt, sodass das SSR-Frontend die Objekte direkt referenzieren kann.</w:t>
      </w:r>
    </w:p>
    <w:p>
      <w:pPr>
        <w:pStyle w:val="berschrift1"/>
      </w:pPr>
      <w:r>
        <w:rPr>
          <w:sz w:val="36"/>
        </w:rPr>
        <w:t>Architecture Decision Records</w:t>
      </w:r>
    </w:p>
    <w:p>
      <w:pPr>
        <w:pStyle w:val="berschrift2"/>
      </w:pPr>
      <w:r>
        <w:t>ADR1: Microservice-Architektur</w:t>
      </w:r>
    </w:p>
    <w:p>
      <w:r>
        <w:t>Das System wird gemäß des Microservice-Architekturstils umgesetzt. Die einzelnen fachlichen Verantwortlichkeiten (Produktstammdaten, Warenkorb, Bestellungen, Medien, Routen, AI-Empfehlungen, Roadmap) lassen sich klar voneinander abgrenzen und besitzen jeweils starke interne Kohäsion. Microservices ermöglichen es, jede Komponente unabhängig zu entwickeln, zu deployen und zu skalieren.</w:t>
      </w:r>
    </w:p>
    <w:p>
      <w:pPr>
        <w:pStyle w:val="berschrift2"/>
      </w:pPr>
      <w:r>
        <w:t>ADR2: 3-Tier-Architektur (Presentation / Business Logic / Data)</w:t>
      </w:r>
    </w:p>
    <w:p>
      <w:r>
        <w:t>Die Komponenten werden in drei Tiers gegliedert: Presentation Tier (Web Shop Backend mit SSR), Business Logic Tier (sieben Microservices) und Data Tier (MySQL, Redis, MinIO). Diese Trennung erleichtert das Deployment (z. B. unterschiedliche Skalierungsstrategien je Tier) und die Absicherung (nur das Backend ist öffentlich erreichbar).</w:t>
      </w:r>
    </w:p>
    <w:p>
      <w:pPr>
        <w:pStyle w:val="berschrift2"/>
      </w:pPr>
      <w:r>
        <w:t>ADR3: Exklusives Server-Side UI Rendering im Web Shop Backend</w:t>
      </w:r>
    </w:p>
    <w:p>
      <w:r>
        <w:t>Da der Webshop in der aktuellen Ausbaustufe nur eine vergleichsweise einfache, weitgehend statische Benutzeroberfläche bereitstellt und Inhalte nicht dynamisch nachgeladen werden müssen, wird ausschließlich Server-Side Rendering verwendet. Client-Side Rendering kann nachträglich für einzelne, interaktive Bereiche (z. B. den Konfigurator) ergänzt werden, ohne die Gesamtarchitektur zu ändern.</w:t>
      </w:r>
    </w:p>
    <w:p>
      <w:pPr>
        <w:pStyle w:val="berschrift2"/>
      </w:pPr>
      <w:r>
        <w:t>ADR4: HTTP/JSON als Inter-Service-Kommunikation</w:t>
      </w:r>
    </w:p>
    <w:p>
      <w:r>
        <w:t>Alle Microservices kommunizieren synchron über HTTP/JSON. Diese Entscheidung ist bewusst pragmatisch: HTTP ist im Web-Kontext ohnehin vorhanden, jeder Service kann mit den üblichen Sprachmitteln (fetch, axios) konsumiert werden, und Werkzeuge zur Observability sind weit verbreitet. Asynchrone Kommunikation über Message Broker wird in einer späteren Ausbaustufe in Erwägung gezogen, sobald langlaufende Hintergrund-Workloads hinzukommen.</w:t>
      </w:r>
    </w:p>
    <w:p>
      <w:pPr>
        <w:pStyle w:val="berschrift2"/>
      </w:pPr>
      <w:r>
        <w:t>ADR5: Elastic Horizontal Scaling und Load Balancer im Business Logic Tier</w:t>
      </w:r>
    </w:p>
    <w:p>
      <w:r>
        <w:t>Die Komponenten Web Shop Backend, Product Information Service und Cart Service sind einem unpredictable Workload ausgesetzt und werden daher elastisch horizontal skaliert. Die Skalierung erfolgt im Zielbetrieb über einen PaaS-Hosting-Service des Cloud-Providers. Voraussetzung dafür ist, dass die Services zustandslos sind – im Cart Service wird dies durch externe Persistenz in Redis (ADR8) sichergestellt.</w:t>
      </w:r>
    </w:p>
    <w:p>
      <w:pPr>
        <w:pStyle w:val="berschrift2"/>
      </w:pPr>
      <w:r>
        <w:t>ADR6: Relationale MySQL-Datenbank für den Product Information Microservice</w:t>
      </w:r>
    </w:p>
    <w:p>
      <w:r>
        <w:t>Der Product Information Service verwaltet strukturierte Stammdaten (Fahrzeuge, Optionen, Merchandise) mit klaren Beziehungen, die Joins und komplexe Filter erfordern. Eine relationale Datenbank (MySQL 8) ist dafür das geeignete Persistenzmodell. Document- oder Key-Value-Stores wurden verworfen, weil sie die geforderten Join-Operationen nur umständlich abbilden würden.</w:t>
      </w:r>
    </w:p>
    <w:p>
      <w:pPr>
        <w:pStyle w:val="berschrift2"/>
      </w:pPr>
      <w:r>
        <w:t>ADR7: Database per Service für den Product Information Microservice</w:t>
      </w:r>
    </w:p>
    <w:p>
      <w:r>
        <w:t>Die Produkt-Datenbank wird gemäß Database-per-Service-Pattern ausschließlich vom Product Information Service verwendet. Alle anderen Komponenten greifen über dessen HTTP-API auf die Produktdaten zu. Dadurch bleibt das Schema unabhängig veränderbar, ohne andere Services zu brechen.</w:t>
      </w:r>
    </w:p>
    <w:p>
      <w:pPr>
        <w:pStyle w:val="berschrift2"/>
      </w:pPr>
      <w:r>
        <w:t>ADR8: Redis als verteilter Warenkorb-Cache mit Sliding-TTL</w:t>
      </w:r>
    </w:p>
    <w:p>
      <w:r>
        <w:t>Warenkörbe sind kurzlebig, lesbar/schreibend hochfrequent und müssen für die Lastverteilung (ADR5) services-extern gespeichert werden. Eine relationale Datenbank ist dafür überdimensioniert. Redis bietet O(1)-Zugriff per Key, TTL-basierten automatischen Cleanup und Append-Only-Persistenz. Der Cart Service schreibt jeden Cart bei Änderung mit SET … EX &lt;ttl&gt;, wodurch die TTL als Sliding Expiration wirkt: inaktive Carts verschwinden nach REDIS_TTL_SECONDS automatisch. Die vormals genutzte In-Memory Map wurde entfernt, weil sie horizontale Skalierung verhindert (siehe ADR5).</w:t>
      </w:r>
    </w:p>
    <w:p>
      <w:pPr>
        <w:pStyle w:val="berschrift2"/>
      </w:pPr>
      <w:r>
        <w:t>ADR9: MinIO als zentrales Object Storage für Bildmaterial</w:t>
      </w:r>
    </w:p>
    <w:p>
      <w:r>
        <w:t>Für Bild- und Mediendateien wird MinIO – S3-API-kompatibles Object Storage – eingesetzt. Im Vergleich zum vorherigen Verfahren (externe Hotlinks auf Google-CDNs) erlaubt MinIO kontrollierten Zugriff, unabhängiges Hosting und einfache Migration in produktive Cloud-Object-Stores (S3, GCS). Der minio-init-Sidecar lädt beim ersten Hochfahren des Stacks die im Manifest definierten Bilder einmalig in den Bucket. Anonyme Read-Zugriffe sind aktiviert, damit das SSR-Frontend Bilder direkt referenzieren kann.</w:t>
      </w:r>
    </w:p>
    <w:p>
      <w:pPr>
        <w:pStyle w:val="berschrift2"/>
      </w:pPr>
      <w:r>
        <w:t>ADR10: Deterministischer Fallback-Modus im AI Service</w:t>
      </w:r>
    </w:p>
    <w:p>
      <w:r>
        <w:t>Der AI Service ist von einem externen LLM (Google Gemini) abhängig. Damit Demos, Reviews und Entwicklungs-Setups auch ohne API-Key funktionieren, antwortet der Service im Fehlerfall mit einer deterministischen Default-Konfiguration (jeweils erste Option pro Kategorie). Diese Antwort ist schema-identisch zur Live-Antwort; sie wird ausschließlich über meta.fallback = true markiert.</w:t>
      </w:r>
    </w:p>
    <w:p>
      <w:pPr>
        <w:pStyle w:val="berschrift1"/>
      </w:pPr>
      <w:r>
        <w:rPr>
          <w:sz w:val="36"/>
        </w:rPr>
        <w:t>Deployment Decision Records</w:t>
      </w:r>
    </w:p>
    <w:p>
      <w:pPr>
        <w:pStyle w:val="berschrift2"/>
      </w:pPr>
      <w:r>
        <w:t>DDR1: Container-basiertes Deployment via Docker Compose (Entwicklung)</w:t>
      </w:r>
    </w:p>
    <w:p>
      <w:r>
        <w:t>Für die Entwicklung wird das gesamte System über docker-compose orchestriert. Jeder Microservice, MySQL, Redis und MinIO laufen in eigenen Containern auf einem gemeinsamen Docker-Netzwerk; Adminer und die MinIO-Konsole bieten GUI-Zugriff auf die Datenbestände. Dieser Aufbau ist mit einem einzelnen Befehl reproduzierbar.</w:t>
      </w:r>
    </w:p>
    <w:p>
      <w:pPr>
        <w:pStyle w:val="berschrift2"/>
      </w:pPr>
      <w:r>
        <w:t>DDR2: Ein Container-Image pro Microservice</w:t>
      </w:r>
    </w:p>
    <w:p>
      <w:r>
        <w:t>Jeder Microservice besitzt ein eigenes Dockerfile und wird zu einem separaten Container-Image gebaut. Eine .dockerignore stellt sicher, dass node_modules, Build-Artefakte und sensitive Dateien nicht in das Image wandern.</w:t>
      </w:r>
    </w:p>
    <w:p>
      <w:pPr>
        <w:pStyle w:val="berschrift2"/>
      </w:pPr>
      <w:r>
        <w:t>DDR3: Web Shop Backend auf AWS Elastic Beanstalk</w:t>
      </w:r>
    </w:p>
    <w:p>
      <w:r>
        <w:t>Gemäß ADR5 muss das Web Shop Backend elastisch horizontal skaliert werden. Im produktiven Zielbild wird es auf AWS Elastic Beanstalk deployt – einem Fully-Managed PaaS, das automatisierte Skalierung, Health-Checks und Load-Balancing übernimmt.</w:t>
      </w:r>
    </w:p>
    <w:p>
      <w:pPr>
        <w:pStyle w:val="berschrift2"/>
      </w:pPr>
      <w:r>
        <w:t>DDR4: Microservices auf AWS ECS Fargate</w:t>
      </w:r>
    </w:p>
    <w:p>
      <w:r>
        <w:t>Die fachlichen Microservices werden im Zielbetrieb in AWS ECS Fargate ausgeführt. Fargate liefert serverlose Container-Ausführung, eignet sich gut für die meist leichtgewichtigen Node-Services und erlaubt unterschiedliche Skalierungsprofile pro Service (Cart und Product elastisch, Roadmap und Route in fixer Replica-Zahl).</w:t>
      </w:r>
    </w:p>
    <w:p>
      <w:pPr>
        <w:pStyle w:val="berschrift2"/>
      </w:pPr>
      <w:r>
        <w:t>DDR5: AWS RDS for MySQL für die Produkt-Datenbank</w:t>
      </w:r>
    </w:p>
    <w:p>
      <w:r>
        <w:t>Die Produkt-Datenbank wird im Zielbetrieb als Managed-Service (AWS RDS for MySQL) bereitgestellt. RDS übernimmt Backups, Patching, Multi-AZ-Failover und Monitoring. Dies passt zu ADR6/ADR7, ohne dass eine eigene Datenbank-Administration nötig wird.</w:t>
      </w:r>
    </w:p>
    <w:p>
      <w:pPr>
        <w:pStyle w:val="berschrift2"/>
      </w:pPr>
      <w:r>
        <w:t>DDR6: AWS ElastiCache for Redis für den Cart-Cache</w:t>
      </w:r>
    </w:p>
    <w:p>
      <w:r>
        <w:t>Anstelle eines selbst betriebenen Redis-Containers wird im Zielbetrieb AWS ElastiCache for Redis genutzt. ElastiCache liefert horizontal skalierbare Redis-Cluster mit Failover, automatischen Snapshots und kompatibler Wire-Protocol-Implementierung – der Cart Service muss lediglich seine REDIS_URL anpassen.</w:t>
      </w:r>
    </w:p>
    <w:p>
      <w:pPr>
        <w:pStyle w:val="berschrift2"/>
      </w:pPr>
      <w:r>
        <w:t>DDR7: Object Storage – MinIO On-Premise, AWS S3 als Zielbild</w:t>
      </w:r>
    </w:p>
    <w:p>
      <w:r>
        <w:t>In der Entwicklungs- und Demoumgebung läuft MinIO als Container und stellt die S3-API bereit. Da MinIO API-kompatibel zu AWS S3 ist, kann das System für den produktiven Betrieb ohne Anwendungs-Änderungen auf S3 umgestellt werden – betroffen sind ausschließlich die Umgebungsvariablen (MINIO_ENDPOINT/MINIO_PUBLIC_URL und Zugangsdaten).</w:t>
      </w:r>
    </w:p>
    <w:p>
      <w:pPr>
        <w:pStyle w:val="berschrift2"/>
      </w:pPr>
      <w:r>
        <w:t>DDR8: Geheimnisverwaltung über Umgebungsvariablen / Secrets Manager</w:t>
      </w:r>
    </w:p>
    <w:p>
      <w:r>
        <w:t>Sensible Werte (Datenbankzugang, MinIO-Credentials, GEMINI_API_KEY) werden im Code niemals fest hinterlegt. Lokal werden sie über docker-compose-Variablen gesetzt; im Zielbetrieb stammen sie aus AWS Secrets Manager und werden den Containern als Environment-Variablen injiziert.</w:t>
      </w:r>
    </w:p>
    <w:sectPr w:rsidR="00C13630" w:rsidRPr="00401C74" w:rsidSect="00306DB9">
      <w:pgSz w:w="11906" w:h="16838"/>
      <w:pgMar w:top="1417" w:right="1417" w:bottom="709"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80"/>
  <w:proofState w:spelling="clean" w:grammar="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13630"/>
    <w:rsid w:val="000A68F0"/>
    <w:rsid w:val="0012534A"/>
    <w:rsid w:val="002C2975"/>
    <w:rsid w:val="00306DB9"/>
    <w:rsid w:val="00401C74"/>
    <w:rsid w:val="0059546F"/>
    <w:rsid w:val="00C13630"/>
  </w:rsids>
  <m:mathPr>
    <m:mathFont m:val="Cambria Math"/>
    <m:brkBin m:val="before"/>
    <m:brkBinSub m:val="--"/>
    <m:smallFrac m:val="0"/>
    <m:dispDef/>
    <m:lMargin m:val="0"/>
    <m:rMargin m:val="0"/>
    <m:defJc m:val="centerGroup"/>
    <m:wrapIndent m:val="1440"/>
    <m:intLim m:val="subSup"/>
    <m:naryLim m:val="undOvr"/>
  </m:mathPr>
  <w:themeFontLang w:val="de-DE"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20E24F6"/>
  <w15:chartTrackingRefBased/>
  <w15:docId w15:val="{B5F089A2-AA44-49FD-BE79-432371C11B1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basedOn w:val="Standard"/>
    <w:next w:val="Standard"/>
    <w:link w:val="berschrift1Zchn"/>
    <w:uiPriority w:val="9"/>
    <w:qFormat/>
    <w:rsid w:val="00C1363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berschrift2">
    <w:name w:val="heading 2"/>
    <w:basedOn w:val="Standard"/>
    <w:next w:val="Standard"/>
    <w:link w:val="berschrift2Zchn"/>
    <w:uiPriority w:val="9"/>
    <w:semiHidden/>
    <w:unhideWhenUsed/>
    <w:qFormat/>
    <w:rsid w:val="00C1363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berschrift3">
    <w:name w:val="heading 3"/>
    <w:basedOn w:val="Standard"/>
    <w:next w:val="Standard"/>
    <w:link w:val="berschrift3Zchn"/>
    <w:uiPriority w:val="9"/>
    <w:semiHidden/>
    <w:unhideWhenUsed/>
    <w:qFormat/>
    <w:rsid w:val="00C13630"/>
    <w:pPr>
      <w:keepNext/>
      <w:keepLines/>
      <w:spacing w:before="160" w:after="80"/>
      <w:outlineLvl w:val="2"/>
    </w:pPr>
    <w:rPr>
      <w:rFonts w:eastAsiaTheme="majorEastAsia" w:cstheme="majorBidi"/>
      <w:color w:val="0F4761" w:themeColor="accent1" w:themeShade="BF"/>
      <w:sz w:val="28"/>
      <w:szCs w:val="28"/>
    </w:rPr>
  </w:style>
  <w:style w:type="paragraph" w:styleId="berschrift4">
    <w:name w:val="heading 4"/>
    <w:basedOn w:val="Standard"/>
    <w:next w:val="Standard"/>
    <w:link w:val="berschrift4Zchn"/>
    <w:uiPriority w:val="9"/>
    <w:semiHidden/>
    <w:unhideWhenUsed/>
    <w:qFormat/>
    <w:rsid w:val="00C13630"/>
    <w:pPr>
      <w:keepNext/>
      <w:keepLines/>
      <w:spacing w:before="80" w:after="40"/>
      <w:outlineLvl w:val="3"/>
    </w:pPr>
    <w:rPr>
      <w:rFonts w:eastAsiaTheme="majorEastAsia" w:cstheme="majorBidi"/>
      <w:i/>
      <w:iCs/>
      <w:color w:val="0F4761" w:themeColor="accent1" w:themeShade="BF"/>
    </w:rPr>
  </w:style>
  <w:style w:type="paragraph" w:styleId="berschrift5">
    <w:name w:val="heading 5"/>
    <w:basedOn w:val="Standard"/>
    <w:next w:val="Standard"/>
    <w:link w:val="berschrift5Zchn"/>
    <w:uiPriority w:val="9"/>
    <w:semiHidden/>
    <w:unhideWhenUsed/>
    <w:qFormat/>
    <w:rsid w:val="00C13630"/>
    <w:pPr>
      <w:keepNext/>
      <w:keepLines/>
      <w:spacing w:before="80" w:after="40"/>
      <w:outlineLvl w:val="4"/>
    </w:pPr>
    <w:rPr>
      <w:rFonts w:eastAsiaTheme="majorEastAsia" w:cstheme="majorBidi"/>
      <w:color w:val="0F4761" w:themeColor="accent1" w:themeShade="BF"/>
    </w:rPr>
  </w:style>
  <w:style w:type="paragraph" w:styleId="berschrift6">
    <w:name w:val="heading 6"/>
    <w:basedOn w:val="Standard"/>
    <w:next w:val="Standard"/>
    <w:link w:val="berschrift6Zchn"/>
    <w:uiPriority w:val="9"/>
    <w:semiHidden/>
    <w:unhideWhenUsed/>
    <w:qFormat/>
    <w:rsid w:val="00C13630"/>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C13630"/>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C13630"/>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C13630"/>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C13630"/>
    <w:rPr>
      <w:rFonts w:asciiTheme="majorHAnsi" w:eastAsiaTheme="majorEastAsia" w:hAnsiTheme="majorHAnsi" w:cstheme="majorBidi"/>
      <w:color w:val="0F4761" w:themeColor="accent1" w:themeShade="BF"/>
      <w:sz w:val="40"/>
      <w:szCs w:val="40"/>
    </w:rPr>
  </w:style>
  <w:style w:type="character" w:customStyle="1" w:styleId="berschrift2Zchn">
    <w:name w:val="Überschrift 2 Zchn"/>
    <w:basedOn w:val="Absatz-Standardschriftart"/>
    <w:link w:val="berschrift2"/>
    <w:uiPriority w:val="9"/>
    <w:semiHidden/>
    <w:rsid w:val="00C13630"/>
    <w:rPr>
      <w:rFonts w:asciiTheme="majorHAnsi" w:eastAsiaTheme="majorEastAsia" w:hAnsiTheme="majorHAnsi" w:cstheme="majorBidi"/>
      <w:color w:val="0F4761" w:themeColor="accent1" w:themeShade="BF"/>
      <w:sz w:val="32"/>
      <w:szCs w:val="32"/>
    </w:rPr>
  </w:style>
  <w:style w:type="character" w:customStyle="1" w:styleId="berschrift3Zchn">
    <w:name w:val="Überschrift 3 Zchn"/>
    <w:basedOn w:val="Absatz-Standardschriftart"/>
    <w:link w:val="berschrift3"/>
    <w:uiPriority w:val="9"/>
    <w:semiHidden/>
    <w:rsid w:val="00C13630"/>
    <w:rPr>
      <w:rFonts w:eastAsiaTheme="majorEastAsia" w:cstheme="majorBidi"/>
      <w:color w:val="0F4761" w:themeColor="accent1" w:themeShade="BF"/>
      <w:sz w:val="28"/>
      <w:szCs w:val="28"/>
    </w:rPr>
  </w:style>
  <w:style w:type="character" w:customStyle="1" w:styleId="berschrift4Zchn">
    <w:name w:val="Überschrift 4 Zchn"/>
    <w:basedOn w:val="Absatz-Standardschriftart"/>
    <w:link w:val="berschrift4"/>
    <w:uiPriority w:val="9"/>
    <w:semiHidden/>
    <w:rsid w:val="00C13630"/>
    <w:rPr>
      <w:rFonts w:eastAsiaTheme="majorEastAsia" w:cstheme="majorBidi"/>
      <w:i/>
      <w:iCs/>
      <w:color w:val="0F4761" w:themeColor="accent1" w:themeShade="BF"/>
    </w:rPr>
  </w:style>
  <w:style w:type="character" w:customStyle="1" w:styleId="berschrift5Zchn">
    <w:name w:val="Überschrift 5 Zchn"/>
    <w:basedOn w:val="Absatz-Standardschriftart"/>
    <w:link w:val="berschrift5"/>
    <w:uiPriority w:val="9"/>
    <w:semiHidden/>
    <w:rsid w:val="00C13630"/>
    <w:rPr>
      <w:rFonts w:eastAsiaTheme="majorEastAsia" w:cstheme="majorBidi"/>
      <w:color w:val="0F4761" w:themeColor="accent1" w:themeShade="BF"/>
    </w:rPr>
  </w:style>
  <w:style w:type="character" w:customStyle="1" w:styleId="berschrift6Zchn">
    <w:name w:val="Überschrift 6 Zchn"/>
    <w:basedOn w:val="Absatz-Standardschriftart"/>
    <w:link w:val="berschrift6"/>
    <w:uiPriority w:val="9"/>
    <w:semiHidden/>
    <w:rsid w:val="00C13630"/>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C13630"/>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C13630"/>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C13630"/>
    <w:rPr>
      <w:rFonts w:eastAsiaTheme="majorEastAsia" w:cstheme="majorBidi"/>
      <w:color w:val="272727" w:themeColor="text1" w:themeTint="D8"/>
    </w:rPr>
  </w:style>
  <w:style w:type="paragraph" w:styleId="Titel">
    <w:name w:val="Title"/>
    <w:basedOn w:val="Standard"/>
    <w:next w:val="Standard"/>
    <w:link w:val="TitelZchn"/>
    <w:uiPriority w:val="10"/>
    <w:qFormat/>
    <w:rsid w:val="00C1363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C13630"/>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C13630"/>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C13630"/>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C13630"/>
    <w:pPr>
      <w:spacing w:before="160"/>
      <w:jc w:val="center"/>
    </w:pPr>
    <w:rPr>
      <w:i/>
      <w:iCs/>
      <w:color w:val="404040" w:themeColor="text1" w:themeTint="BF"/>
    </w:rPr>
  </w:style>
  <w:style w:type="character" w:customStyle="1" w:styleId="ZitatZchn">
    <w:name w:val="Zitat Zchn"/>
    <w:basedOn w:val="Absatz-Standardschriftart"/>
    <w:link w:val="Zitat"/>
    <w:uiPriority w:val="29"/>
    <w:rsid w:val="00C13630"/>
    <w:rPr>
      <w:i/>
      <w:iCs/>
      <w:color w:val="404040" w:themeColor="text1" w:themeTint="BF"/>
    </w:rPr>
  </w:style>
  <w:style w:type="paragraph" w:styleId="Listenabsatz">
    <w:name w:val="List Paragraph"/>
    <w:basedOn w:val="Standard"/>
    <w:uiPriority w:val="34"/>
    <w:qFormat/>
    <w:rsid w:val="00C13630"/>
    <w:pPr>
      <w:ind w:left="720"/>
      <w:contextualSpacing/>
    </w:pPr>
  </w:style>
  <w:style w:type="character" w:styleId="IntensiveHervorhebung">
    <w:name w:val="Intense Emphasis"/>
    <w:basedOn w:val="Absatz-Standardschriftart"/>
    <w:uiPriority w:val="21"/>
    <w:qFormat/>
    <w:rsid w:val="00C13630"/>
    <w:rPr>
      <w:i/>
      <w:iCs/>
      <w:color w:val="0F4761" w:themeColor="accent1" w:themeShade="BF"/>
    </w:rPr>
  </w:style>
  <w:style w:type="paragraph" w:styleId="IntensivesZitat">
    <w:name w:val="Intense Quote"/>
    <w:basedOn w:val="Standard"/>
    <w:next w:val="Standard"/>
    <w:link w:val="IntensivesZitatZchn"/>
    <w:uiPriority w:val="30"/>
    <w:qFormat/>
    <w:rsid w:val="00C1363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ivesZitatZchn">
    <w:name w:val="Intensives Zitat Zchn"/>
    <w:basedOn w:val="Absatz-Standardschriftart"/>
    <w:link w:val="IntensivesZitat"/>
    <w:uiPriority w:val="30"/>
    <w:rsid w:val="00C13630"/>
    <w:rPr>
      <w:i/>
      <w:iCs/>
      <w:color w:val="0F4761" w:themeColor="accent1" w:themeShade="BF"/>
    </w:rPr>
  </w:style>
  <w:style w:type="character" w:styleId="IntensiverVerweis">
    <w:name w:val="Intense Reference"/>
    <w:basedOn w:val="Absatz-Standardschriftart"/>
    <w:uiPriority w:val="32"/>
    <w:qFormat/>
    <w:rsid w:val="00C13630"/>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image" Target="media/image1.png"/></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2</Pages>
  <Words>495</Words>
  <Characters>2828</Characters>
  <Application>Microsoft Office Word</Application>
  <DocSecurity>0</DocSecurity>
  <Lines>23</Lines>
  <Paragraphs>6</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3317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Uwe Breitenbuecher</dc:creator>
  <cp:keywords/>
  <dc:description/>
  <cp:lastModifiedBy>Uwe Breitenbuecher</cp:lastModifiedBy>
  <cp:revision>1</cp:revision>
  <dcterms:created xsi:type="dcterms:W3CDTF">2024-05-05T22:14:00Z</dcterms:created>
  <dcterms:modified xsi:type="dcterms:W3CDTF">2024-05-05T22:54:00Z</dcterms:modified>
</cp:coreProperties>
</file>