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91C" w:rsidRDefault="00AB6AE0" w:rsidP="00FB791C">
      <w:pPr>
        <w:rPr>
          <w:b/>
          <w:u w:val="single"/>
        </w:rPr>
      </w:pPr>
      <w:r>
        <w:rPr>
          <w:b/>
          <w:u w:val="single"/>
        </w:rPr>
        <w:t>T</w:t>
      </w:r>
      <w:r w:rsidR="00FB791C">
        <w:rPr>
          <w:b/>
          <w:u w:val="single"/>
        </w:rPr>
        <w:t>ransmission advantage of SARS-CoV2 variants of concern in Belgium</w:t>
      </w:r>
    </w:p>
    <w:p w:rsidR="00AB6AE0" w:rsidRPr="00AB6AE0" w:rsidRDefault="00AB6AE0" w:rsidP="00FB791C">
      <w:pPr>
        <w:rPr>
          <w:i/>
        </w:rPr>
      </w:pPr>
      <w:r w:rsidRPr="00AB6AE0">
        <w:rPr>
          <w:i/>
        </w:rPr>
        <w:t>Tom Wenseleers, 10</w:t>
      </w:r>
      <w:r w:rsidRPr="00AB6AE0">
        <w:rPr>
          <w:i/>
          <w:vertAlign w:val="superscript"/>
        </w:rPr>
        <w:t>th</w:t>
      </w:r>
      <w:r w:rsidRPr="00AB6AE0">
        <w:rPr>
          <w:i/>
        </w:rPr>
        <w:t xml:space="preserve"> of May 2021</w:t>
      </w:r>
      <w:bookmarkStart w:id="0" w:name="_GoBack"/>
      <w:bookmarkEnd w:id="0"/>
    </w:p>
    <w:p w:rsidR="00FB791C" w:rsidRDefault="00FB791C" w:rsidP="00FB791C"/>
    <w:p w:rsidR="004A6B30" w:rsidRDefault="004B6CE2">
      <w:r>
        <w:t xml:space="preserve">To estimate the difference in growth rate (per day) between the variants of concern 501Y.V2 (B.1.351, South African variant) and 501Y.V3 (P.1, Brazilian variant) against that of 501Y.V1 (B.1.1.7, Kent or UK variant) we fitted a multinomial model to the baseline surveillance sequencing variant counts (aggregated by week) given in the weekly </w:t>
      </w:r>
      <w:proofErr w:type="spellStart"/>
      <w:r>
        <w:t>Sciensano</w:t>
      </w:r>
      <w:proofErr w:type="spellEnd"/>
      <w:r>
        <w:t xml:space="preserve"> report of the 8</w:t>
      </w:r>
      <w:r w:rsidRPr="004B6CE2">
        <w:rPr>
          <w:vertAlign w:val="superscript"/>
        </w:rPr>
        <w:t>th</w:t>
      </w:r>
      <w:r>
        <w:t xml:space="preserve"> of May</w:t>
      </w:r>
      <w:r w:rsidR="00AA2272">
        <w:t xml:space="preserve"> 2021 (Fig. 1)</w:t>
      </w:r>
      <w:r>
        <w:t xml:space="preserve">. This model was fit using the </w:t>
      </w:r>
      <w:proofErr w:type="spellStart"/>
      <w:r w:rsidRPr="004B6CE2">
        <w:rPr>
          <w:i/>
        </w:rPr>
        <w:t>multinom</w:t>
      </w:r>
      <w:proofErr w:type="spellEnd"/>
      <w:r>
        <w:t xml:space="preserve"> function in the </w:t>
      </w:r>
      <w:proofErr w:type="spellStart"/>
      <w:r w:rsidRPr="004B6CE2">
        <w:rPr>
          <w:i/>
        </w:rPr>
        <w:t>nnet</w:t>
      </w:r>
      <w:proofErr w:type="spellEnd"/>
      <w:r>
        <w:t xml:space="preserve"> R package and used a 2 degree of freedom natural cubic spline in function of sample collection date. Subsequently, the differences (contrasts) in growth rate </w:t>
      </w:r>
      <w:r w:rsidR="004A6B30">
        <w:t>(</w:t>
      </w:r>
      <w:r w:rsidR="004A6B30">
        <w:sym w:font="Symbol" w:char="F044"/>
      </w:r>
      <w:r w:rsidR="004A6B30">
        <w:t>r</w:t>
      </w:r>
      <w:r w:rsidR="004A6B30">
        <w:t xml:space="preserve">) </w:t>
      </w:r>
      <w:r>
        <w:t>among the different variants</w:t>
      </w:r>
      <w:r w:rsidR="00273D3C">
        <w:t xml:space="preserve"> evaluated today (on the 5</w:t>
      </w:r>
      <w:r w:rsidR="00273D3C" w:rsidRPr="00273D3C">
        <w:rPr>
          <w:vertAlign w:val="superscript"/>
        </w:rPr>
        <w:t>th</w:t>
      </w:r>
      <w:r w:rsidR="00273D3C">
        <w:t xml:space="preserve"> of May 2021)</w:t>
      </w:r>
      <w:r>
        <w:t xml:space="preserve"> were calculated using the </w:t>
      </w:r>
      <w:proofErr w:type="spellStart"/>
      <w:r w:rsidRPr="004B6CE2">
        <w:rPr>
          <w:i/>
        </w:rPr>
        <w:t>emtrends</w:t>
      </w:r>
      <w:proofErr w:type="spellEnd"/>
      <w:r>
        <w:t xml:space="preserve"> function in the </w:t>
      </w:r>
      <w:proofErr w:type="spellStart"/>
      <w:r w:rsidRPr="004B6CE2">
        <w:rPr>
          <w:i/>
        </w:rPr>
        <w:t>emmeans</w:t>
      </w:r>
      <w:proofErr w:type="spellEnd"/>
      <w:r>
        <w:t xml:space="preserve"> R package</w:t>
      </w:r>
      <w:r w:rsidR="004A6B30">
        <w:t>, using a Tukey correcting for multiple testing</w:t>
      </w:r>
      <w:r>
        <w:t xml:space="preserve"> (for details on methodology see Davies </w:t>
      </w:r>
      <w:r w:rsidRPr="004B6CE2">
        <w:rPr>
          <w:i/>
        </w:rPr>
        <w:t xml:space="preserve">et al. Science </w:t>
      </w:r>
      <w:r>
        <w:t xml:space="preserve">2021). </w:t>
      </w:r>
      <w:r w:rsidR="004A6B30">
        <w:t>From these growth rate contrasts, the relative transmission advantage was cal</w:t>
      </w:r>
      <w:r w:rsidR="00AA2272">
        <w:t>culated as the exponent of the product of these</w:t>
      </w:r>
      <w:r w:rsidR="004A6B30">
        <w:t xml:space="preserve"> growth rate differences </w:t>
      </w:r>
      <w:r w:rsidR="004A6B30">
        <w:sym w:font="Symbol" w:char="F044"/>
      </w:r>
      <w:r w:rsidR="004A6B30">
        <w:t xml:space="preserve">r </w:t>
      </w:r>
      <w:r w:rsidR="00AA2272">
        <w:t>and</w:t>
      </w:r>
      <w:r w:rsidR="004A6B30">
        <w:t xml:space="preserve"> the generation time, which we set here at 4.7 days (Nishiura </w:t>
      </w:r>
      <w:r w:rsidR="004A6B30" w:rsidRPr="004A6B30">
        <w:rPr>
          <w:i/>
        </w:rPr>
        <w:t>et al.</w:t>
      </w:r>
      <w:r w:rsidR="004A6B30">
        <w:t xml:space="preserve"> 2020)</w:t>
      </w:r>
      <w:r w:rsidR="00273D3C">
        <w:t xml:space="preserve"> (</w:t>
      </w:r>
      <w:r w:rsidR="00273D3C">
        <w:t xml:space="preserve">see Davies </w:t>
      </w:r>
      <w:r w:rsidR="00273D3C" w:rsidRPr="004B6CE2">
        <w:rPr>
          <w:i/>
        </w:rPr>
        <w:t xml:space="preserve">et al. Science </w:t>
      </w:r>
      <w:r w:rsidR="00273D3C">
        <w:t>2021</w:t>
      </w:r>
      <w:r w:rsidR="00273D3C">
        <w:t>)</w:t>
      </w:r>
      <w:r w:rsidR="004A6B30">
        <w:t xml:space="preserve">. </w:t>
      </w:r>
    </w:p>
    <w:p w:rsidR="004A6B30" w:rsidRDefault="004A6B30"/>
    <w:p w:rsidR="004A6B30" w:rsidRDefault="009F2604">
      <w:r>
        <w:t>The resulting</w:t>
      </w:r>
      <w:r w:rsidR="004A6B30">
        <w:t xml:space="preserve"> estimates</w:t>
      </w:r>
      <w:r w:rsidR="00AA2272">
        <w:t xml:space="preserve"> for the growth rate contrasts (per day) among the different variants of concern </w:t>
      </w:r>
      <w:r>
        <w:t>are given in T</w:t>
      </w:r>
      <w:r w:rsidR="00273D3C">
        <w:t>able 1</w:t>
      </w:r>
      <w:r>
        <w:t>.</w:t>
      </w:r>
      <w:r w:rsidR="00273D3C">
        <w:t xml:space="preserve"> Compared to the UK variant 501Y.V1, The South African variant 501Y.V2 is currently decreasing in abundance relative to 501Y.V1 (resulting in a </w:t>
      </w:r>
      <w:proofErr w:type="spellStart"/>
      <w:r w:rsidR="00273D3C">
        <w:t>signfiicantly</w:t>
      </w:r>
      <w:proofErr w:type="spellEnd"/>
      <w:r w:rsidR="00273D3C">
        <w:t xml:space="preserve"> negative growth rate contrast of -4.6% per day, [-5.9%,-3.4%] 95% CLs). By contrast, the Brazilian variant 501Y.V3 has a small </w:t>
      </w:r>
      <w:r w:rsidR="00086094">
        <w:t>but</w:t>
      </w:r>
      <w:r w:rsidR="00273D3C">
        <w:t xml:space="preserve"> significant growth rate benefit of 1.5% per day [0.3%,2.6%] 95% CLs compared to the UK variant 501Y.V1, which corresponds with a 7% transmission advantage ([1%-13%] 95% CLs).</w:t>
      </w:r>
      <w:r w:rsidR="00086094">
        <w:t xml:space="preserve"> From this multinomial fit, 501Y.V1, 501Y.V2 and 501Y.V3 are estimated to make up 87% [84-90%], 0.6% [0.3-0.9%] and 10% [7-13%] of all lab diagnoses t</w:t>
      </w:r>
      <w:r w:rsidR="00086094">
        <w:t>oday (</w:t>
      </w:r>
      <w:r w:rsidR="00086094">
        <w:t xml:space="preserve">on the </w:t>
      </w:r>
      <w:r w:rsidR="00086094">
        <w:t>10</w:t>
      </w:r>
      <w:r w:rsidR="00086094" w:rsidRPr="00086094">
        <w:rPr>
          <w:vertAlign w:val="superscript"/>
        </w:rPr>
        <w:t>th</w:t>
      </w:r>
      <w:r w:rsidR="00086094">
        <w:t xml:space="preserve"> of May 2021)</w:t>
      </w:r>
      <w:r w:rsidR="00086094">
        <w:t>.</w:t>
      </w:r>
      <w:r w:rsidR="00273D3C">
        <w:t xml:space="preserve">  </w:t>
      </w:r>
    </w:p>
    <w:p w:rsidR="009F2604" w:rsidRDefault="009F2604"/>
    <w:p w:rsidR="009F2604" w:rsidRPr="009F2604" w:rsidRDefault="009F2604">
      <w:pPr>
        <w:rPr>
          <w:b/>
        </w:rPr>
      </w:pPr>
      <w:r w:rsidRPr="009F2604">
        <w:rPr>
          <w:b/>
        </w:rPr>
        <w:t>Table 1.</w:t>
      </w:r>
      <w:r>
        <w:rPr>
          <w:b/>
        </w:rPr>
        <w:t xml:space="preserve"> </w:t>
      </w:r>
      <w:r>
        <w:t>Estimated growth rate contrasts (differences in growth rate per day) among different pairs of SARS-CoV2 variants of concern as well as the wild type (here defined as all other lineages)</w:t>
      </w:r>
      <w:r w:rsidR="00273D3C">
        <w:t xml:space="preserve"> and corresponding transmission advantages, evaluated today (10</w:t>
      </w:r>
      <w:r w:rsidR="00273D3C" w:rsidRPr="00273D3C">
        <w:rPr>
          <w:vertAlign w:val="superscript"/>
        </w:rPr>
        <w:t>th</w:t>
      </w:r>
      <w:r w:rsidR="00273D3C">
        <w:t xml:space="preserve"> of May 2021)</w:t>
      </w:r>
      <w:r>
        <w:t>.</w:t>
      </w:r>
      <w:r w:rsidRPr="009F2604">
        <w:rPr>
          <w:b/>
        </w:rPr>
        <w:t xml:space="preserve"> </w:t>
      </w:r>
    </w:p>
    <w:p w:rsidR="009F2604" w:rsidRDefault="009F2604"/>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4"/>
        <w:gridCol w:w="2661"/>
        <w:gridCol w:w="2250"/>
        <w:gridCol w:w="1620"/>
      </w:tblGrid>
      <w:tr w:rsidR="009F2604" w:rsidTr="009F2604">
        <w:tc>
          <w:tcPr>
            <w:tcW w:w="2914" w:type="dxa"/>
            <w:tcBorders>
              <w:top w:val="single" w:sz="4" w:space="0" w:color="auto"/>
              <w:bottom w:val="single" w:sz="4" w:space="0" w:color="auto"/>
            </w:tcBorders>
          </w:tcPr>
          <w:p w:rsidR="009F2604" w:rsidRPr="009F2604" w:rsidRDefault="009F2604" w:rsidP="009F2604">
            <w:r w:rsidRPr="009F2604">
              <w:t>Comparison</w:t>
            </w:r>
          </w:p>
        </w:tc>
        <w:tc>
          <w:tcPr>
            <w:tcW w:w="2661" w:type="dxa"/>
            <w:tcBorders>
              <w:top w:val="single" w:sz="4" w:space="0" w:color="auto"/>
              <w:bottom w:val="single" w:sz="4" w:space="0" w:color="auto"/>
            </w:tcBorders>
          </w:tcPr>
          <w:p w:rsidR="009F2604" w:rsidRPr="009F2604" w:rsidRDefault="009F2604" w:rsidP="009F2604">
            <w:r w:rsidRPr="009F2604">
              <w:t>Growth rate contrast</w:t>
            </w:r>
            <w:r w:rsidRPr="009F2604">
              <w:br/>
            </w:r>
            <w:r w:rsidRPr="009F2604">
              <w:sym w:font="Symbol" w:char="F044"/>
            </w:r>
            <w:r w:rsidRPr="009F2604">
              <w:t>r [95% CLs] (per day)</w:t>
            </w:r>
          </w:p>
        </w:tc>
        <w:tc>
          <w:tcPr>
            <w:tcW w:w="2250" w:type="dxa"/>
            <w:tcBorders>
              <w:top w:val="single" w:sz="4" w:space="0" w:color="auto"/>
              <w:bottom w:val="single" w:sz="4" w:space="0" w:color="auto"/>
            </w:tcBorders>
          </w:tcPr>
          <w:p w:rsidR="009F2604" w:rsidRPr="009F2604" w:rsidRDefault="009F2604" w:rsidP="009F2604">
            <w:r w:rsidRPr="009F2604">
              <w:t>Transmission advantage (fold difference)</w:t>
            </w:r>
          </w:p>
        </w:tc>
        <w:tc>
          <w:tcPr>
            <w:tcW w:w="1620" w:type="dxa"/>
            <w:tcBorders>
              <w:top w:val="single" w:sz="4" w:space="0" w:color="auto"/>
              <w:bottom w:val="single" w:sz="4" w:space="0" w:color="auto"/>
            </w:tcBorders>
          </w:tcPr>
          <w:p w:rsidR="009F2604" w:rsidRPr="009F2604" w:rsidRDefault="009F2604" w:rsidP="009F2604">
            <w:r w:rsidRPr="009F2604">
              <w:rPr>
                <w:i/>
              </w:rPr>
              <w:t>p</w:t>
            </w:r>
            <w:r w:rsidRPr="009F2604">
              <w:t xml:space="preserve"> value</w:t>
            </w:r>
          </w:p>
        </w:tc>
      </w:tr>
      <w:tr w:rsidR="009F2604" w:rsidTr="009F2604">
        <w:tc>
          <w:tcPr>
            <w:tcW w:w="2914" w:type="dxa"/>
            <w:tcBorders>
              <w:top w:val="single" w:sz="4" w:space="0" w:color="auto"/>
            </w:tcBorders>
          </w:tcPr>
          <w:p w:rsidR="009F2604" w:rsidRDefault="009F2604" w:rsidP="009F2604">
            <w:r>
              <w:t>501Y.V1 – wild type</w:t>
            </w:r>
          </w:p>
        </w:tc>
        <w:tc>
          <w:tcPr>
            <w:tcW w:w="2661" w:type="dxa"/>
            <w:tcBorders>
              <w:top w:val="single" w:sz="4" w:space="0" w:color="auto"/>
            </w:tcBorders>
          </w:tcPr>
          <w:p w:rsidR="009F2604" w:rsidRDefault="009F2604" w:rsidP="009F2604">
            <w:r>
              <w:t>0.033 [0.026,0.40]</w:t>
            </w:r>
          </w:p>
        </w:tc>
        <w:tc>
          <w:tcPr>
            <w:tcW w:w="2250" w:type="dxa"/>
            <w:tcBorders>
              <w:top w:val="single" w:sz="4" w:space="0" w:color="auto"/>
            </w:tcBorders>
          </w:tcPr>
          <w:p w:rsidR="009F2604" w:rsidRDefault="009F2604" w:rsidP="009F2604">
            <w:r>
              <w:t>X 1.16 [1.13,1.21]</w:t>
            </w:r>
          </w:p>
        </w:tc>
        <w:tc>
          <w:tcPr>
            <w:tcW w:w="1620" w:type="dxa"/>
            <w:tcBorders>
              <w:top w:val="single" w:sz="4" w:space="0" w:color="auto"/>
            </w:tcBorders>
          </w:tcPr>
          <w:p w:rsidR="009F2604" w:rsidRDefault="009F2604" w:rsidP="009F2604">
            <w:r>
              <w:t>&lt; 0.0001</w:t>
            </w:r>
          </w:p>
        </w:tc>
      </w:tr>
      <w:tr w:rsidR="009F2604" w:rsidTr="009F2604">
        <w:tc>
          <w:tcPr>
            <w:tcW w:w="2914" w:type="dxa"/>
          </w:tcPr>
          <w:p w:rsidR="009F2604" w:rsidRDefault="009F2604" w:rsidP="009F2604">
            <w:r>
              <w:t xml:space="preserve">501Y.V2 – </w:t>
            </w:r>
            <w:r>
              <w:t>wild type</w:t>
            </w:r>
          </w:p>
        </w:tc>
        <w:tc>
          <w:tcPr>
            <w:tcW w:w="2661" w:type="dxa"/>
          </w:tcPr>
          <w:p w:rsidR="009F2604" w:rsidRDefault="009F2604" w:rsidP="009F2604">
            <w:r>
              <w:t>-0.013 [-0.026,0.0003]</w:t>
            </w:r>
          </w:p>
        </w:tc>
        <w:tc>
          <w:tcPr>
            <w:tcW w:w="2250" w:type="dxa"/>
          </w:tcPr>
          <w:p w:rsidR="009F2604" w:rsidRDefault="009F2604" w:rsidP="009F2604">
            <w:r>
              <w:t>X 0.94 [0.88,1.00]</w:t>
            </w:r>
          </w:p>
        </w:tc>
        <w:tc>
          <w:tcPr>
            <w:tcW w:w="1620" w:type="dxa"/>
          </w:tcPr>
          <w:p w:rsidR="009F2604" w:rsidRDefault="009F2604" w:rsidP="009F2604">
            <w:r>
              <w:t>0.06</w:t>
            </w:r>
          </w:p>
        </w:tc>
      </w:tr>
      <w:tr w:rsidR="00273D3C" w:rsidTr="009F2604">
        <w:tc>
          <w:tcPr>
            <w:tcW w:w="2914" w:type="dxa"/>
          </w:tcPr>
          <w:p w:rsidR="00273D3C" w:rsidRDefault="00273D3C" w:rsidP="00273D3C">
            <w:r>
              <w:t>501Y.V3 – wild type</w:t>
            </w:r>
          </w:p>
        </w:tc>
        <w:tc>
          <w:tcPr>
            <w:tcW w:w="2661" w:type="dxa"/>
          </w:tcPr>
          <w:p w:rsidR="00273D3C" w:rsidRDefault="00273D3C" w:rsidP="00273D3C">
            <w:r>
              <w:t>0.048 [0.035,0.061]</w:t>
            </w:r>
          </w:p>
        </w:tc>
        <w:tc>
          <w:tcPr>
            <w:tcW w:w="2250" w:type="dxa"/>
          </w:tcPr>
          <w:p w:rsidR="00273D3C" w:rsidRDefault="00273D3C" w:rsidP="00273D3C">
            <w:r>
              <w:t>X 1.25 [1.18,1.33]</w:t>
            </w:r>
          </w:p>
        </w:tc>
        <w:tc>
          <w:tcPr>
            <w:tcW w:w="1620" w:type="dxa"/>
          </w:tcPr>
          <w:p w:rsidR="00273D3C" w:rsidRDefault="00273D3C" w:rsidP="00273D3C">
            <w:r>
              <w:t>&lt; 0.0001</w:t>
            </w:r>
          </w:p>
        </w:tc>
      </w:tr>
      <w:tr w:rsidR="009F2604" w:rsidTr="009F2604">
        <w:tc>
          <w:tcPr>
            <w:tcW w:w="2914" w:type="dxa"/>
          </w:tcPr>
          <w:p w:rsidR="009F2604" w:rsidRDefault="009F2604" w:rsidP="009F2604">
            <w:r>
              <w:t>501Y.V2 – 501Y.V1</w:t>
            </w:r>
          </w:p>
        </w:tc>
        <w:tc>
          <w:tcPr>
            <w:tcW w:w="2661" w:type="dxa"/>
          </w:tcPr>
          <w:p w:rsidR="009F2604" w:rsidRDefault="009F2604" w:rsidP="009F2604">
            <w:r>
              <w:t>-0.046 [-0.059,-0.034]</w:t>
            </w:r>
          </w:p>
        </w:tc>
        <w:tc>
          <w:tcPr>
            <w:tcW w:w="2250" w:type="dxa"/>
          </w:tcPr>
          <w:p w:rsidR="009F2604" w:rsidRDefault="009F2604" w:rsidP="009F2604">
            <w:r>
              <w:t>X 0.80 [0.76,0.85]</w:t>
            </w:r>
          </w:p>
        </w:tc>
        <w:tc>
          <w:tcPr>
            <w:tcW w:w="1620" w:type="dxa"/>
          </w:tcPr>
          <w:p w:rsidR="009F2604" w:rsidRDefault="009F2604" w:rsidP="009F2604">
            <w:r>
              <w:t>&lt; 0.0001</w:t>
            </w:r>
          </w:p>
        </w:tc>
      </w:tr>
      <w:tr w:rsidR="009F2604" w:rsidTr="009F2604">
        <w:tc>
          <w:tcPr>
            <w:tcW w:w="2914" w:type="dxa"/>
          </w:tcPr>
          <w:p w:rsidR="009F2604" w:rsidRDefault="009F2604" w:rsidP="009F2604">
            <w:r>
              <w:t>501Y.V3 –</w:t>
            </w:r>
            <w:r>
              <w:t xml:space="preserve"> 501Y.V1</w:t>
            </w:r>
          </w:p>
        </w:tc>
        <w:tc>
          <w:tcPr>
            <w:tcW w:w="2661" w:type="dxa"/>
          </w:tcPr>
          <w:p w:rsidR="009F2604" w:rsidRDefault="009F2604" w:rsidP="009F2604">
            <w:r>
              <w:t>0.015 [0.003,0.026]</w:t>
            </w:r>
          </w:p>
        </w:tc>
        <w:tc>
          <w:tcPr>
            <w:tcW w:w="2250" w:type="dxa"/>
          </w:tcPr>
          <w:p w:rsidR="009F2604" w:rsidRDefault="009F2604" w:rsidP="009F2604">
            <w:r>
              <w:t>X 1.07 [1.01,1.13]</w:t>
            </w:r>
          </w:p>
        </w:tc>
        <w:tc>
          <w:tcPr>
            <w:tcW w:w="1620" w:type="dxa"/>
          </w:tcPr>
          <w:p w:rsidR="009F2604" w:rsidRDefault="009F2604" w:rsidP="009F2604">
            <w:r>
              <w:t>0.006</w:t>
            </w:r>
          </w:p>
        </w:tc>
      </w:tr>
      <w:tr w:rsidR="009F2604" w:rsidTr="009F2604">
        <w:tc>
          <w:tcPr>
            <w:tcW w:w="2914" w:type="dxa"/>
            <w:tcBorders>
              <w:bottom w:val="single" w:sz="4" w:space="0" w:color="auto"/>
            </w:tcBorders>
          </w:tcPr>
          <w:p w:rsidR="009F2604" w:rsidRDefault="009F2604" w:rsidP="009F2604">
            <w:r>
              <w:t>501Y.V3 – 501Y.V</w:t>
            </w:r>
            <w:r>
              <w:t>2</w:t>
            </w:r>
          </w:p>
        </w:tc>
        <w:tc>
          <w:tcPr>
            <w:tcW w:w="2661" w:type="dxa"/>
            <w:tcBorders>
              <w:bottom w:val="single" w:sz="4" w:space="0" w:color="auto"/>
            </w:tcBorders>
          </w:tcPr>
          <w:p w:rsidR="009F2604" w:rsidRDefault="009F2604" w:rsidP="009F2604">
            <w:r>
              <w:t>0.061 [0.044,0.077]</w:t>
            </w:r>
          </w:p>
        </w:tc>
        <w:tc>
          <w:tcPr>
            <w:tcW w:w="2250" w:type="dxa"/>
            <w:tcBorders>
              <w:bottom w:val="single" w:sz="4" w:space="0" w:color="auto"/>
            </w:tcBorders>
          </w:tcPr>
          <w:p w:rsidR="009F2604" w:rsidRDefault="009F2604" w:rsidP="009F2604">
            <w:r>
              <w:t>X 1.33 [1.23,1.44]</w:t>
            </w:r>
          </w:p>
        </w:tc>
        <w:tc>
          <w:tcPr>
            <w:tcW w:w="1620" w:type="dxa"/>
            <w:tcBorders>
              <w:bottom w:val="single" w:sz="4" w:space="0" w:color="auto"/>
            </w:tcBorders>
          </w:tcPr>
          <w:p w:rsidR="009F2604" w:rsidRDefault="009F2604" w:rsidP="009F2604">
            <w:r>
              <w:t>&lt; 0.0001</w:t>
            </w:r>
          </w:p>
        </w:tc>
      </w:tr>
    </w:tbl>
    <w:p w:rsidR="004A6B30" w:rsidRDefault="004A6B30"/>
    <w:p w:rsidR="00AA2272" w:rsidRDefault="00AA2272"/>
    <w:p w:rsidR="00AA2272" w:rsidRDefault="00AA2272"/>
    <w:p w:rsidR="004A6B30" w:rsidRDefault="004A6B30">
      <w:r w:rsidRPr="004A6B30">
        <w:rPr>
          <w:noProof/>
          <w:lang w:val="en-US"/>
        </w:rPr>
        <w:lastRenderedPageBreak/>
        <w:drawing>
          <wp:inline distT="0" distB="0" distL="0" distR="0">
            <wp:extent cx="4282440" cy="2740414"/>
            <wp:effectExtent l="0" t="0" r="3810" b="3175"/>
            <wp:docPr id="1" name="Picture 1" descr="C:\Documents\GitHub\newcovid_belgium\plots\2021_05_08\baseline_surveillance_501YV1 501YV2 501Y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_belgium\plots\2021_05_08\baseline_surveillance_501YV1 501YV2 501YV3.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0412"/>
                    <a:stretch/>
                  </pic:blipFill>
                  <pic:spPr bwMode="auto">
                    <a:xfrm>
                      <a:off x="0" y="0"/>
                      <a:ext cx="4289804" cy="2745127"/>
                    </a:xfrm>
                    <a:prstGeom prst="rect">
                      <a:avLst/>
                    </a:prstGeom>
                    <a:noFill/>
                    <a:ln>
                      <a:noFill/>
                    </a:ln>
                    <a:extLst>
                      <a:ext uri="{53640926-AAD7-44D8-BBD7-CCE9431645EC}">
                        <a14:shadowObscured xmlns:a14="http://schemas.microsoft.com/office/drawing/2010/main"/>
                      </a:ext>
                    </a:extLst>
                  </pic:spPr>
                </pic:pic>
              </a:graphicData>
            </a:graphic>
          </wp:inline>
        </w:drawing>
      </w:r>
    </w:p>
    <w:p w:rsidR="00AB6AE0" w:rsidRDefault="00AB6AE0">
      <w:r w:rsidRPr="00AB6AE0">
        <w:rPr>
          <w:noProof/>
          <w:lang w:val="en-US"/>
        </w:rPr>
        <w:drawing>
          <wp:inline distT="0" distB="0" distL="0" distR="0">
            <wp:extent cx="4251960" cy="2673660"/>
            <wp:effectExtent l="0" t="0" r="0" b="0"/>
            <wp:docPr id="3" name="Picture 3" descr="C:\Documents\GitHub\newcovid_belgium\plots\2021_05_08\baseline_surveillance_501YV1 501YV2 501YV3_multinomial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GitHub\newcovid_belgium\plots\2021_05_08\baseline_surveillance_501YV1 501YV2 501YV3_multinomial fit.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967"/>
                    <a:stretch/>
                  </pic:blipFill>
                  <pic:spPr bwMode="auto">
                    <a:xfrm>
                      <a:off x="0" y="0"/>
                      <a:ext cx="4275280" cy="2688324"/>
                    </a:xfrm>
                    <a:prstGeom prst="rect">
                      <a:avLst/>
                    </a:prstGeom>
                    <a:noFill/>
                    <a:ln>
                      <a:noFill/>
                    </a:ln>
                    <a:extLst>
                      <a:ext uri="{53640926-AAD7-44D8-BBD7-CCE9431645EC}">
                        <a14:shadowObscured xmlns:a14="http://schemas.microsoft.com/office/drawing/2010/main"/>
                      </a:ext>
                    </a:extLst>
                  </pic:spPr>
                </pic:pic>
              </a:graphicData>
            </a:graphic>
          </wp:inline>
        </w:drawing>
      </w:r>
    </w:p>
    <w:p w:rsidR="00086094" w:rsidRDefault="00086094" w:rsidP="00086094">
      <w:r w:rsidRPr="004A6B30">
        <w:rPr>
          <w:b/>
        </w:rPr>
        <w:t>Fig. 1.</w:t>
      </w:r>
      <w:r>
        <w:t xml:space="preserve"> Share of the 3 VOCs 501Y.V1, 501Y.V2 and 501Y.V3 out of all genomes sequenced as part of baseline surveillance testing (excluding individuals with a known travel history and surge testing).</w:t>
      </w:r>
      <w:r w:rsidR="00AB6AE0">
        <w:t xml:space="preserve"> Top: raw data. Bottom: m</w:t>
      </w:r>
      <w:r w:rsidR="00AB6AE0">
        <w:t>ultinomial fit (using a model with a 2 degree of freedom natural cubic spline in function of collection date) to the share of the 3 VOCs (shaded bands are 95% confidence intervals).</w:t>
      </w:r>
    </w:p>
    <w:p w:rsidR="00086094" w:rsidRDefault="00086094"/>
    <w:p w:rsidR="004A6B30" w:rsidRDefault="004A6B30">
      <w:r w:rsidRPr="004A6B30">
        <w:rPr>
          <w:noProof/>
          <w:lang w:val="en-US"/>
        </w:rPr>
        <w:lastRenderedPageBreak/>
        <w:drawing>
          <wp:inline distT="0" distB="0" distL="0" distR="0">
            <wp:extent cx="5943600" cy="4086860"/>
            <wp:effectExtent l="0" t="0" r="0" b="8890"/>
            <wp:docPr id="2" name="Picture 2" descr="C:\Documents\GitHub\newcovid_belgium\plots\2021_05_08\baseline_surveillance_501YV1 501YV2 501YV3_multinomial fit_model p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GitHub\newcovid_belgium\plots\2021_05_08\baseline_surveillance_501YV1 501YV2 501YV3_multinomial fit_model pred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319"/>
                    <a:stretch/>
                  </pic:blipFill>
                  <pic:spPr bwMode="auto">
                    <a:xfrm>
                      <a:off x="0" y="0"/>
                      <a:ext cx="5943600" cy="4086860"/>
                    </a:xfrm>
                    <a:prstGeom prst="rect">
                      <a:avLst/>
                    </a:prstGeom>
                    <a:noFill/>
                    <a:ln>
                      <a:noFill/>
                    </a:ln>
                    <a:extLst>
                      <a:ext uri="{53640926-AAD7-44D8-BBD7-CCE9431645EC}">
                        <a14:shadowObscured xmlns:a14="http://schemas.microsoft.com/office/drawing/2010/main"/>
                      </a:ext>
                    </a:extLst>
                  </pic:spPr>
                </pic:pic>
              </a:graphicData>
            </a:graphic>
          </wp:inline>
        </w:drawing>
      </w:r>
    </w:p>
    <w:p w:rsidR="00086094" w:rsidRDefault="00AB6AE0" w:rsidP="00086094">
      <w:r>
        <w:rPr>
          <w:b/>
        </w:rPr>
        <w:t>Fig. 3</w:t>
      </w:r>
      <w:r w:rsidR="00086094" w:rsidRPr="004A6B30">
        <w:rPr>
          <w:b/>
        </w:rPr>
        <w:t>.</w:t>
      </w:r>
      <w:r w:rsidR="00086094">
        <w:t xml:space="preserve"> Multinomial fit (using a model with a 2 degree of freedom natural cubic spline in function of collection date) to the s</w:t>
      </w:r>
      <w:r w:rsidR="00086094">
        <w:t>hare of the 3 VOCs 501Y.V1, 501Y.V2 and 501Y.V3</w:t>
      </w:r>
      <w:r w:rsidR="00086094">
        <w:t xml:space="preserve"> </w:t>
      </w:r>
      <w:r>
        <w:t xml:space="preserve">shown on a logit Y scale </w:t>
      </w:r>
      <w:r w:rsidR="00086094">
        <w:t>(shaded bands are 95% confidence intervals)</w:t>
      </w:r>
      <w:r w:rsidR="00086094">
        <w:t>.</w:t>
      </w:r>
    </w:p>
    <w:p w:rsidR="00086094" w:rsidRDefault="00086094"/>
    <w:sectPr w:rsidR="00086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1C"/>
    <w:rsid w:val="00086094"/>
    <w:rsid w:val="00273D3C"/>
    <w:rsid w:val="003A1D1A"/>
    <w:rsid w:val="004A6B30"/>
    <w:rsid w:val="004B6CE2"/>
    <w:rsid w:val="005D2398"/>
    <w:rsid w:val="009F2604"/>
    <w:rsid w:val="00AA2272"/>
    <w:rsid w:val="00AB6AE0"/>
    <w:rsid w:val="00FB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F5F0"/>
  <w15:chartTrackingRefBased/>
  <w15:docId w15:val="{DF3EBA0E-BF7F-492E-9E14-2EF6106C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791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Wenseleers</dc:creator>
  <cp:keywords/>
  <dc:description/>
  <cp:lastModifiedBy>Tom Wenseleers</cp:lastModifiedBy>
  <cp:revision>3</cp:revision>
  <dcterms:created xsi:type="dcterms:W3CDTF">2021-05-10T16:50:00Z</dcterms:created>
  <dcterms:modified xsi:type="dcterms:W3CDTF">2021-05-11T01:21:00Z</dcterms:modified>
</cp:coreProperties>
</file>