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47C9389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47C9389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47C9389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47C9389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47C9389E">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47C9389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47C9389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47C9389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If yes, have they been submitted for approval alongside this 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C8587B" w:rsidRPr="005672F7" w14:paraId="1CD81877" w14:textId="77777777" w:rsidTr="47C9389E">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47C9389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47C9389E">
        <w:tc>
          <w:tcPr>
            <w:tcW w:w="534" w:type="dxa"/>
          </w:tcPr>
          <w:p w14:paraId="1A63B185" w14:textId="77777777" w:rsidR="003728F4" w:rsidRPr="005672F7" w:rsidRDefault="003728F4" w:rsidP="003728F4">
            <w:pPr>
              <w:pStyle w:val="ListParagraph"/>
              <w:numPr>
                <w:ilvl w:val="0"/>
                <w:numId w:val="25"/>
              </w:numPr>
              <w:ind w:left="357" w:hanging="357"/>
            </w:pPr>
          </w:p>
        </w:tc>
        <w:tc>
          <w:tcPr>
            <w:tcW w:w="3402" w:type="dxa"/>
          </w:tcPr>
          <w:p w14:paraId="7D9E03D8" w14:textId="579C1AD1" w:rsidR="003728F4" w:rsidRPr="005672F7" w:rsidRDefault="003728F4" w:rsidP="003728F4">
            <w:r>
              <w:t xml:space="preserve">If the module is/will be available to students from other Schools/Institutes/Colleges, e.g.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95"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47C9389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47C9389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47C9389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47C9389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D35237"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D35237"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D35237"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75D6163C" w:rsidR="00B23D65" w:rsidRPr="00074A26" w:rsidRDefault="00B23D65" w:rsidP="00D35237">
            <w:pPr>
              <w:pStyle w:val="ListParagraph"/>
              <w:numPr>
                <w:ilvl w:val="0"/>
                <w:numId w:val="32"/>
              </w:numPr>
            </w:pPr>
            <w:r w:rsidRPr="00D35237">
              <w:rPr>
                <w:rFonts w:cs="Arial"/>
              </w:rPr>
              <w:t>{-</w:t>
            </w:r>
            <w:proofErr w:type="spellStart"/>
            <w:proofErr w:type="gramStart"/>
            <w:r w:rsidRPr="00D35237">
              <w:rPr>
                <w:rFonts w:cs="Arial"/>
              </w:rPr>
              <w:t>w:p</w:t>
            </w:r>
            <w:proofErr w:type="spellEnd"/>
            <w:proofErr w:type="gramEnd"/>
            <w:r w:rsidRPr="00D35237">
              <w:rPr>
                <w:rFonts w:cs="Arial"/>
              </w:rPr>
              <w:t xml:space="preserve"> outcomes}{.}{/outcomes}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D35237"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77777777" w:rsidR="00B23D65" w:rsidRDefault="00B23D65" w:rsidP="00A97CAB">
      <w:pPr>
        <w:pStyle w:val="FootnoteText"/>
      </w:pPr>
      <w:r>
        <w:rPr>
          <w:rStyle w:val="FootnoteReference"/>
        </w:rPr>
        <w:footnoteRef/>
      </w:r>
      <w:r>
        <w:t xml:space="preserve"> ‘Coursework’ includes written tasks, </w:t>
      </w:r>
      <w:proofErr w:type="spellStart"/>
      <w:r>
        <w:t>practicals</w:t>
      </w:r>
      <w:proofErr w:type="spellEnd"/>
      <w:r>
        <w:t>, digital assets, oral presentations, portfolios, and locally scheduled in-course tests.</w:t>
      </w:r>
    </w:p>
  </w:footnote>
  <w:footnote w:id="9">
    <w:p w14:paraId="5B1648C7" w14:textId="77777777" w:rsidR="00B23D65" w:rsidRDefault="00B23D65" w:rsidP="00A97CAB">
      <w:pPr>
        <w:pStyle w:val="FootnoteText"/>
      </w:pPr>
      <w:r>
        <w:rPr>
          <w:rStyle w:val="FootnoteReference"/>
        </w:rPr>
        <w:footnoteRef/>
      </w:r>
      <w:r>
        <w:t xml:space="preserve"> ‘Examinations’ are normally scheduled in the designated exam periods and include on-campus ‘closed’ and ‘open book’ exams, take-home exams, and online timed exams.</w:t>
      </w:r>
    </w:p>
  </w:footnote>
  <w:footnote w:id="10">
    <w:p w14:paraId="07B2C71C" w14:textId="40C9B5B4" w:rsidR="00B23D65" w:rsidRDefault="00B23D65">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- 482</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6350C"/>
    <w:multiLevelType w:val="hybridMultilevel"/>
    <w:tmpl w:val="741C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8"/>
  </w:num>
  <w:num w:numId="3">
    <w:abstractNumId w:val="11"/>
  </w:num>
  <w:num w:numId="4">
    <w:abstractNumId w:val="27"/>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6"/>
  </w:num>
  <w:num w:numId="13">
    <w:abstractNumId w:val="19"/>
  </w:num>
  <w:num w:numId="14">
    <w:abstractNumId w:val="3"/>
  </w:num>
  <w:num w:numId="15">
    <w:abstractNumId w:val="17"/>
  </w:num>
  <w:num w:numId="16">
    <w:abstractNumId w:val="24"/>
  </w:num>
  <w:num w:numId="17">
    <w:abstractNumId w:val="12"/>
  </w:num>
  <w:num w:numId="18">
    <w:abstractNumId w:val="23"/>
  </w:num>
  <w:num w:numId="19">
    <w:abstractNumId w:val="15"/>
  </w:num>
  <w:num w:numId="20">
    <w:abstractNumId w:val="31"/>
  </w:num>
  <w:num w:numId="21">
    <w:abstractNumId w:val="18"/>
  </w:num>
  <w:num w:numId="22">
    <w:abstractNumId w:val="10"/>
  </w:num>
  <w:num w:numId="23">
    <w:abstractNumId w:val="20"/>
  </w:num>
  <w:num w:numId="24">
    <w:abstractNumId w:val="0"/>
  </w:num>
  <w:num w:numId="25">
    <w:abstractNumId w:val="1"/>
  </w:num>
  <w:num w:numId="26">
    <w:abstractNumId w:val="8"/>
  </w:num>
  <w:num w:numId="27">
    <w:abstractNumId w:val="21"/>
  </w:num>
  <w:num w:numId="28">
    <w:abstractNumId w:val="22"/>
  </w:num>
  <w:num w:numId="29">
    <w:abstractNumId w:val="30"/>
  </w:num>
  <w:num w:numId="30">
    <w:abstractNumId w:val="29"/>
  </w:num>
  <w:num w:numId="31">
    <w:abstractNumId w:val="1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35237"/>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4" Type="http://schemas.openxmlformats.org/officeDocument/2006/relationships/hyperlink" Target="https://intranet.birmingham.ac.uk/as/registry/legislation/documents/public/cohort-legislation-2022-23/cop-taught-prog-assessment-22-23.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976A15"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976A15"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976A15"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76A15"/>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4.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5.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dcterms:created xsi:type="dcterms:W3CDTF">2022-02-10T11:15:00Z</dcterms:created>
  <dcterms:modified xsi:type="dcterms:W3CDTF">2022-03-03T11:47:00Z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