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w:t>
      </w:r>
      <w:proofErr w:type="gramStart"/>
      <w:r w:rsidRPr="00A52DF1">
        <w:rPr>
          <w:szCs w:val="22"/>
        </w:rPr>
        <w:t xml:space="preserve">form, </w:t>
      </w:r>
      <w:r w:rsidR="008A6EB8" w:rsidRPr="00A52DF1">
        <w:rPr>
          <w:szCs w:val="22"/>
        </w:rPr>
        <w:t>or</w:t>
      </w:r>
      <w:proofErr w:type="gramEnd"/>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w:t>
            </w:r>
            <w:proofErr w:type="gramStart"/>
            <w:r>
              <w:rPr>
                <w:i/>
              </w:rPr>
              <w:t>yes’</w:t>
            </w:r>
            <w:proofErr w:type="gramEnd"/>
            <w:r>
              <w:rPr>
                <w:i/>
              </w:rPr>
              <w:t xml:space="preserve">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1"/>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2"/>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3"/>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lastRenderedPageBreak/>
              <w:t>Confirmation that module registrations (or numbers attending teaching events for this module) are expected to meet or exceed the relevant College’s agreed threshold:</w:t>
            </w:r>
            <w:r>
              <w:rPr>
                <w:rStyle w:val="FootnoteReference"/>
              </w:rPr>
              <w:footnoteReference w:id="4"/>
            </w:r>
          </w:p>
          <w:p w14:paraId="076B11B1" w14:textId="43AE0302" w:rsidR="00B23D65" w:rsidRPr="00074A26" w:rsidRDefault="0045480F"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w:t>
            </w:r>
            <w:proofErr w:type="gramStart"/>
            <w:r>
              <w:t>i.e.</w:t>
            </w:r>
            <w:proofErr w:type="gramEnd"/>
            <w:r>
              <w:t xml:space="preserv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w:t>
            </w:r>
            <w:proofErr w:type="gramStart"/>
            <w:r>
              <w:t>is</w:t>
            </w:r>
            <w:proofErr w:type="gramEnd"/>
            <w:r>
              <w:t xml:space="preserve"> any other/prior knowledge students must possess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45480F"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45480F"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3C59908C" w14:textId="77777777" w:rsidR="0045480F" w:rsidRPr="00435542" w:rsidRDefault="0045480F" w:rsidP="0045480F">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w:t>
            </w:r>
            <w:hyperlink r:id="rId14" w:history="1">
              <w:r w:rsidRPr="004F7D6A">
                <w:rPr>
                  <w:rStyle w:val="Hyperlink"/>
                </w:rPr>
                <w:t>Birmingham Graduate At</w:t>
              </w:r>
              <w:r w:rsidRPr="004F7D6A">
                <w:rPr>
                  <w:rStyle w:val="Hyperlink"/>
                </w:rPr>
                <w:t>t</w:t>
              </w:r>
              <w:r w:rsidRPr="004F7D6A">
                <w:rPr>
                  <w:rStyle w:val="Hyperlink"/>
                </w:rPr>
                <w:t>ributes</w:t>
              </w:r>
            </w:hyperlink>
            <w:r w:rsidRPr="00435542">
              <w:rPr>
                <w:color w:val="auto"/>
              </w:rPr>
              <w:t xml:space="preserve">. </w:t>
            </w:r>
          </w:p>
          <w:p w14:paraId="530B1F01" w14:textId="77777777" w:rsidR="0045480F" w:rsidRDefault="0045480F" w:rsidP="0045480F"/>
          <w:p w14:paraId="14774110" w14:textId="6CB14287" w:rsidR="00B23D65" w:rsidRPr="00074A26" w:rsidRDefault="0045480F" w:rsidP="0045480F">
            <w:r>
              <w:t>By the end of the module students should be able to:</w:t>
            </w:r>
          </w:p>
        </w:tc>
      </w:tr>
      <w:tr w:rsidR="00B23D65" w:rsidRPr="00074A26" w14:paraId="64A6BAFE" w14:textId="178207AA" w:rsidTr="6012D3CF">
        <w:tc>
          <w:tcPr>
            <w:tcW w:w="686" w:type="dxa"/>
          </w:tcPr>
          <w:p w14:paraId="430252F7" w14:textId="4C985B94" w:rsidR="00B23D65" w:rsidRPr="00D00441" w:rsidRDefault="00BB2B7B" w:rsidP="00D00441">
            <w:pPr>
              <w:rPr>
                <w:bCs/>
              </w:rPr>
            </w:pPr>
            <w:r w:rsidRPr="005C3B51">
              <w:rPr>
                <w:bCs/>
              </w:rPr>
              <w:t>{</w:t>
            </w:r>
            <w:r>
              <w:rPr>
                <w:bCs/>
              </w:rPr>
              <w:t>#outcomes</w:t>
            </w:r>
            <w:r w:rsidRPr="005C3B51">
              <w:rPr>
                <w:bCs/>
              </w:rPr>
              <w:t>}</w:t>
            </w:r>
            <w:proofErr w:type="gramStart"/>
            <w:r>
              <w:rPr>
                <w:bCs/>
              </w:rPr>
              <w:t>20.{</w:t>
            </w:r>
            <w:proofErr w:type="gramEnd"/>
            <w:r>
              <w:rPr>
                <w:bCs/>
              </w:rPr>
              <w:t>sequence}</w:t>
            </w:r>
          </w:p>
        </w:tc>
        <w:tc>
          <w:tcPr>
            <w:tcW w:w="9889" w:type="dxa"/>
            <w:gridSpan w:val="5"/>
          </w:tcPr>
          <w:p w14:paraId="6FC7E080" w14:textId="38EE24C2" w:rsidR="00B23D65" w:rsidRPr="00074A26" w:rsidRDefault="00BB2B7B" w:rsidP="00BB2B7B">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w:t>
            </w:r>
            <w:r>
              <w:lastRenderedPageBreak/>
              <w:t>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 xml:space="preserve">Assessment category (multiple assessments should be included in the same category, </w:t>
            </w:r>
            <w:proofErr w:type="gramStart"/>
            <w:r>
              <w:t>e.g.</w:t>
            </w:r>
            <w:proofErr w:type="gramEnd"/>
            <w:r>
              <w:t xml:space="preserve">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6"/>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7"/>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 xml:space="preserve">Additional information on the method(s) of summative assessment and weighting, </w:t>
            </w:r>
            <w:proofErr w:type="gramStart"/>
            <w:r>
              <w:t>e.g.</w:t>
            </w:r>
            <w:proofErr w:type="gramEnd"/>
            <w:r>
              <w:t xml:space="preserve">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If ‘</w:t>
            </w:r>
            <w:proofErr w:type="gramStart"/>
            <w:r w:rsidRPr="3B87DAA6">
              <w:rPr>
                <w:i/>
                <w:iCs/>
                <w:color w:val="000000" w:themeColor="text1"/>
                <w:szCs w:val="22"/>
              </w:rPr>
              <w:t>yes’</w:t>
            </w:r>
            <w:proofErr w:type="gramEnd"/>
            <w:r w:rsidRPr="3B87DAA6">
              <w:rPr>
                <w:i/>
                <w:iCs/>
                <w:color w:val="000000" w:themeColor="text1"/>
                <w:szCs w:val="22"/>
              </w:rPr>
              <w:t xml:space="preserve">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45480F"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8"/>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 xml:space="preserve">Will students </w:t>
            </w:r>
            <w:proofErr w:type="gramStart"/>
            <w:r>
              <w:t>come into contact with</w:t>
            </w:r>
            <w:proofErr w:type="gramEnd"/>
            <w:r>
              <w:t xml:space="preserve">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 xml:space="preserve">If ‘Yes’, students will have to be subject to a Disclosure and Barring Service (DBS) check before they can commence the </w:t>
            </w:r>
            <w:r w:rsidRPr="00F47600">
              <w:rPr>
                <w:i/>
              </w:rPr>
              <w:lastRenderedPageBreak/>
              <w:t>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5"/>
      <w:footerReference w:type="default" r:id="rId16"/>
      <w:headerReference w:type="first" r:id="rId17"/>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3">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4">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6">
    <w:p w14:paraId="2AD143F6" w14:textId="4C2EE23D" w:rsidR="00B23D65" w:rsidRDefault="00B23D65" w:rsidP="00A97CAB">
      <w:pPr>
        <w:pStyle w:val="FootnoteText"/>
      </w:pPr>
      <w:r>
        <w:rPr>
          <w:rStyle w:val="FootnoteReference"/>
        </w:rPr>
        <w:footnoteRef/>
      </w:r>
      <w:r>
        <w:t xml:space="preserve"> </w:t>
      </w:r>
      <w:r w:rsidR="00C4131E">
        <w:t>‘Coursework’ includes written tasks, digital assets, oral presentations, and portfolios.</w:t>
      </w:r>
    </w:p>
  </w:footnote>
  <w:footnote w:id="7">
    <w:p w14:paraId="5B1648C7" w14:textId="62D847EA" w:rsidR="00B23D65" w:rsidRDefault="00B23D65" w:rsidP="00A97CAB">
      <w:pPr>
        <w:pStyle w:val="FootnoteText"/>
      </w:pPr>
      <w:r>
        <w:rPr>
          <w:rStyle w:val="FootnoteReference"/>
        </w:rPr>
        <w:footnoteRef/>
      </w:r>
      <w:r>
        <w:t xml:space="preserve"> </w:t>
      </w:r>
      <w:r w:rsidR="00C4131E">
        <w:t xml:space="preserve">‘Examinations’ include on-campus ‘closed’ and ‘open book’ exams, practical exams and assessments, in-course tests, </w:t>
      </w:r>
      <w:proofErr w:type="spellStart"/>
      <w:r w:rsidR="00C4131E">
        <w:t>vivas</w:t>
      </w:r>
      <w:proofErr w:type="spellEnd"/>
      <w:r w:rsidR="00C4131E">
        <w:t xml:space="preserve">, and online fixed </w:t>
      </w:r>
      <w:proofErr w:type="gramStart"/>
      <w:r w:rsidR="00C4131E">
        <w:t>time period</w:t>
      </w:r>
      <w:proofErr w:type="gramEnd"/>
      <w:r w:rsidR="00C4131E">
        <w:t xml:space="preserve"> exams and assessments. Please see the </w:t>
      </w:r>
      <w:hyperlink r:id="rId2" w:history="1">
        <w:r w:rsidR="00C4131E" w:rsidRPr="00BD7074">
          <w:rPr>
            <w:rStyle w:val="Hyperlink"/>
          </w:rPr>
          <w:t>Module Development page</w:t>
        </w:r>
      </w:hyperlink>
      <w:r w:rsidR="00C4131E">
        <w:t xml:space="preserve"> for further information on the assessment categories.</w:t>
      </w:r>
    </w:p>
  </w:footnote>
  <w:footnote w:id="8">
    <w:p w14:paraId="07B2C71C" w14:textId="41097579" w:rsidR="00B23D65" w:rsidRDefault="00B23D65">
      <w:pPr>
        <w:pStyle w:val="FootnoteText"/>
      </w:pPr>
      <w:r>
        <w:rPr>
          <w:rStyle w:val="FootnoteReference"/>
        </w:rPr>
        <w:footnoteRef/>
      </w:r>
      <w:r>
        <w:t xml:space="preserve"> </w:t>
      </w:r>
      <w:r w:rsidR="00C4131E">
        <w:t xml:space="preserve">5.5.3 of the </w:t>
      </w:r>
      <w:hyperlink r:id="rId3" w:history="1">
        <w:r w:rsidR="00C4131E" w:rsidRPr="00D86D71">
          <w:rPr>
            <w:rStyle w:val="Hyperlink"/>
          </w:rPr>
          <w:t>Code of Practice on Taught Programme and Module Assessment and Feedbac</w:t>
        </w:r>
        <w:r w:rsidR="00C4131E">
          <w:rPr>
            <w:rStyle w:val="Hyperlink"/>
          </w:rPr>
          <w:t>k (PDF - 483</w:t>
        </w:r>
        <w:r w:rsidR="00C4131E" w:rsidRPr="000E0D5E">
          <w:rPr>
            <w:rStyle w:val="Hyperlink"/>
          </w:rPr>
          <w:t>KB)</w:t>
        </w:r>
      </w:hyperlink>
      <w:r w:rsidR="00C4131E">
        <w:rPr>
          <w:rStyle w:val="Hyperlink"/>
        </w:rPr>
        <w:t xml:space="preserve"> </w:t>
      </w:r>
      <w:r w:rsidR="00C4131E">
        <w:t xml:space="preserve"> states that ‘</w:t>
      </w:r>
      <w:r w:rsidR="00C4131E">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sidR="00C4131E">
        <w:rPr>
          <w:szCs w:val="22"/>
        </w:rPr>
        <w:t>descriptions’</w:t>
      </w:r>
      <w:proofErr w:type="gramEnd"/>
      <w:r w:rsidR="00C4131E">
        <w:rPr>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FD3561"/>
    <w:multiLevelType w:val="hybridMultilevel"/>
    <w:tmpl w:val="FEE6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395125">
    <w:abstractNumId w:val="2"/>
  </w:num>
  <w:num w:numId="2" w16cid:durableId="1865745338">
    <w:abstractNumId w:val="27"/>
  </w:num>
  <w:num w:numId="3" w16cid:durableId="1747992618">
    <w:abstractNumId w:val="11"/>
  </w:num>
  <w:num w:numId="4" w16cid:durableId="40981864">
    <w:abstractNumId w:val="26"/>
  </w:num>
  <w:num w:numId="5" w16cid:durableId="1041175782">
    <w:abstractNumId w:val="4"/>
  </w:num>
  <w:num w:numId="6" w16cid:durableId="2023849482">
    <w:abstractNumId w:val="7"/>
  </w:num>
  <w:num w:numId="7" w16cid:durableId="80837109">
    <w:abstractNumId w:val="13"/>
  </w:num>
  <w:num w:numId="8" w16cid:durableId="312567510">
    <w:abstractNumId w:val="6"/>
  </w:num>
  <w:num w:numId="9" w16cid:durableId="1116412134">
    <w:abstractNumId w:val="14"/>
  </w:num>
  <w:num w:numId="10" w16cid:durableId="137500815">
    <w:abstractNumId w:val="5"/>
  </w:num>
  <w:num w:numId="11" w16cid:durableId="1118182399">
    <w:abstractNumId w:val="9"/>
  </w:num>
  <w:num w:numId="12" w16cid:durableId="556480186">
    <w:abstractNumId w:val="25"/>
  </w:num>
  <w:num w:numId="13" w16cid:durableId="2114782201">
    <w:abstractNumId w:val="19"/>
  </w:num>
  <w:num w:numId="14" w16cid:durableId="974024835">
    <w:abstractNumId w:val="3"/>
  </w:num>
  <w:num w:numId="15" w16cid:durableId="1691952372">
    <w:abstractNumId w:val="17"/>
  </w:num>
  <w:num w:numId="16" w16cid:durableId="181746799">
    <w:abstractNumId w:val="24"/>
  </w:num>
  <w:num w:numId="17" w16cid:durableId="359670906">
    <w:abstractNumId w:val="12"/>
  </w:num>
  <w:num w:numId="18" w16cid:durableId="635918477">
    <w:abstractNumId w:val="23"/>
  </w:num>
  <w:num w:numId="19" w16cid:durableId="88818405">
    <w:abstractNumId w:val="15"/>
  </w:num>
  <w:num w:numId="20" w16cid:durableId="223954323">
    <w:abstractNumId w:val="31"/>
  </w:num>
  <w:num w:numId="21" w16cid:durableId="1940720656">
    <w:abstractNumId w:val="18"/>
  </w:num>
  <w:num w:numId="22" w16cid:durableId="1454329326">
    <w:abstractNumId w:val="10"/>
  </w:num>
  <w:num w:numId="23" w16cid:durableId="237136686">
    <w:abstractNumId w:val="20"/>
  </w:num>
  <w:num w:numId="24" w16cid:durableId="1798066866">
    <w:abstractNumId w:val="0"/>
  </w:num>
  <w:num w:numId="25" w16cid:durableId="768745091">
    <w:abstractNumId w:val="1"/>
  </w:num>
  <w:num w:numId="26" w16cid:durableId="620763806">
    <w:abstractNumId w:val="8"/>
  </w:num>
  <w:num w:numId="27" w16cid:durableId="1484157159">
    <w:abstractNumId w:val="21"/>
  </w:num>
  <w:num w:numId="28" w16cid:durableId="1211041543">
    <w:abstractNumId w:val="22"/>
  </w:num>
  <w:num w:numId="29" w16cid:durableId="358167585">
    <w:abstractNumId w:val="30"/>
  </w:num>
  <w:num w:numId="30" w16cid:durableId="1563057187">
    <w:abstractNumId w:val="28"/>
  </w:num>
  <w:num w:numId="31" w16cid:durableId="1310549148">
    <w:abstractNumId w:val="16"/>
  </w:num>
  <w:num w:numId="32" w16cid:durableId="369648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6291"/>
    <w:rsid w:val="00447103"/>
    <w:rsid w:val="0045480F"/>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4BC4"/>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B2B7B"/>
    <w:rsid w:val="00BD52DB"/>
    <w:rsid w:val="00BF48B1"/>
    <w:rsid w:val="00C0010E"/>
    <w:rsid w:val="00C04291"/>
    <w:rsid w:val="00C22D6A"/>
    <w:rsid w:val="00C24D97"/>
    <w:rsid w:val="00C321EF"/>
    <w:rsid w:val="00C33AD0"/>
    <w:rsid w:val="00C34153"/>
    <w:rsid w:val="00C4131E"/>
    <w:rsid w:val="00C413B2"/>
    <w:rsid w:val="00C41F97"/>
    <w:rsid w:val="00C43ECC"/>
    <w:rsid w:val="00C81F0C"/>
    <w:rsid w:val="00C8587B"/>
    <w:rsid w:val="00C85ABD"/>
    <w:rsid w:val="00C87729"/>
    <w:rsid w:val="00C94B91"/>
    <w:rsid w:val="00CA4EC5"/>
    <w:rsid w:val="00CA53D5"/>
    <w:rsid w:val="00CA6726"/>
    <w:rsid w:val="00CC6FFA"/>
    <w:rsid w:val="00CE7F87"/>
    <w:rsid w:val="00D00441"/>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en/quality-code/qualifications-framework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staff/university/graduate-attributes/uob-and-beyond-your-graduate-attributes.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3-24/cop-taught-prog-assessment-23-24.pdf" TargetMode="External"/><Relationship Id="rId2" Type="http://schemas.openxmlformats.org/officeDocument/2006/relationships/hyperlink" Target="https://intranet.birmingham.ac.uk/as/registry/policy/programmemodule/module-development.aspx"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5A6DB2"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5A6DB2"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5A6DB2"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A6DB2"/>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3.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5.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7</cp:revision>
  <dcterms:created xsi:type="dcterms:W3CDTF">2022-02-10T11:17:00Z</dcterms:created>
  <dcterms:modified xsi:type="dcterms:W3CDTF">2023-03-09T11:09:00Z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