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ptos" w:hAnsi="Aptos"/>
          <w:b/>
          <w:i w:val="0"/>
          <w:color w:val="9A7B55"/>
          <w:sz w:val="18"/>
        </w:rPr>
        <w:t>WORKING FRAMEWORK</w:t>
      </w:r>
    </w:p>
    <w:p>
      <w:pPr>
        <w:spacing w:after="100"/>
      </w:pPr>
      <w:r>
        <w:rPr>
          <w:rFonts w:ascii="Aptos Display" w:hAnsi="Aptos Display"/>
          <w:b/>
          <w:i w:val="0"/>
          <w:color w:val="242320"/>
          <w:sz w:val="50"/>
        </w:rPr>
        <w:t>Construction Job Cycle &amp; Cash-Flow Framework</w:t>
      </w:r>
    </w:p>
    <w:p>
      <w:pPr>
        <w:spacing w:after="300"/>
      </w:pPr>
      <w:r>
        <w:rPr>
          <w:rFonts w:ascii="Aptos" w:hAnsi="Aptos"/>
          <w:b w:val="0"/>
          <w:i w:val="0"/>
          <w:color w:val="4A4945"/>
          <w:sz w:val="23"/>
        </w:rPr>
        <w:t>An editable working document for agreeing RESLU’s construction stages, trade packages and standard payment rules before changing Spec.</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3900"/>
        <w:gridCol w:w="2700"/>
        <w:gridCol w:w="2760"/>
      </w:tblGrid>
      <w:tr>
        <w:trPr>
          <w:tblHeader w:val="true"/>
        </w:trPr>
        <w:tc>
          <w:tcPr>
            <w:tcW w:type="dxa" w:w="3900"/>
            <w:shd w:fill="F5F1E8"/>
            <w:vAlign w:val="center"/>
            <w:tcMar>
              <w:top w:w="90" w:type="dxa"/>
              <w:start w:w="120" w:type="dxa"/>
              <w:bottom w:w="90" w:type="dxa"/>
              <w:end w:w="120" w:type="dxa"/>
            </w:tcMar>
          </w:tcPr>
          <w:p>
            <w:pPr>
              <w:spacing w:before="0" w:after="0" w:line="259" w:lineRule="auto"/>
              <w:jc w:val="left"/>
            </w:pPr>
            <w:r>
              <w:rPr>
                <w:rFonts w:ascii="Aptos" w:hAnsi="Aptos"/>
                <w:b/>
                <w:i w:val="0"/>
                <w:color w:val="242320"/>
                <w:sz w:val="19"/>
              </w:rPr>
              <w:t>Purpose</w:t>
            </w:r>
          </w:p>
        </w:tc>
        <w:tc>
          <w:tcPr>
            <w:tcW w:type="dxa" w:w="2700"/>
            <w:shd w:fill="F5F1E8"/>
            <w:vAlign w:val="center"/>
            <w:tcMar>
              <w:top w:w="90" w:type="dxa"/>
              <w:start w:w="120" w:type="dxa"/>
              <w:bottom w:w="90" w:type="dxa"/>
              <w:end w:w="120" w:type="dxa"/>
            </w:tcMar>
          </w:tcPr>
          <w:p>
            <w:pPr>
              <w:spacing w:before="0" w:after="0" w:line="259" w:lineRule="auto"/>
              <w:jc w:val="left"/>
            </w:pPr>
            <w:r>
              <w:rPr>
                <w:rFonts w:ascii="Aptos" w:hAnsi="Aptos"/>
                <w:b/>
                <w:i w:val="0"/>
                <w:color w:val="242320"/>
                <w:sz w:val="19"/>
              </w:rPr>
              <w:t>Status</w:t>
            </w:r>
          </w:p>
        </w:tc>
        <w:tc>
          <w:tcPr>
            <w:tcW w:type="dxa" w:w="2760"/>
            <w:shd w:fill="F5F1E8"/>
            <w:vAlign w:val="center"/>
            <w:tcMar>
              <w:top w:w="90" w:type="dxa"/>
              <w:start w:w="120" w:type="dxa"/>
              <w:bottom w:w="90" w:type="dxa"/>
              <w:end w:w="120" w:type="dxa"/>
            </w:tcMar>
          </w:tcPr>
          <w:p>
            <w:pPr>
              <w:spacing w:before="0" w:after="0" w:line="259" w:lineRule="auto"/>
              <w:jc w:val="left"/>
            </w:pPr>
            <w:r>
              <w:rPr>
                <w:rFonts w:ascii="Aptos" w:hAnsi="Aptos"/>
                <w:b/>
                <w:i w:val="0"/>
                <w:color w:val="242320"/>
                <w:sz w:val="19"/>
              </w:rPr>
              <w:t>Prepared</w:t>
            </w:r>
          </w:p>
        </w:tc>
      </w:tr>
      <w:tr>
        <w:tc>
          <w:tcPr>
            <w:tcW w:type="dxa" w:w="39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Workshop and validation</w:t>
            </w:r>
          </w:p>
        </w:tc>
        <w:tc>
          <w:tcPr>
            <w:tcW w:type="dxa" w:w="2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Draft — not system logic</w:t>
            </w:r>
          </w:p>
        </w:tc>
        <w:tc>
          <w:tcPr>
            <w:tcW w:type="dxa" w:w="27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21 August 2026</w:t>
            </w:r>
          </w:p>
        </w:tc>
      </w:tr>
    </w:tbl>
    <w:p>
      <w:pPr>
        <w:spacing w:after="40"/>
      </w:pPr>
    </w:p>
    <w:tbl>
      <w:tblPr>
        <w:tblW w:type="dxa" w:w="9360"/>
        <w:tblLayout w:type="fixed"/>
        <w:tblLook w:firstColumn="1" w:firstRow="1" w:lastColumn="0" w:lastRow="0" w:noHBand="0" w:noVBand="1" w:val="04A0"/>
        <w:jc w:val="left"/>
        <w:tblBorders>
          <w:top w:val="single" w:sz="5" w:space="0" w:color="D9D2C5"/>
          <w:left w:val="single" w:sz="5" w:space="0" w:color="D9D2C5"/>
          <w:bottom w:val="single" w:sz="5" w:space="0" w:color="D9D2C5"/>
          <w:right w:val="single" w:sz="5" w:space="0" w:color="D9D2C5"/>
          <w:insideH w:val="single" w:sz="5" w:space="0" w:color="D9D2C5"/>
          <w:insideV w:val="single" w:sz="5" w:space="0" w:color="D9D2C5"/>
        </w:tblBorders>
        <w:tblInd w:w="120" w:type="dxa"/>
      </w:tblPr>
      <w:tblGrid>
        <w:gridCol w:w="9360"/>
      </w:tblGrid>
      <w:tr>
        <w:tc>
          <w:tcPr>
            <w:tcW w:type="dxa" w:w="9360"/>
            <w:shd w:fill="E7EFE5"/>
            <w:vAlign w:val="center"/>
            <w:tcMar>
              <w:top w:w="90" w:type="dxa"/>
              <w:start w:w="120" w:type="dxa"/>
              <w:bottom w:w="90" w:type="dxa"/>
              <w:end w:w="120" w:type="dxa"/>
            </w:tcMar>
          </w:tcPr>
          <w:p>
            <w:pPr>
              <w:spacing w:after="0" w:line="276" w:lineRule="auto"/>
            </w:pPr>
            <w:r>
              <w:rPr>
                <w:rFonts w:ascii="Aptos" w:hAnsi="Aptos"/>
                <w:b/>
                <w:i w:val="0"/>
                <w:color w:val="9A7B55"/>
                <w:sz w:val="22"/>
              </w:rPr>
              <w:t xml:space="preserve">Recommended method: </w:t>
            </w:r>
            <w:r>
              <w:rPr>
                <w:rFonts w:ascii="Aptos" w:hAnsi="Aptos"/>
                <w:b w:val="0"/>
                <w:i w:val="0"/>
                <w:color w:val="242320"/>
                <w:sz w:val="22"/>
              </w:rPr>
              <w:t>Agree the stages first, map trade packages second, and define payment rules third. Then test the complete framework against one real construction job. Only rules that survive that test should become automated fields in Spec.</w:t>
            </w:r>
          </w:p>
        </w:tc>
      </w:tr>
    </w:tbl>
    <w:p>
      <w:pPr>
        <w:spacing w:after="40"/>
      </w:pPr>
    </w:p>
    <w:p>
      <w:pPr>
        <w:pStyle w:val="Heading1"/>
        <w:keepNext/>
      </w:pPr>
      <w:r>
        <w:t>1. What this framework must solve</w:t>
      </w:r>
    </w:p>
    <w:p>
      <w:pPr>
        <w:spacing w:after="120" w:line="288" w:lineRule="auto"/>
      </w:pPr>
      <w:r>
        <w:rPr>
          <w:rFonts w:ascii="Aptos" w:hAnsi="Aptos"/>
          <w:b w:val="0"/>
          <w:i w:val="0"/>
          <w:color w:val="242320"/>
          <w:sz w:val="22"/>
        </w:rPr>
        <w:t>The current forecast requires too many manual dates because the cost, the work stage and the payment event are not consistently connected. This framework separates those concepts so a programme movement can update forecast timing without changing the underlying approved budget.</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1700"/>
        <w:gridCol w:w="3300"/>
        <w:gridCol w:w="4360"/>
      </w:tblGrid>
      <w:tr>
        <w:trPr>
          <w:tblHeader w:val="true"/>
        </w:trPr>
        <w:tc>
          <w:tcPr>
            <w:tcW w:type="dxa" w:w="17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Layer</w:t>
            </w:r>
          </w:p>
        </w:tc>
        <w:tc>
          <w:tcPr>
            <w:tcW w:type="dxa" w:w="33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Question it answers</w:t>
            </w:r>
          </w:p>
        </w:tc>
        <w:tc>
          <w:tcPr>
            <w:tcW w:type="dxa" w:w="436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Proposed source of truth</w:t>
            </w:r>
          </w:p>
        </w:tc>
      </w:tr>
      <w:tr>
        <w:tc>
          <w:tcPr>
            <w:tcW w:type="dxa" w:w="1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Job cycle</w:t>
            </w:r>
          </w:p>
        </w:tc>
        <w:tc>
          <w:tcPr>
            <w:tcW w:type="dxa" w:w="3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When does the work occur?</w:t>
            </w:r>
          </w:p>
        </w:tc>
        <w:tc>
          <w:tcPr>
            <w:tcW w:type="dxa" w:w="43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The project construction programme / Timeline</w:t>
            </w:r>
          </w:p>
        </w:tc>
      </w:tr>
      <w:tr>
        <w:tc>
          <w:tcPr>
            <w:tcW w:type="dxa" w:w="17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Trade package</w:t>
            </w:r>
          </w:p>
        </w:tc>
        <w:tc>
          <w:tcPr>
            <w:tcW w:type="dxa" w:w="3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Who performs or supplies the work?</w:t>
            </w:r>
          </w:p>
        </w:tc>
        <w:tc>
          <w:tcPr>
            <w:tcW w:type="dxa" w:w="43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 controlled RESLU trade-package list</w:t>
            </w:r>
          </w:p>
        </w:tc>
      </w:tr>
      <w:tr>
        <w:tc>
          <w:tcPr>
            <w:tcW w:type="dxa" w:w="1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Cost record</w:t>
            </w:r>
          </w:p>
        </w:tc>
        <w:tc>
          <w:tcPr>
            <w:tcW w:type="dxa" w:w="3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What are we paying for and how much?</w:t>
            </w:r>
          </w:p>
        </w:tc>
        <w:tc>
          <w:tcPr>
            <w:tcW w:type="dxa" w:w="43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Estimate line, trade package or FF&amp;E item</w:t>
            </w:r>
          </w:p>
        </w:tc>
      </w:tr>
      <w:tr>
        <w:tc>
          <w:tcPr>
            <w:tcW w:type="dxa" w:w="17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Payment structure</w:t>
            </w:r>
          </w:p>
        </w:tc>
        <w:tc>
          <w:tcPr>
            <w:tcW w:type="dxa" w:w="3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What event makes cash leave RESLU?</w:t>
            </w:r>
          </w:p>
        </w:tc>
        <w:tc>
          <w:tcPr>
            <w:tcW w:type="dxa" w:w="43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 standard payment template with permitted overrides</w:t>
            </w:r>
          </w:p>
        </w:tc>
      </w:tr>
      <w:tr>
        <w:tc>
          <w:tcPr>
            <w:tcW w:type="dxa" w:w="1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Actual</w:t>
            </w:r>
          </w:p>
        </w:tc>
        <w:tc>
          <w:tcPr>
            <w:tcW w:type="dxa" w:w="3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What was invoiced and paid?</w:t>
            </w:r>
          </w:p>
        </w:tc>
        <w:tc>
          <w:tcPr>
            <w:tcW w:type="dxa" w:w="43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Supplier invoice, payment record and Xero</w:t>
            </w:r>
          </w:p>
        </w:tc>
      </w:tr>
    </w:tbl>
    <w:p>
      <w:pPr>
        <w:spacing w:after="40"/>
      </w:pPr>
    </w:p>
    <w:p>
      <w:pPr>
        <w:pStyle w:val="Heading1"/>
        <w:keepNext/>
      </w:pPr>
      <w:r>
        <w:t>2. Proposed construction job cycle</w:t>
      </w:r>
    </w:p>
    <w:p>
      <w:pPr>
        <w:spacing w:after="120" w:line="288" w:lineRule="auto"/>
      </w:pPr>
      <w:r>
        <w:rPr>
          <w:rFonts w:ascii="Aptos" w:hAnsi="Aptos"/>
          <w:b w:val="0"/>
          <w:i w:val="0"/>
          <w:color w:val="242320"/>
          <w:sz w:val="22"/>
        </w:rPr>
        <w:t>This is a starting sequence for review. The stage names should be broad enough to work across projects, while trade-specific detail sits in the trade-package mapping that follows.</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520"/>
        <w:gridCol w:w="2050"/>
        <w:gridCol w:w="4300"/>
        <w:gridCol w:w="2490"/>
      </w:tblGrid>
      <w:tr>
        <w:trPr>
          <w:tblHeader w:val="true"/>
        </w:trPr>
        <w:tc>
          <w:tcPr>
            <w:tcW w:type="dxa" w:w="520"/>
            <w:shd w:fill="ECE7DD"/>
            <w:vAlign w:val="center"/>
            <w:tcMar>
              <w:top w:w="90" w:type="dxa"/>
              <w:start w:w="120" w:type="dxa"/>
              <w:bottom w:w="90" w:type="dxa"/>
              <w:end w:w="120" w:type="dxa"/>
            </w:tcMar>
          </w:tcPr>
          <w:p>
            <w:pPr>
              <w:spacing w:before="0" w:after="0" w:line="259" w:lineRule="auto"/>
              <w:jc w:val="center"/>
            </w:pPr>
            <w:r>
              <w:rPr>
                <w:rFonts w:ascii="Aptos" w:hAnsi="Aptos"/>
                <w:b/>
                <w:i w:val="0"/>
                <w:color w:val="242320"/>
                <w:sz w:val="17"/>
              </w:rPr>
              <w:t>ID</w:t>
            </w:r>
          </w:p>
        </w:tc>
        <w:tc>
          <w:tcPr>
            <w:tcW w:type="dxa" w:w="205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7"/>
              </w:rPr>
              <w:t>Job-cycle stage</w:t>
            </w:r>
          </w:p>
        </w:tc>
        <w:tc>
          <w:tcPr>
            <w:tcW w:type="dxa" w:w="43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7"/>
              </w:rPr>
              <w:t>Typical scope</w:t>
            </w:r>
          </w:p>
        </w:tc>
        <w:tc>
          <w:tcPr>
            <w:tcW w:type="dxa" w:w="249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7"/>
              </w:rPr>
              <w:t>Stage completion event</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01</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Pre-construction</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Contract, approvals, programme, procurement planning</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Programme approved</w:t>
            </w:r>
          </w:p>
        </w:tc>
      </w:tr>
      <w:tr>
        <w:tc>
          <w:tcPr>
            <w:tcW w:type="dxa" w:w="5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02</w:t>
            </w:r>
          </w:p>
        </w:tc>
        <w:tc>
          <w:tcPr>
            <w:tcW w:type="dxa" w:w="20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Site establishment</w:t>
            </w:r>
          </w:p>
        </w:tc>
        <w:tc>
          <w:tcPr>
            <w:tcW w:type="dxa" w:w="4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Access, protection, temporary services, safety setup</w:t>
            </w:r>
          </w:p>
        </w:tc>
        <w:tc>
          <w:tcPr>
            <w:tcW w:type="dxa" w:w="24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Site ready</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03</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Demolition &amp; strip-out</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Demolition, disposal, make-safe and exposure</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Demolition complete</w:t>
            </w:r>
          </w:p>
        </w:tc>
      </w:tr>
      <w:tr>
        <w:tc>
          <w:tcPr>
            <w:tcW w:type="dxa" w:w="5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04</w:t>
            </w:r>
          </w:p>
        </w:tc>
        <w:tc>
          <w:tcPr>
            <w:tcW w:type="dxa" w:w="20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Structural &amp; framing</w:t>
            </w:r>
          </w:p>
        </w:tc>
        <w:tc>
          <w:tcPr>
            <w:tcW w:type="dxa" w:w="4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Footings, steel, wall/roof framing and structural sign-off</w:t>
            </w:r>
          </w:p>
        </w:tc>
        <w:tc>
          <w:tcPr>
            <w:tcW w:type="dxa" w:w="24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Frame approved</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05</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External envelope</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Roofing, windows, doors, brickwork, cladding and sealing</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Build sealed</w:t>
            </w:r>
          </w:p>
        </w:tc>
      </w:tr>
      <w:tr>
        <w:tc>
          <w:tcPr>
            <w:tcW w:type="dxa" w:w="5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06</w:t>
            </w:r>
          </w:p>
        </w:tc>
        <w:tc>
          <w:tcPr>
            <w:tcW w:type="dxa" w:w="20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Services rough-in / first fix</w:t>
            </w:r>
          </w:p>
        </w:tc>
        <w:tc>
          <w:tcPr>
            <w:tcW w:type="dxa" w:w="4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Concealed plumbing, electrical, HVAC and data services</w:t>
            </w:r>
          </w:p>
        </w:tc>
        <w:tc>
          <w:tcPr>
            <w:tcW w:type="dxa" w:w="24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Rough-in complete</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07</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Internal linings &amp; waterproofing</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Insulation, plasterboard, screed beds and membranes</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Linings/waterproofing complete</w:t>
            </w:r>
          </w:p>
        </w:tc>
      </w:tr>
      <w:tr>
        <w:tc>
          <w:tcPr>
            <w:tcW w:type="dxa" w:w="5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08</w:t>
            </w:r>
          </w:p>
        </w:tc>
        <w:tc>
          <w:tcPr>
            <w:tcW w:type="dxa" w:w="20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Internal finishes</w:t>
            </w:r>
          </w:p>
        </w:tc>
        <w:tc>
          <w:tcPr>
            <w:tcW w:type="dxa" w:w="4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Tiling, flooring and applied feature finishes</w:t>
            </w:r>
          </w:p>
        </w:tc>
        <w:tc>
          <w:tcPr>
            <w:tcW w:type="dxa" w:w="24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Finishes complete</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09</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Joinery &amp; fixed elements</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Kitchen, vanities, wardrobes and other fixed joinery</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Joinery installed</w:t>
            </w:r>
          </w:p>
        </w:tc>
      </w:tr>
      <w:tr>
        <w:tc>
          <w:tcPr>
            <w:tcW w:type="dxa" w:w="5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10</w:t>
            </w:r>
          </w:p>
        </w:tc>
        <w:tc>
          <w:tcPr>
            <w:tcW w:type="dxa" w:w="20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Fit-off / second fix</w:t>
            </w:r>
          </w:p>
        </w:tc>
        <w:tc>
          <w:tcPr>
            <w:tcW w:type="dxa" w:w="4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Visible fixtures, fittings, appliances, doors, trims and hardware</w:t>
            </w:r>
          </w:p>
        </w:tc>
        <w:tc>
          <w:tcPr>
            <w:tcW w:type="dxa" w:w="24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Fit-off complete</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11</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Painting &amp; final detail</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Painting, touch-ups, sealants, detailing and final clean</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Ready for completion inspection</w:t>
            </w:r>
          </w:p>
        </w:tc>
      </w:tr>
      <w:tr>
        <w:tc>
          <w:tcPr>
            <w:tcW w:type="dxa" w:w="5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12</w:t>
            </w:r>
          </w:p>
        </w:tc>
        <w:tc>
          <w:tcPr>
            <w:tcW w:type="dxa" w:w="20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Practical completion</w:t>
            </w:r>
          </w:p>
        </w:tc>
        <w:tc>
          <w:tcPr>
            <w:tcW w:type="dxa" w:w="43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Inspection, defects, certificates and rectification</w:t>
            </w:r>
          </w:p>
        </w:tc>
        <w:tc>
          <w:tcPr>
            <w:tcW w:type="dxa" w:w="24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Practical completion</w:t>
            </w:r>
          </w:p>
        </w:tc>
      </w:tr>
      <w:tr>
        <w:tc>
          <w:tcPr>
            <w:tcW w:type="dxa" w:w="5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7"/>
              </w:rPr>
              <w:t>13</w:t>
            </w:r>
          </w:p>
        </w:tc>
        <w:tc>
          <w:tcPr>
            <w:tcW w:type="dxa" w:w="20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Handover &amp; close-out</w:t>
            </w:r>
          </w:p>
        </w:tc>
        <w:tc>
          <w:tcPr>
            <w:tcW w:type="dxa" w:w="43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Client walkthrough, manuals, warranties and final account</w:t>
            </w:r>
          </w:p>
        </w:tc>
        <w:tc>
          <w:tcPr>
            <w:tcW w:type="dxa" w:w="24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7"/>
              </w:rPr>
              <w:t>Job closed</w:t>
            </w:r>
          </w:p>
        </w:tc>
      </w:tr>
    </w:tbl>
    <w:p>
      <w:pPr>
        <w:spacing w:after="40"/>
      </w:pPr>
    </w:p>
    <w:p>
      <w:pPr>
        <w:pStyle w:val="Heading1"/>
        <w:keepNext/>
      </w:pPr>
      <w:r>
        <w:t>3. Trade packages within the cycle</w:t>
      </w:r>
    </w:p>
    <w:p>
      <w:pPr>
        <w:spacing w:after="120" w:line="288" w:lineRule="auto"/>
      </w:pPr>
      <w:r>
        <w:rPr>
          <w:rFonts w:ascii="Aptos" w:hAnsi="Aptos"/>
          <w:b w:val="0"/>
          <w:i w:val="0"/>
          <w:color w:val="242320"/>
          <w:sz w:val="22"/>
        </w:rPr>
        <w:t>Avoid generic labels such as “first fix” on their own. The cash-flow and reporting logic should identify both the trade and the stage, for example Carpentry — first fix or Plumbing — fit-off.</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2110"/>
        <w:gridCol w:w="2190"/>
        <w:gridCol w:w="3260"/>
        <w:gridCol w:w="1800"/>
      </w:tblGrid>
      <w:tr>
        <w:trPr>
          <w:tblHeader w:val="true"/>
        </w:trPr>
        <w:tc>
          <w:tcPr>
            <w:tcW w:type="dxa" w:w="211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Trade package</w:t>
            </w:r>
          </w:p>
        </w:tc>
        <w:tc>
          <w:tcPr>
            <w:tcW w:type="dxa" w:w="219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Default job stage</w:t>
            </w:r>
          </w:p>
        </w:tc>
        <w:tc>
          <w:tcPr>
            <w:tcW w:type="dxa" w:w="326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Included scope</w:t>
            </w:r>
          </w:p>
        </w:tc>
        <w:tc>
          <w:tcPr>
            <w:tcW w:type="dxa" w:w="18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Default progress event</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Demolition</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Demolition &amp; strip-out</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Strip-out, removal, disposal, make-safe</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Demolition complete</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Carpentry — first fix</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Structural &amp; framing</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Framing, structural timber, concealed backing and support</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Measured progress or stage completion</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Carpentry — second fix</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Doors, jambs, skirtings, architraves, trims and hardware</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Measured progress or installation complete</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Plumbing — rough-in</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Services rough-in / first fix</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Concealed water, waste and gas services</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Rough-in inspection / completion</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Plumbing — fit-off</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Tapware, sanitaryware, fixtures and commissioning</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completion</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Electrical — rough-in</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Services rough-in / first fix</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Cabling, boxes, switchboard and concealed services</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Rough-in inspection / completion</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Electrical — fit-off</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Lights, switches, outlets, appliances and testing</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completion</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HVAC — rough-in</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Services rough-in / first fix</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Ducts, pipework, cabling and concealed plant connections</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Rough-in complete</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HVAC — fit-off</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Grilles, controls, commissioning and balancing</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Commissioned</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Waterproofing</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Internal linings &amp; waterproofing</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Screed interface, membranes and certification</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Certificate / stage complete</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Tiling</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Internal finishes</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Wall and floor tiling, grout and seal</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Area complete</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Flooring</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Internal finishes</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Timber, resilient, carpet and associated preparation</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Area complete</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Joinery</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Joinery &amp; fixed elements</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Manufacture, delivery and installation of fixed joinery</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Installed / defects recorded</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Painting</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Painting &amp; final detail</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Preparation, coats, touch-ups and final detail</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Painting complete</w:t>
            </w:r>
          </w:p>
        </w:tc>
      </w:tr>
      <w:tr>
        <w:tc>
          <w:tcPr>
            <w:tcW w:type="dxa" w:w="21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Appliances &amp; FF&amp;E</w:t>
            </w:r>
          </w:p>
        </w:tc>
        <w:tc>
          <w:tcPr>
            <w:tcW w:type="dxa" w:w="219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32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Ordered products, delivery and installation</w:t>
            </w:r>
          </w:p>
        </w:tc>
        <w:tc>
          <w:tcPr>
            <w:tcW w:type="dxa" w:w="18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Delivered or installed, depending on payment rule</w:t>
            </w:r>
          </w:p>
        </w:tc>
      </w:tr>
      <w:tr>
        <w:tc>
          <w:tcPr>
            <w:tcW w:type="dxa" w:w="21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External works</w:t>
            </w:r>
          </w:p>
        </w:tc>
        <w:tc>
          <w:tcPr>
            <w:tcW w:type="dxa" w:w="219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External works / project-specific</w:t>
            </w:r>
          </w:p>
        </w:tc>
        <w:tc>
          <w:tcPr>
            <w:tcW w:type="dxa" w:w="32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Landscaping, paving, fencing, gates and drainage</w:t>
            </w:r>
          </w:p>
        </w:tc>
        <w:tc>
          <w:tcPr>
            <w:tcW w:type="dxa" w:w="18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Package complete</w:t>
            </w:r>
          </w:p>
        </w:tc>
      </w:tr>
    </w:tbl>
    <w:p>
      <w:pPr>
        <w:spacing w:after="40"/>
      </w:pPr>
    </w:p>
    <w:p>
      <w:pPr>
        <w:pStyle w:val="Heading1"/>
        <w:keepNext/>
      </w:pPr>
      <w:r>
        <w:t>4. Standard payment structures</w:t>
      </w:r>
    </w:p>
    <w:p>
      <w:pPr>
        <w:spacing w:after="120" w:line="288" w:lineRule="auto"/>
      </w:pPr>
      <w:r>
        <w:rPr>
          <w:rFonts w:ascii="Aptos" w:hAnsi="Aptos"/>
          <w:b w:val="0"/>
          <w:i w:val="0"/>
          <w:color w:val="242320"/>
          <w:sz w:val="22"/>
        </w:rPr>
        <w:t>A work stage describes when the work happens. A payment structure describes when cash leaves RESLU. They must remain separate: a basin may be installed at Plumbing — fit-off but paid for when ordered weeks earlier.</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560"/>
        <w:gridCol w:w="1740"/>
        <w:gridCol w:w="1000"/>
        <w:gridCol w:w="2220"/>
        <w:gridCol w:w="2100"/>
        <w:gridCol w:w="1740"/>
      </w:tblGrid>
      <w:tr>
        <w:trPr>
          <w:tblHeader w:val="true"/>
        </w:trPr>
        <w:tc>
          <w:tcPr>
            <w:tcW w:type="dxa" w:w="560"/>
            <w:shd w:fill="ECE7DD"/>
            <w:vAlign w:val="center"/>
            <w:tcMar>
              <w:top w:w="90" w:type="dxa"/>
              <w:start w:w="120" w:type="dxa"/>
              <w:bottom w:w="90" w:type="dxa"/>
              <w:end w:w="120" w:type="dxa"/>
            </w:tcMar>
          </w:tcPr>
          <w:p>
            <w:pPr>
              <w:spacing w:before="0" w:after="0" w:line="259" w:lineRule="auto"/>
              <w:jc w:val="center"/>
            </w:pPr>
            <w:r>
              <w:rPr>
                <w:rFonts w:ascii="Aptos" w:hAnsi="Aptos"/>
                <w:b/>
                <w:i w:val="0"/>
                <w:color w:val="242320"/>
                <w:sz w:val="16"/>
              </w:rPr>
              <w:t>Code</w:t>
            </w:r>
          </w:p>
        </w:tc>
        <w:tc>
          <w:tcPr>
            <w:tcW w:type="dxa" w:w="174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Template</w:t>
            </w:r>
          </w:p>
        </w:tc>
        <w:tc>
          <w:tcPr>
            <w:tcW w:type="dxa" w:w="1000"/>
            <w:shd w:fill="ECE7DD"/>
            <w:vAlign w:val="center"/>
            <w:tcMar>
              <w:top w:w="90" w:type="dxa"/>
              <w:start w:w="120" w:type="dxa"/>
              <w:bottom w:w="90" w:type="dxa"/>
              <w:end w:w="120" w:type="dxa"/>
            </w:tcMar>
          </w:tcPr>
          <w:p>
            <w:pPr>
              <w:spacing w:before="0" w:after="0" w:line="259" w:lineRule="auto"/>
              <w:jc w:val="center"/>
            </w:pPr>
            <w:r>
              <w:rPr>
                <w:rFonts w:ascii="Aptos" w:hAnsi="Aptos"/>
                <w:b/>
                <w:i w:val="0"/>
                <w:color w:val="242320"/>
                <w:sz w:val="16"/>
              </w:rPr>
              <w:t>Split</w:t>
            </w:r>
          </w:p>
        </w:tc>
        <w:tc>
          <w:tcPr>
            <w:tcW w:type="dxa" w:w="222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Forecast trigger</w:t>
            </w:r>
          </w:p>
        </w:tc>
        <w:tc>
          <w:tcPr>
            <w:tcW w:type="dxa" w:w="21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Expected cash date</w:t>
            </w:r>
          </w:p>
        </w:tc>
        <w:tc>
          <w:tcPr>
            <w:tcW w:type="dxa" w:w="174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Typical use</w:t>
            </w:r>
          </w:p>
        </w:tc>
      </w:tr>
      <w:tr>
        <w:tc>
          <w:tcPr>
            <w:tcW w:type="dxa" w:w="56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P1</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Trade stage claim</w:t>
            </w:r>
          </w:p>
        </w:tc>
        <w:tc>
          <w:tcPr>
            <w:tcW w:type="dxa" w:w="100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100%</w:t>
            </w:r>
          </w:p>
        </w:tc>
        <w:tc>
          <w:tcPr>
            <w:tcW w:type="dxa" w:w="222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Stage or measured work completed</w:t>
            </w:r>
          </w:p>
        </w:tc>
        <w:tc>
          <w:tcPr>
            <w:tcW w:type="dxa" w:w="21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Invoice date + supplier terms</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Labour and straightforward trade packages</w:t>
            </w:r>
          </w:p>
        </w:tc>
      </w:tr>
      <w:tr>
        <w:tc>
          <w:tcPr>
            <w:tcW w:type="dxa" w:w="56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P2</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Deposit + completion</w:t>
            </w:r>
          </w:p>
        </w:tc>
        <w:tc>
          <w:tcPr>
            <w:tcW w:type="dxa" w:w="100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50% / 50%</w:t>
            </w:r>
          </w:p>
        </w:tc>
        <w:tc>
          <w:tcPr>
            <w:tcW w:type="dxa" w:w="222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Acceptance or mobilisation / package completion</w:t>
            </w:r>
          </w:p>
        </w:tc>
        <w:tc>
          <w:tcPr>
            <w:tcW w:type="dxa" w:w="21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Trigger date + supplier terms</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Small fabricated packages and some subcontractors</w:t>
            </w:r>
          </w:p>
        </w:tc>
      </w:tr>
      <w:tr>
        <w:tc>
          <w:tcPr>
            <w:tcW w:type="dxa" w:w="56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P3</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Deposit + pre-delivery balance</w:t>
            </w:r>
          </w:p>
        </w:tc>
        <w:tc>
          <w:tcPr>
            <w:tcW w:type="dxa" w:w="100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50% / 50%</w:t>
            </w:r>
          </w:p>
        </w:tc>
        <w:tc>
          <w:tcPr>
            <w:tcW w:type="dxa" w:w="222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Order placed / before dispatch</w:t>
            </w:r>
          </w:p>
        </w:tc>
        <w:tc>
          <w:tcPr>
            <w:tcW w:type="dxa" w:w="21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Order date / ETA less agreed offset</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Custom products and supplier orders</w:t>
            </w:r>
          </w:p>
        </w:tc>
      </w:tr>
      <w:tr>
        <w:tc>
          <w:tcPr>
            <w:tcW w:type="dxa" w:w="56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P4</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Progress claims</w:t>
            </w:r>
          </w:p>
        </w:tc>
        <w:tc>
          <w:tcPr>
            <w:tcW w:type="dxa" w:w="100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Custom, totals 100%</w:t>
            </w:r>
          </w:p>
        </w:tc>
        <w:tc>
          <w:tcPr>
            <w:tcW w:type="dxa" w:w="222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Measured progress milestones</w:t>
            </w:r>
          </w:p>
        </w:tc>
        <w:tc>
          <w:tcPr>
            <w:tcW w:type="dxa" w:w="21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Each milestone + supplier terms</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Carpentry, joinery and larger trade packages</w:t>
            </w:r>
          </w:p>
        </w:tc>
      </w:tr>
      <w:tr>
        <w:tc>
          <w:tcPr>
            <w:tcW w:type="dxa" w:w="56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P5</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Pay on order</w:t>
            </w:r>
          </w:p>
        </w:tc>
        <w:tc>
          <w:tcPr>
            <w:tcW w:type="dxa" w:w="100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100%</w:t>
            </w:r>
          </w:p>
        </w:tc>
        <w:tc>
          <w:tcPr>
            <w:tcW w:type="dxa" w:w="222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Purchase order accepted</w:t>
            </w:r>
          </w:p>
        </w:tc>
        <w:tc>
          <w:tcPr>
            <w:tcW w:type="dxa" w:w="21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Order date + supplier terms</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Stock items or suppliers requiring full payment</w:t>
            </w:r>
          </w:p>
        </w:tc>
      </w:tr>
      <w:tr>
        <w:tc>
          <w:tcPr>
            <w:tcW w:type="dxa" w:w="56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P6</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Pay on delivery</w:t>
            </w:r>
          </w:p>
        </w:tc>
        <w:tc>
          <w:tcPr>
            <w:tcW w:type="dxa" w:w="100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100%</w:t>
            </w:r>
          </w:p>
        </w:tc>
        <w:tc>
          <w:tcPr>
            <w:tcW w:type="dxa" w:w="222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Goods delivered</w:t>
            </w:r>
          </w:p>
        </w:tc>
        <w:tc>
          <w:tcPr>
            <w:tcW w:type="dxa" w:w="21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Delivery date + supplier terms</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Products supplied on account</w:t>
            </w:r>
          </w:p>
        </w:tc>
      </w:tr>
      <w:tr>
        <w:tc>
          <w:tcPr>
            <w:tcW w:type="dxa" w:w="56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P7</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Pay on installation</w:t>
            </w:r>
          </w:p>
        </w:tc>
        <w:tc>
          <w:tcPr>
            <w:tcW w:type="dxa" w:w="100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100%</w:t>
            </w:r>
          </w:p>
        </w:tc>
        <w:tc>
          <w:tcPr>
            <w:tcW w:type="dxa" w:w="222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Installation completed</w:t>
            </w:r>
          </w:p>
        </w:tc>
        <w:tc>
          <w:tcPr>
            <w:tcW w:type="dxa" w:w="21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Installation date + supplier terms</w:t>
            </w:r>
          </w:p>
        </w:tc>
        <w:tc>
          <w:tcPr>
            <w:tcW w:type="dxa" w:w="174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Supply-and-install packages</w:t>
            </w:r>
          </w:p>
        </w:tc>
      </w:tr>
      <w:tr>
        <w:tc>
          <w:tcPr>
            <w:tcW w:type="dxa" w:w="56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P8</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Custom exception</w:t>
            </w:r>
          </w:p>
        </w:tc>
        <w:tc>
          <w:tcPr>
            <w:tcW w:type="dxa" w:w="100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Custom, totals 100%</w:t>
            </w:r>
          </w:p>
        </w:tc>
        <w:tc>
          <w:tcPr>
            <w:tcW w:type="dxa" w:w="222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Explicit approved milestones</w:t>
            </w:r>
          </w:p>
        </w:tc>
        <w:tc>
          <w:tcPr>
            <w:tcW w:type="dxa" w:w="21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Explicit rule per milestone</w:t>
            </w:r>
          </w:p>
        </w:tc>
        <w:tc>
          <w:tcPr>
            <w:tcW w:type="dxa" w:w="174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Only where no standard template fits</w:t>
            </w:r>
          </w:p>
        </w:tc>
      </w:tr>
    </w:tbl>
    <w:p>
      <w:pPr>
        <w:spacing w:after="40"/>
      </w:pPr>
    </w:p>
    <w:tbl>
      <w:tblPr>
        <w:tblW w:type="dxa" w:w="9360"/>
        <w:tblLayout w:type="fixed"/>
        <w:tblLook w:firstColumn="1" w:firstRow="1" w:lastColumn="0" w:lastRow="0" w:noHBand="0" w:noVBand="1" w:val="04A0"/>
        <w:jc w:val="left"/>
        <w:tblBorders>
          <w:top w:val="single" w:sz="5" w:space="0" w:color="D9D2C5"/>
          <w:left w:val="single" w:sz="5" w:space="0" w:color="D9D2C5"/>
          <w:bottom w:val="single" w:sz="5" w:space="0" w:color="D9D2C5"/>
          <w:right w:val="single" w:sz="5" w:space="0" w:color="D9D2C5"/>
          <w:insideH w:val="single" w:sz="5" w:space="0" w:color="D9D2C5"/>
          <w:insideV w:val="single" w:sz="5" w:space="0" w:color="D9D2C5"/>
        </w:tblBorders>
        <w:tblInd w:w="120" w:type="dxa"/>
      </w:tblPr>
      <w:tblGrid>
        <w:gridCol w:w="9360"/>
      </w:tblGrid>
      <w:tr>
        <w:tc>
          <w:tcPr>
            <w:tcW w:type="dxa" w:w="9360"/>
            <w:shd w:fill="F5EBD7"/>
            <w:vAlign w:val="center"/>
            <w:tcMar>
              <w:top w:w="90" w:type="dxa"/>
              <w:start w:w="120" w:type="dxa"/>
              <w:bottom w:w="90" w:type="dxa"/>
              <w:end w:w="120" w:type="dxa"/>
            </w:tcMar>
          </w:tcPr>
          <w:p>
            <w:pPr>
              <w:spacing w:after="0" w:line="276" w:lineRule="auto"/>
            </w:pPr>
            <w:r>
              <w:rPr>
                <w:rFonts w:ascii="Aptos" w:hAnsi="Aptos"/>
                <w:b/>
                <w:i w:val="0"/>
                <w:color w:val="9A7B55"/>
                <w:sz w:val="22"/>
              </w:rPr>
              <w:t xml:space="preserve">Control rule: </w:t>
            </w:r>
            <w:r>
              <w:rPr>
                <w:rFonts w:ascii="Aptos" w:hAnsi="Aptos"/>
                <w:b w:val="0"/>
                <w:i w:val="0"/>
                <w:color w:val="242320"/>
                <w:sz w:val="22"/>
              </w:rPr>
              <w:t>Every payment template must total 100%. A matched supplier invoice replaces the forecast amount and due date; a paid transaction replaces the invoice in actual cash flow.</w:t>
            </w:r>
          </w:p>
        </w:tc>
      </w:tr>
    </w:tbl>
    <w:p>
      <w:pPr>
        <w:spacing w:after="40"/>
      </w:pPr>
    </w:p>
    <w:p>
      <w:pPr>
        <w:pStyle w:val="Heading1"/>
        <w:keepNext/>
      </w:pPr>
      <w:r>
        <w:t>5. Proposed forecasting logic</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620"/>
        <w:gridCol w:w="2730"/>
        <w:gridCol w:w="6010"/>
      </w:tblGrid>
      <w:tr>
        <w:trPr>
          <w:tblHeader w:val="true"/>
        </w:trPr>
        <w:tc>
          <w:tcPr>
            <w:tcW w:type="dxa" w:w="620"/>
            <w:shd w:fill="ECE7DD"/>
            <w:vAlign w:val="center"/>
            <w:tcMar>
              <w:top w:w="90" w:type="dxa"/>
              <w:start w:w="120" w:type="dxa"/>
              <w:bottom w:w="90" w:type="dxa"/>
              <w:end w:w="120" w:type="dxa"/>
            </w:tcMar>
          </w:tcPr>
          <w:p>
            <w:pPr>
              <w:spacing w:before="0" w:after="0" w:line="259" w:lineRule="auto"/>
              <w:jc w:val="center"/>
            </w:pPr>
            <w:r>
              <w:rPr>
                <w:rFonts w:ascii="Aptos" w:hAnsi="Aptos"/>
                <w:b/>
                <w:i w:val="0"/>
                <w:color w:val="242320"/>
                <w:sz w:val="18"/>
              </w:rPr>
              <w:t>Step</w:t>
            </w:r>
          </w:p>
        </w:tc>
        <w:tc>
          <w:tcPr>
            <w:tcW w:type="dxa" w:w="273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Action</w:t>
            </w:r>
          </w:p>
        </w:tc>
        <w:tc>
          <w:tcPr>
            <w:tcW w:type="dxa" w:w="601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Rule</w:t>
            </w:r>
          </w:p>
        </w:tc>
      </w:tr>
      <w:tr>
        <w:tc>
          <w:tcPr>
            <w:tcW w:type="dxa" w:w="6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1</w:t>
            </w:r>
          </w:p>
        </w:tc>
        <w:tc>
          <w:tcPr>
            <w:tcW w:type="dxa" w:w="273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Start with the approved cost</w:t>
            </w:r>
          </w:p>
        </w:tc>
        <w:tc>
          <w:tcPr>
            <w:tcW w:type="dxa" w:w="60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Estimate, purchase order or current approved FF&amp;E cost</w:t>
            </w:r>
          </w:p>
        </w:tc>
      </w:tr>
      <w:tr>
        <w:tc>
          <w:tcPr>
            <w:tcW w:type="dxa" w:w="6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2</w:t>
            </w:r>
          </w:p>
        </w:tc>
        <w:tc>
          <w:tcPr>
            <w:tcW w:type="dxa" w:w="273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Assign the trade package</w:t>
            </w:r>
          </w:p>
        </w:tc>
        <w:tc>
          <w:tcPr>
            <w:tcW w:type="dxa" w:w="60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For example Plumbing — fit-off</w:t>
            </w:r>
          </w:p>
        </w:tc>
      </w:tr>
      <w:tr>
        <w:tc>
          <w:tcPr>
            <w:tcW w:type="dxa" w:w="6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3</w:t>
            </w:r>
          </w:p>
        </w:tc>
        <w:tc>
          <w:tcPr>
            <w:tcW w:type="dxa" w:w="273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Link to the project programme</w:t>
            </w:r>
          </w:p>
        </w:tc>
        <w:tc>
          <w:tcPr>
            <w:tcW w:type="dxa" w:w="60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Use the actual Timeline stage or milestone, not a copied manual date</w:t>
            </w:r>
          </w:p>
        </w:tc>
      </w:tr>
      <w:tr>
        <w:tc>
          <w:tcPr>
            <w:tcW w:type="dxa" w:w="6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4</w:t>
            </w:r>
          </w:p>
        </w:tc>
        <w:tc>
          <w:tcPr>
            <w:tcW w:type="dxa" w:w="273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Apply the payment template</w:t>
            </w:r>
          </w:p>
        </w:tc>
        <w:tc>
          <w:tcPr>
            <w:tcW w:type="dxa" w:w="60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Split the approved cost across payment milestones</w:t>
            </w:r>
          </w:p>
        </w:tc>
      </w:tr>
      <w:tr>
        <w:tc>
          <w:tcPr>
            <w:tcW w:type="dxa" w:w="6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5</w:t>
            </w:r>
          </w:p>
        </w:tc>
        <w:tc>
          <w:tcPr>
            <w:tcW w:type="dxa" w:w="273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Calculate forecast cash dates</w:t>
            </w:r>
          </w:p>
        </w:tc>
        <w:tc>
          <w:tcPr>
            <w:tcW w:type="dxa" w:w="60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Trigger date, lead time, offset and supplier payment terms</w:t>
            </w:r>
          </w:p>
        </w:tc>
      </w:tr>
      <w:tr>
        <w:tc>
          <w:tcPr>
            <w:tcW w:type="dxa" w:w="62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6</w:t>
            </w:r>
          </w:p>
        </w:tc>
        <w:tc>
          <w:tcPr>
            <w:tcW w:type="dxa" w:w="273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Replace forecast with better evidence</w:t>
            </w:r>
          </w:p>
        </w:tc>
        <w:tc>
          <w:tcPr>
            <w:tcW w:type="dxa" w:w="60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Purchase order → invoice → paid transaction</w:t>
            </w:r>
          </w:p>
        </w:tc>
      </w:tr>
      <w:tr>
        <w:tc>
          <w:tcPr>
            <w:tcW w:type="dxa" w:w="62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8"/>
              </w:rPr>
              <w:t>7</w:t>
            </w:r>
          </w:p>
        </w:tc>
        <w:tc>
          <w:tcPr>
            <w:tcW w:type="dxa" w:w="273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Retain baseline for comparison</w:t>
            </w:r>
          </w:p>
        </w:tc>
        <w:tc>
          <w:tcPr>
            <w:tcW w:type="dxa" w:w="60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Programme and forecast can move without rewriting the approved baseline</w:t>
            </w:r>
          </w:p>
        </w:tc>
      </w:tr>
    </w:tbl>
    <w:p>
      <w:pPr>
        <w:spacing w:after="40"/>
      </w:pPr>
    </w:p>
    <w:p>
      <w:pPr>
        <w:pStyle w:val="Heading1"/>
        <w:keepNext/>
      </w:pPr>
      <w:r>
        <w:t>6. Worked construction examples</w:t>
      </w:r>
    </w:p>
    <w:p>
      <w:pPr>
        <w:spacing w:after="120" w:line="288" w:lineRule="auto"/>
      </w:pPr>
      <w:r>
        <w:rPr>
          <w:rFonts w:ascii="Aptos" w:hAnsi="Aptos"/>
          <w:b w:val="0"/>
          <w:i w:val="0"/>
          <w:color w:val="242320"/>
          <w:sz w:val="22"/>
        </w:rPr>
        <w:t>Use these rows as a discussion starter. Replace them with one recent RESLU job and compare the calculated timing with what actually occurred.</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1510"/>
        <w:gridCol w:w="1050"/>
        <w:gridCol w:w="1700"/>
        <w:gridCol w:w="1770"/>
        <w:gridCol w:w="780"/>
        <w:gridCol w:w="2550"/>
      </w:tblGrid>
      <w:tr>
        <w:trPr>
          <w:tblHeader w:val="true"/>
        </w:trPr>
        <w:tc>
          <w:tcPr>
            <w:tcW w:type="dxa" w:w="151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Cost</w:t>
            </w:r>
          </w:p>
        </w:tc>
        <w:tc>
          <w:tcPr>
            <w:tcW w:type="dxa" w:w="1050"/>
            <w:shd w:fill="ECE7DD"/>
            <w:vAlign w:val="center"/>
            <w:tcMar>
              <w:top w:w="90" w:type="dxa"/>
              <w:start w:w="120" w:type="dxa"/>
              <w:bottom w:w="90" w:type="dxa"/>
              <w:end w:w="120" w:type="dxa"/>
            </w:tcMar>
          </w:tcPr>
          <w:p>
            <w:pPr>
              <w:spacing w:before="0" w:after="0" w:line="259" w:lineRule="auto"/>
              <w:jc w:val="right"/>
            </w:pPr>
            <w:r>
              <w:rPr>
                <w:rFonts w:ascii="Aptos" w:hAnsi="Aptos"/>
                <w:b/>
                <w:i w:val="0"/>
                <w:color w:val="242320"/>
                <w:sz w:val="16"/>
              </w:rPr>
              <w:t>Example value</w:t>
            </w:r>
          </w:p>
        </w:tc>
        <w:tc>
          <w:tcPr>
            <w:tcW w:type="dxa" w:w="17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Trade package</w:t>
            </w:r>
          </w:p>
        </w:tc>
        <w:tc>
          <w:tcPr>
            <w:tcW w:type="dxa" w:w="177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Work stage</w:t>
            </w:r>
          </w:p>
        </w:tc>
        <w:tc>
          <w:tcPr>
            <w:tcW w:type="dxa" w:w="780"/>
            <w:shd w:fill="ECE7DD"/>
            <w:vAlign w:val="center"/>
            <w:tcMar>
              <w:top w:w="90" w:type="dxa"/>
              <w:start w:w="120" w:type="dxa"/>
              <w:bottom w:w="90" w:type="dxa"/>
              <w:end w:w="120" w:type="dxa"/>
            </w:tcMar>
          </w:tcPr>
          <w:p>
            <w:pPr>
              <w:spacing w:before="0" w:after="0" w:line="259" w:lineRule="auto"/>
              <w:jc w:val="center"/>
            </w:pPr>
            <w:r>
              <w:rPr>
                <w:rFonts w:ascii="Aptos" w:hAnsi="Aptos"/>
                <w:b/>
                <w:i w:val="0"/>
                <w:color w:val="242320"/>
                <w:sz w:val="16"/>
              </w:rPr>
              <w:t>Template</w:t>
            </w:r>
          </w:p>
        </w:tc>
        <w:tc>
          <w:tcPr>
            <w:tcW w:type="dxa" w:w="255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6"/>
              </w:rPr>
              <w:t>Illustrative milestones</w:t>
            </w:r>
          </w:p>
        </w:tc>
      </w:tr>
      <w:tr>
        <w:tc>
          <w:tcPr>
            <w:tcW w:type="dxa" w:w="15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Framing labour</w:t>
            </w:r>
          </w:p>
        </w:tc>
        <w:tc>
          <w:tcPr>
            <w:tcW w:type="dxa" w:w="1050"/>
            <w:vAlign w:val="center"/>
            <w:tcMar>
              <w:top w:w="90" w:type="dxa"/>
              <w:start w:w="120" w:type="dxa"/>
              <w:bottom w:w="90" w:type="dxa"/>
              <w:end w:w="120" w:type="dxa"/>
            </w:tcMar>
          </w:tcPr>
          <w:p>
            <w:pPr>
              <w:spacing w:before="0" w:after="0" w:line="259" w:lineRule="auto"/>
              <w:jc w:val="right"/>
            </w:pPr>
            <w:r>
              <w:rPr>
                <w:rFonts w:ascii="Aptos" w:hAnsi="Aptos"/>
                <w:b w:val="0"/>
                <w:i w:val="0"/>
                <w:color w:val="242320"/>
                <w:sz w:val="16"/>
              </w:rPr>
              <w:t>$28,000</w:t>
            </w:r>
          </w:p>
        </w:tc>
        <w:tc>
          <w:tcPr>
            <w:tcW w:type="dxa" w:w="1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Carpentry — first fix</w:t>
            </w:r>
          </w:p>
        </w:tc>
        <w:tc>
          <w:tcPr>
            <w:tcW w:type="dxa" w:w="177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Structural &amp; framing</w:t>
            </w:r>
          </w:p>
        </w:tc>
        <w:tc>
          <w:tcPr>
            <w:tcW w:type="dxa" w:w="78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P4</w:t>
            </w:r>
          </w:p>
        </w:tc>
        <w:tc>
          <w:tcPr>
            <w:tcW w:type="dxa" w:w="25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30% mobilisation; 50% frame progress; 20% frame approved</w:t>
            </w:r>
          </w:p>
        </w:tc>
      </w:tr>
      <w:tr>
        <w:tc>
          <w:tcPr>
            <w:tcW w:type="dxa" w:w="15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Internal doors &amp; trim</w:t>
            </w:r>
          </w:p>
        </w:tc>
        <w:tc>
          <w:tcPr>
            <w:tcW w:type="dxa" w:w="1050"/>
            <w:shd w:fill="F7F5F0"/>
            <w:vAlign w:val="center"/>
            <w:tcMar>
              <w:top w:w="90" w:type="dxa"/>
              <w:start w:w="120" w:type="dxa"/>
              <w:bottom w:w="90" w:type="dxa"/>
              <w:end w:w="120" w:type="dxa"/>
            </w:tcMar>
          </w:tcPr>
          <w:p>
            <w:pPr>
              <w:spacing w:before="0" w:after="0" w:line="259" w:lineRule="auto"/>
              <w:jc w:val="right"/>
            </w:pPr>
            <w:r>
              <w:rPr>
                <w:rFonts w:ascii="Aptos" w:hAnsi="Aptos"/>
                <w:b w:val="0"/>
                <w:i w:val="0"/>
                <w:color w:val="242320"/>
                <w:sz w:val="16"/>
              </w:rPr>
              <w:t>$14,500</w:t>
            </w:r>
          </w:p>
        </w:tc>
        <w:tc>
          <w:tcPr>
            <w:tcW w:type="dxa" w:w="17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Carpentry — second fix</w:t>
            </w:r>
          </w:p>
        </w:tc>
        <w:tc>
          <w:tcPr>
            <w:tcW w:type="dxa" w:w="177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78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P3</w:t>
            </w:r>
          </w:p>
        </w:tc>
        <w:tc>
          <w:tcPr>
            <w:tcW w:type="dxa" w:w="25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50% on order; 50% before delivery</w:t>
            </w:r>
          </w:p>
        </w:tc>
      </w:tr>
      <w:tr>
        <w:tc>
          <w:tcPr>
            <w:tcW w:type="dxa" w:w="15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Plumbing rough-in labour</w:t>
            </w:r>
          </w:p>
        </w:tc>
        <w:tc>
          <w:tcPr>
            <w:tcW w:type="dxa" w:w="1050"/>
            <w:vAlign w:val="center"/>
            <w:tcMar>
              <w:top w:w="90" w:type="dxa"/>
              <w:start w:w="120" w:type="dxa"/>
              <w:bottom w:w="90" w:type="dxa"/>
              <w:end w:w="120" w:type="dxa"/>
            </w:tcMar>
          </w:tcPr>
          <w:p>
            <w:pPr>
              <w:spacing w:before="0" w:after="0" w:line="259" w:lineRule="auto"/>
              <w:jc w:val="right"/>
            </w:pPr>
            <w:r>
              <w:rPr>
                <w:rFonts w:ascii="Aptos" w:hAnsi="Aptos"/>
                <w:b w:val="0"/>
                <w:i w:val="0"/>
                <w:color w:val="242320"/>
                <w:sz w:val="16"/>
              </w:rPr>
              <w:t>$11,000</w:t>
            </w:r>
          </w:p>
        </w:tc>
        <w:tc>
          <w:tcPr>
            <w:tcW w:type="dxa" w:w="1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Plumbing — rough-in</w:t>
            </w:r>
          </w:p>
        </w:tc>
        <w:tc>
          <w:tcPr>
            <w:tcW w:type="dxa" w:w="177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Services rough-in</w:t>
            </w:r>
          </w:p>
        </w:tc>
        <w:tc>
          <w:tcPr>
            <w:tcW w:type="dxa" w:w="78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P1</w:t>
            </w:r>
          </w:p>
        </w:tc>
        <w:tc>
          <w:tcPr>
            <w:tcW w:type="dxa" w:w="25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100% when rough-in is complete, then supplier terms</w:t>
            </w:r>
          </w:p>
        </w:tc>
      </w:tr>
      <w:tr>
        <w:tc>
          <w:tcPr>
            <w:tcW w:type="dxa" w:w="15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Tapware package</w:t>
            </w:r>
          </w:p>
        </w:tc>
        <w:tc>
          <w:tcPr>
            <w:tcW w:type="dxa" w:w="1050"/>
            <w:shd w:fill="F7F5F0"/>
            <w:vAlign w:val="center"/>
            <w:tcMar>
              <w:top w:w="90" w:type="dxa"/>
              <w:start w:w="120" w:type="dxa"/>
              <w:bottom w:w="90" w:type="dxa"/>
              <w:end w:w="120" w:type="dxa"/>
            </w:tcMar>
          </w:tcPr>
          <w:p>
            <w:pPr>
              <w:spacing w:before="0" w:after="0" w:line="259" w:lineRule="auto"/>
              <w:jc w:val="right"/>
            </w:pPr>
            <w:r>
              <w:rPr>
                <w:rFonts w:ascii="Aptos" w:hAnsi="Aptos"/>
                <w:b w:val="0"/>
                <w:i w:val="0"/>
                <w:color w:val="242320"/>
                <w:sz w:val="16"/>
              </w:rPr>
              <w:t>$9,800</w:t>
            </w:r>
          </w:p>
        </w:tc>
        <w:tc>
          <w:tcPr>
            <w:tcW w:type="dxa" w:w="17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Plumbing — fit-off</w:t>
            </w:r>
          </w:p>
        </w:tc>
        <w:tc>
          <w:tcPr>
            <w:tcW w:type="dxa" w:w="177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78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P5</w:t>
            </w:r>
          </w:p>
        </w:tc>
        <w:tc>
          <w:tcPr>
            <w:tcW w:type="dxa" w:w="25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100% paid when ordered; work stage remains fit-off</w:t>
            </w:r>
          </w:p>
        </w:tc>
      </w:tr>
      <w:tr>
        <w:tc>
          <w:tcPr>
            <w:tcW w:type="dxa" w:w="151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Custom joinery</w:t>
            </w:r>
          </w:p>
        </w:tc>
        <w:tc>
          <w:tcPr>
            <w:tcW w:type="dxa" w:w="1050"/>
            <w:vAlign w:val="center"/>
            <w:tcMar>
              <w:top w:w="90" w:type="dxa"/>
              <w:start w:w="120" w:type="dxa"/>
              <w:bottom w:w="90" w:type="dxa"/>
              <w:end w:w="120" w:type="dxa"/>
            </w:tcMar>
          </w:tcPr>
          <w:p>
            <w:pPr>
              <w:spacing w:before="0" w:after="0" w:line="259" w:lineRule="auto"/>
              <w:jc w:val="right"/>
            </w:pPr>
            <w:r>
              <w:rPr>
                <w:rFonts w:ascii="Aptos" w:hAnsi="Aptos"/>
                <w:b w:val="0"/>
                <w:i w:val="0"/>
                <w:color w:val="242320"/>
                <w:sz w:val="16"/>
              </w:rPr>
              <w:t>$52,000</w:t>
            </w:r>
          </w:p>
        </w:tc>
        <w:tc>
          <w:tcPr>
            <w:tcW w:type="dxa" w:w="17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Joinery</w:t>
            </w:r>
          </w:p>
        </w:tc>
        <w:tc>
          <w:tcPr>
            <w:tcW w:type="dxa" w:w="177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Joinery &amp; fixed elements</w:t>
            </w:r>
          </w:p>
        </w:tc>
        <w:tc>
          <w:tcPr>
            <w:tcW w:type="dxa" w:w="78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P4</w:t>
            </w:r>
          </w:p>
        </w:tc>
        <w:tc>
          <w:tcPr>
            <w:tcW w:type="dxa" w:w="25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10% design; 40% manufacture; 40% before delivery; 10% completion</w:t>
            </w:r>
          </w:p>
        </w:tc>
      </w:tr>
      <w:tr>
        <w:tc>
          <w:tcPr>
            <w:tcW w:type="dxa" w:w="151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Electrical fit-off</w:t>
            </w:r>
          </w:p>
        </w:tc>
        <w:tc>
          <w:tcPr>
            <w:tcW w:type="dxa" w:w="1050"/>
            <w:shd w:fill="F7F5F0"/>
            <w:vAlign w:val="center"/>
            <w:tcMar>
              <w:top w:w="90" w:type="dxa"/>
              <w:start w:w="120" w:type="dxa"/>
              <w:bottom w:w="90" w:type="dxa"/>
              <w:end w:w="120" w:type="dxa"/>
            </w:tcMar>
          </w:tcPr>
          <w:p>
            <w:pPr>
              <w:spacing w:before="0" w:after="0" w:line="259" w:lineRule="auto"/>
              <w:jc w:val="right"/>
            </w:pPr>
            <w:r>
              <w:rPr>
                <w:rFonts w:ascii="Aptos" w:hAnsi="Aptos"/>
                <w:b w:val="0"/>
                <w:i w:val="0"/>
                <w:color w:val="242320"/>
                <w:sz w:val="16"/>
              </w:rPr>
              <w:t>$8,500</w:t>
            </w:r>
          </w:p>
        </w:tc>
        <w:tc>
          <w:tcPr>
            <w:tcW w:type="dxa" w:w="17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Electrical — fit-off</w:t>
            </w:r>
          </w:p>
        </w:tc>
        <w:tc>
          <w:tcPr>
            <w:tcW w:type="dxa" w:w="177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Fit-off / second fix</w:t>
            </w:r>
          </w:p>
        </w:tc>
        <w:tc>
          <w:tcPr>
            <w:tcW w:type="dxa" w:w="78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6"/>
              </w:rPr>
              <w:t>P1</w:t>
            </w:r>
          </w:p>
        </w:tc>
        <w:tc>
          <w:tcPr>
            <w:tcW w:type="dxa" w:w="25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6"/>
              </w:rPr>
              <w:t>100% on completion, then supplier terms</w:t>
            </w:r>
          </w:p>
        </w:tc>
      </w:tr>
    </w:tbl>
    <w:p>
      <w:pPr>
        <w:spacing w:after="40"/>
      </w:pPr>
    </w:p>
    <w:p>
      <w:pPr>
        <w:pStyle w:val="Heading1"/>
        <w:keepNext/>
      </w:pPr>
      <w:r>
        <w:t>7. Decisions to make before Spec changes</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430"/>
        <w:gridCol w:w="4850"/>
        <w:gridCol w:w="4080"/>
      </w:tblGrid>
      <w:tr>
        <w:trPr>
          <w:tblHeader w:val="true"/>
        </w:trPr>
        <w:tc>
          <w:tcPr>
            <w:tcW w:type="dxa" w:w="430"/>
            <w:shd w:fill="ECE7DD"/>
            <w:vAlign w:val="center"/>
            <w:tcMar>
              <w:top w:w="90" w:type="dxa"/>
              <w:start w:w="120" w:type="dxa"/>
              <w:bottom w:w="90" w:type="dxa"/>
              <w:end w:w="120" w:type="dxa"/>
            </w:tcMar>
          </w:tcPr>
          <w:p>
            <w:pPr>
              <w:spacing w:before="0" w:after="0" w:line="259" w:lineRule="auto"/>
              <w:jc w:val="center"/>
            </w:pPr>
            <w:r>
              <w:rPr>
                <w:rFonts w:ascii="Aptos" w:hAnsi="Aptos"/>
                <w:b/>
                <w:i w:val="0"/>
                <w:color w:val="242320"/>
                <w:sz w:val="19"/>
              </w:rPr>
            </w:r>
          </w:p>
        </w:tc>
        <w:tc>
          <w:tcPr>
            <w:tcW w:type="dxa" w:w="485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9"/>
              </w:rPr>
              <w:t>Decision to confirm</w:t>
            </w:r>
          </w:p>
        </w:tc>
        <w:tc>
          <w:tcPr>
            <w:tcW w:type="dxa" w:w="408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9"/>
              </w:rPr>
              <w:t>Notes / agreed rule</w:t>
            </w:r>
          </w:p>
        </w:tc>
      </w:tr>
      <w:tr>
        <w:tc>
          <w:tcPr>
            <w:tcW w:type="dxa" w:w="43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the final construction stage names and order.</w:t>
            </w:r>
          </w:p>
        </w:tc>
        <w:tc>
          <w:tcPr>
            <w:tcW w:type="dxa" w:w="408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whether External works is a standard stage or only added when relevant.</w:t>
            </w:r>
          </w:p>
        </w:tc>
        <w:tc>
          <w:tcPr>
            <w:tcW w:type="dxa" w:w="408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the complete list of trade packages and who owns each mapping.</w:t>
            </w:r>
          </w:p>
        </w:tc>
        <w:tc>
          <w:tcPr>
            <w:tcW w:type="dxa" w:w="408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Agree whether Carpentry first fix and Carpentry second fix are separate packages on every job.</w:t>
            </w:r>
          </w:p>
        </w:tc>
        <w:tc>
          <w:tcPr>
            <w:tcW w:type="dxa" w:w="408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the default payment template for each trade package.</w:t>
            </w:r>
          </w:p>
        </w:tc>
        <w:tc>
          <w:tcPr>
            <w:tcW w:type="dxa" w:w="408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Agree the default supplier payment terms and whether terms can vary by supplier.</w:t>
            </w:r>
          </w:p>
        </w:tc>
        <w:tc>
          <w:tcPr>
            <w:tcW w:type="dxa" w:w="408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Agree which event drives each milestone: order, stage start, stage completion, delivery or installation.</w:t>
            </w:r>
          </w:p>
        </w:tc>
        <w:tc>
          <w:tcPr>
            <w:tcW w:type="dxa" w:w="408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Agree how lead time changes the order and deposit forecast dates.</w:t>
            </w:r>
          </w:p>
        </w:tc>
        <w:tc>
          <w:tcPr>
            <w:tcW w:type="dxa" w:w="408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how variations enter the baseline and current forecast.</w:t>
            </w:r>
          </w:p>
        </w:tc>
        <w:tc>
          <w:tcPr>
            <w:tcW w:type="dxa" w:w="408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when supplier invoices replace forecast milestones.</w:t>
            </w:r>
          </w:p>
        </w:tc>
        <w:tc>
          <w:tcPr>
            <w:tcW w:type="dxa" w:w="408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Confirm the minimum information required before a cost is allowed into the forecast.</w:t>
            </w:r>
          </w:p>
        </w:tc>
        <w:tc>
          <w:tcPr>
            <w:tcW w:type="dxa" w:w="408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r>
        <w:tc>
          <w:tcPr>
            <w:tcW w:type="dxa" w:w="430"/>
            <w:shd w:fill="F7F5F0"/>
            <w:vAlign w:val="center"/>
            <w:tcMar>
              <w:top w:w="90" w:type="dxa"/>
              <w:start w:w="120" w:type="dxa"/>
              <w:bottom w:w="90" w:type="dxa"/>
              <w:end w:w="120" w:type="dxa"/>
            </w:tcMar>
          </w:tcPr>
          <w:p>
            <w:pPr>
              <w:spacing w:before="0" w:after="0" w:line="259" w:lineRule="auto"/>
              <w:jc w:val="center"/>
            </w:pPr>
            <w:r>
              <w:rPr>
                <w:rFonts w:ascii="Aptos" w:hAnsi="Aptos"/>
                <w:b w:val="0"/>
                <w:i w:val="0"/>
                <w:color w:val="242320"/>
                <w:sz w:val="19"/>
              </w:rPr>
              <w:t>☐</w:t>
            </w:r>
          </w:p>
        </w:tc>
        <w:tc>
          <w:tcPr>
            <w:tcW w:type="dxa" w:w="485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t>Test the framework against one completed job and one current construction job.</w:t>
            </w:r>
          </w:p>
        </w:tc>
        <w:tc>
          <w:tcPr>
            <w:tcW w:type="dxa" w:w="408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9"/>
              </w:rPr>
            </w:r>
          </w:p>
        </w:tc>
      </w:tr>
    </w:tbl>
    <w:p>
      <w:pPr>
        <w:spacing w:after="40"/>
      </w:pPr>
    </w:p>
    <w:p>
      <w:pPr>
        <w:pStyle w:val="Heading1"/>
        <w:keepNext/>
      </w:pPr>
      <w:r>
        <w:t>8. Minimum data needed in Spec</w:t>
      </w:r>
    </w:p>
    <w:p>
      <w:pPr>
        <w:spacing w:after="120" w:line="288" w:lineRule="auto"/>
      </w:pPr>
      <w:r>
        <w:rPr>
          <w:rFonts w:ascii="Aptos" w:hAnsi="Aptos"/>
          <w:b w:val="0"/>
          <w:i w:val="0"/>
          <w:color w:val="242320"/>
          <w:sz w:val="22"/>
        </w:rPr>
        <w:t>This section is deliberately a future implementation brief, not an instruction to change the system yet.</w:t>
      </w:r>
    </w:p>
    <w:tbl>
      <w:tblPr>
        <w:tblW w:type="dxa" w:w="9360"/>
        <w:tblLayout w:type="fixed"/>
        <w:tblLook w:firstColumn="1" w:firstRow="1" w:lastColumn="0" w:lastRow="0" w:noHBand="0" w:noVBand="1" w:val="04A0"/>
        <w:jc w:val="left"/>
        <w:tblBorders>
          <w:top w:val="single" w:sz="6" w:space="0" w:color="D9D2C5"/>
          <w:left w:val="single" w:sz="6" w:space="0" w:color="D9D2C5"/>
          <w:bottom w:val="single" w:sz="6" w:space="0" w:color="D9D2C5"/>
          <w:right w:val="single" w:sz="6" w:space="0" w:color="D9D2C5"/>
          <w:insideH w:val="single" w:sz="6" w:space="0" w:color="D9D2C5"/>
          <w:insideV w:val="single" w:sz="6" w:space="0" w:color="D9D2C5"/>
        </w:tblBorders>
        <w:tblInd w:w="120" w:type="dxa"/>
      </w:tblPr>
      <w:tblGrid>
        <w:gridCol w:w="1900"/>
        <w:gridCol w:w="3500"/>
        <w:gridCol w:w="3960"/>
      </w:tblGrid>
      <w:tr>
        <w:trPr>
          <w:tblHeader w:val="true"/>
        </w:trPr>
        <w:tc>
          <w:tcPr>
            <w:tcW w:type="dxa" w:w="19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Field</w:t>
            </w:r>
          </w:p>
        </w:tc>
        <w:tc>
          <w:tcPr>
            <w:tcW w:type="dxa" w:w="350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Meaning</w:t>
            </w:r>
          </w:p>
        </w:tc>
        <w:tc>
          <w:tcPr>
            <w:tcW w:type="dxa" w:w="3960"/>
            <w:shd w:fill="ECE7DD"/>
            <w:vAlign w:val="center"/>
            <w:tcMar>
              <w:top w:w="90" w:type="dxa"/>
              <w:start w:w="120" w:type="dxa"/>
              <w:bottom w:w="90" w:type="dxa"/>
              <w:end w:w="120" w:type="dxa"/>
            </w:tcMar>
          </w:tcPr>
          <w:p>
            <w:pPr>
              <w:spacing w:before="0" w:after="0" w:line="259" w:lineRule="auto"/>
              <w:jc w:val="left"/>
            </w:pPr>
            <w:r>
              <w:rPr>
                <w:rFonts w:ascii="Aptos" w:hAnsi="Aptos"/>
                <w:b/>
                <w:i w:val="0"/>
                <w:color w:val="242320"/>
                <w:sz w:val="18"/>
              </w:rPr>
              <w:t>Design intent</w:t>
            </w:r>
          </w:p>
        </w:tc>
      </w:tr>
      <w:tr>
        <w:tc>
          <w:tcPr>
            <w:tcW w:type="dxa" w:w="19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Cost source</w:t>
            </w:r>
          </w:p>
        </w:tc>
        <w:tc>
          <w:tcPr>
            <w:tcW w:type="dxa" w:w="35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Estimate line, trade package or FF&amp;E item</w:t>
            </w:r>
          </w:p>
        </w:tc>
        <w:tc>
          <w:tcPr>
            <w:tcW w:type="dxa" w:w="39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Already mostly available</w:t>
            </w:r>
          </w:p>
        </w:tc>
      </w:tr>
      <w:tr>
        <w:tc>
          <w:tcPr>
            <w:tcW w:type="dxa" w:w="19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Trade package</w:t>
            </w:r>
          </w:p>
        </w:tc>
        <w:tc>
          <w:tcPr>
            <w:tcW w:type="dxa" w:w="35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Controlled RESLU list</w:t>
            </w:r>
          </w:p>
        </w:tc>
        <w:tc>
          <w:tcPr>
            <w:tcW w:type="dxa" w:w="39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New shared classification</w:t>
            </w:r>
          </w:p>
        </w:tc>
      </w:tr>
      <w:tr>
        <w:tc>
          <w:tcPr>
            <w:tcW w:type="dxa" w:w="19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Programme link</w:t>
            </w:r>
          </w:p>
        </w:tc>
        <w:tc>
          <w:tcPr>
            <w:tcW w:type="dxa" w:w="35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Construction stage or milestone ID</w:t>
            </w:r>
          </w:p>
        </w:tc>
        <w:tc>
          <w:tcPr>
            <w:tcW w:type="dxa" w:w="39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Reuse Timeline; do not duplicate dates</w:t>
            </w:r>
          </w:p>
        </w:tc>
      </w:tr>
      <w:tr>
        <w:tc>
          <w:tcPr>
            <w:tcW w:type="dxa" w:w="19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Payment template</w:t>
            </w:r>
          </w:p>
        </w:tc>
        <w:tc>
          <w:tcPr>
            <w:tcW w:type="dxa" w:w="35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P1–P8 or later approved set</w:t>
            </w:r>
          </w:p>
        </w:tc>
        <w:tc>
          <w:tcPr>
            <w:tcW w:type="dxa" w:w="39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New standard selector</w:t>
            </w:r>
          </w:p>
        </w:tc>
      </w:tr>
      <w:tr>
        <w:tc>
          <w:tcPr>
            <w:tcW w:type="dxa" w:w="19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Payment milestones</w:t>
            </w:r>
          </w:p>
        </w:tc>
        <w:tc>
          <w:tcPr>
            <w:tcW w:type="dxa" w:w="35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Percentage, trigger, offset and terms</w:t>
            </w:r>
          </w:p>
        </w:tc>
        <w:tc>
          <w:tcPr>
            <w:tcW w:type="dxa" w:w="39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Generated from template; override by exception</w:t>
            </w:r>
          </w:p>
        </w:tc>
      </w:tr>
      <w:tr>
        <w:tc>
          <w:tcPr>
            <w:tcW w:type="dxa" w:w="19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Evidence state</w:t>
            </w:r>
          </w:p>
        </w:tc>
        <w:tc>
          <w:tcPr>
            <w:tcW w:type="dxa" w:w="350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Forecast, committed, invoiced or paid</w:t>
            </w:r>
          </w:p>
        </w:tc>
        <w:tc>
          <w:tcPr>
            <w:tcW w:type="dxa" w:w="3960"/>
            <w:shd w:fill="F7F5F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Allows better evidence to supersede forecast</w:t>
            </w:r>
          </w:p>
        </w:tc>
      </w:tr>
      <w:tr>
        <w:tc>
          <w:tcPr>
            <w:tcW w:type="dxa" w:w="19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Baseline reference</w:t>
            </w:r>
          </w:p>
        </w:tc>
        <w:tc>
          <w:tcPr>
            <w:tcW w:type="dxa" w:w="350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Approved estimate / contract version</w:t>
            </w:r>
          </w:p>
        </w:tc>
        <w:tc>
          <w:tcPr>
            <w:tcW w:type="dxa" w:w="3960"/>
            <w:vAlign w:val="center"/>
            <w:tcMar>
              <w:top w:w="90" w:type="dxa"/>
              <w:start w:w="120" w:type="dxa"/>
              <w:bottom w:w="90" w:type="dxa"/>
              <w:end w:w="120" w:type="dxa"/>
            </w:tcMar>
          </w:tcPr>
          <w:p>
            <w:pPr>
              <w:spacing w:before="0" w:after="0" w:line="259" w:lineRule="auto"/>
              <w:jc w:val="left"/>
            </w:pPr>
            <w:r>
              <w:rPr>
                <w:rFonts w:ascii="Aptos" w:hAnsi="Aptos"/>
                <w:b w:val="0"/>
                <w:i w:val="0"/>
                <w:color w:val="242320"/>
                <w:sz w:val="18"/>
              </w:rPr>
              <w:t>Retains variance history</w:t>
            </w:r>
          </w:p>
        </w:tc>
      </w:tr>
    </w:tbl>
    <w:p>
      <w:pPr>
        <w:spacing w:after="40"/>
      </w:pPr>
    </w:p>
    <w:p>
      <w:pPr>
        <w:pStyle w:val="Heading1"/>
        <w:keepNext/>
      </w:pPr>
      <w:r>
        <w:t>9. Workshop notes</w:t>
      </w:r>
    </w:p>
    <w:p>
      <w:pPr>
        <w:spacing w:before="100" w:after="40"/>
      </w:pPr>
      <w:r>
        <w:rPr>
          <w:rFonts w:ascii="Aptos" w:hAnsi="Aptos"/>
          <w:b/>
          <w:i w:val="0"/>
          <w:color w:val="4A4945"/>
          <w:sz w:val="22"/>
        </w:rPr>
        <w:t>Stage changes:</w:t>
      </w:r>
    </w:p>
    <w:p>
      <w:pPr>
        <w:spacing w:after="40"/>
      </w:pPr>
      <w:r>
        <w:rPr>
          <w:rFonts w:ascii="Aptos" w:hAnsi="Aptos"/>
          <w:b w:val="0"/>
          <w:i w:val="0"/>
          <w:color w:val="D9D2C5"/>
          <w:sz w:val="18"/>
        </w:rPr>
        <w:t>________________________________________________________________________________</w:t>
      </w:r>
    </w:p>
    <w:p>
      <w:pPr>
        <w:spacing w:after="40"/>
      </w:pPr>
      <w:r>
        <w:rPr>
          <w:rFonts w:ascii="Aptos" w:hAnsi="Aptos"/>
          <w:b w:val="0"/>
          <w:i w:val="0"/>
          <w:color w:val="D9D2C5"/>
          <w:sz w:val="18"/>
        </w:rPr>
        <w:t>________________________________________________________________________________</w:t>
      </w:r>
    </w:p>
    <w:p>
      <w:pPr>
        <w:spacing w:before="100" w:after="40"/>
      </w:pPr>
      <w:r>
        <w:rPr>
          <w:rFonts w:ascii="Aptos" w:hAnsi="Aptos"/>
          <w:b/>
          <w:i w:val="0"/>
          <w:color w:val="4A4945"/>
          <w:sz w:val="22"/>
        </w:rPr>
        <w:t>Trade-package changes:</w:t>
      </w:r>
    </w:p>
    <w:p>
      <w:pPr>
        <w:spacing w:after="40"/>
      </w:pPr>
      <w:r>
        <w:rPr>
          <w:rFonts w:ascii="Aptos" w:hAnsi="Aptos"/>
          <w:b w:val="0"/>
          <w:i w:val="0"/>
          <w:color w:val="D9D2C5"/>
          <w:sz w:val="18"/>
        </w:rPr>
        <w:t>________________________________________________________________________________</w:t>
      </w:r>
    </w:p>
    <w:p>
      <w:pPr>
        <w:spacing w:after="40"/>
      </w:pPr>
      <w:r>
        <w:rPr>
          <w:rFonts w:ascii="Aptos" w:hAnsi="Aptos"/>
          <w:b w:val="0"/>
          <w:i w:val="0"/>
          <w:color w:val="D9D2C5"/>
          <w:sz w:val="18"/>
        </w:rPr>
        <w:t>________________________________________________________________________________</w:t>
      </w:r>
    </w:p>
    <w:p>
      <w:pPr>
        <w:spacing w:before="100" w:after="40"/>
      </w:pPr>
      <w:r>
        <w:rPr>
          <w:rFonts w:ascii="Aptos" w:hAnsi="Aptos"/>
          <w:b/>
          <w:i w:val="0"/>
          <w:color w:val="4A4945"/>
          <w:sz w:val="22"/>
        </w:rPr>
        <w:t>Payment-template changes:</w:t>
      </w:r>
    </w:p>
    <w:p>
      <w:pPr>
        <w:spacing w:after="40"/>
      </w:pPr>
      <w:r>
        <w:rPr>
          <w:rFonts w:ascii="Aptos" w:hAnsi="Aptos"/>
          <w:b w:val="0"/>
          <w:i w:val="0"/>
          <w:color w:val="D9D2C5"/>
          <w:sz w:val="18"/>
        </w:rPr>
        <w:t>________________________________________________________________________________</w:t>
      </w:r>
    </w:p>
    <w:p>
      <w:pPr>
        <w:spacing w:after="40"/>
      </w:pPr>
      <w:r>
        <w:rPr>
          <w:rFonts w:ascii="Aptos" w:hAnsi="Aptos"/>
          <w:b w:val="0"/>
          <w:i w:val="0"/>
          <w:color w:val="D9D2C5"/>
          <w:sz w:val="18"/>
        </w:rPr>
        <w:t>________________________________________________________________________________</w:t>
      </w:r>
    </w:p>
    <w:p>
      <w:pPr>
        <w:spacing w:before="100" w:after="40"/>
      </w:pPr>
      <w:r>
        <w:rPr>
          <w:rFonts w:ascii="Aptos" w:hAnsi="Aptos"/>
          <w:b/>
          <w:i w:val="0"/>
          <w:color w:val="4A4945"/>
          <w:sz w:val="22"/>
        </w:rPr>
        <w:t>Exceptions we see repeatedly:</w:t>
      </w:r>
    </w:p>
    <w:p>
      <w:pPr>
        <w:spacing w:after="40"/>
      </w:pPr>
      <w:r>
        <w:rPr>
          <w:rFonts w:ascii="Aptos" w:hAnsi="Aptos"/>
          <w:b w:val="0"/>
          <w:i w:val="0"/>
          <w:color w:val="D9D2C5"/>
          <w:sz w:val="18"/>
        </w:rPr>
        <w:t>________________________________________________________________________________</w:t>
      </w:r>
    </w:p>
    <w:p>
      <w:pPr>
        <w:spacing w:after="40"/>
      </w:pPr>
      <w:r>
        <w:rPr>
          <w:rFonts w:ascii="Aptos" w:hAnsi="Aptos"/>
          <w:b w:val="0"/>
          <w:i w:val="0"/>
          <w:color w:val="D9D2C5"/>
          <w:sz w:val="18"/>
        </w:rPr>
        <w:t>________________________________________________________________________________</w:t>
      </w:r>
    </w:p>
    <w:p>
      <w:pPr>
        <w:spacing w:before="100" w:after="40"/>
      </w:pPr>
      <w:r>
        <w:rPr>
          <w:rFonts w:ascii="Aptos" w:hAnsi="Aptos"/>
          <w:b/>
          <w:i w:val="0"/>
          <w:color w:val="4A4945"/>
          <w:sz w:val="22"/>
        </w:rPr>
        <w:t>Rules approved for a real-job test:</w:t>
      </w:r>
    </w:p>
    <w:p>
      <w:pPr>
        <w:spacing w:after="40"/>
      </w:pPr>
      <w:r>
        <w:rPr>
          <w:rFonts w:ascii="Aptos" w:hAnsi="Aptos"/>
          <w:b w:val="0"/>
          <w:i w:val="0"/>
          <w:color w:val="D9D2C5"/>
          <w:sz w:val="18"/>
        </w:rPr>
        <w:t>________________________________________________________________________________</w:t>
      </w:r>
    </w:p>
    <w:p>
      <w:pPr>
        <w:spacing w:after="40"/>
      </w:pPr>
      <w:r>
        <w:rPr>
          <w:rFonts w:ascii="Aptos" w:hAnsi="Aptos"/>
          <w:b w:val="0"/>
          <w:i w:val="0"/>
          <w:color w:val="D9D2C5"/>
          <w:sz w:val="18"/>
        </w:rPr>
        <w:t>________________________________________________________________________________</w:t>
      </w:r>
    </w:p>
    <w:tbl>
      <w:tblPr>
        <w:tblW w:type="dxa" w:w="9360"/>
        <w:tblLayout w:type="fixed"/>
        <w:tblLook w:firstColumn="1" w:firstRow="1" w:lastColumn="0" w:lastRow="0" w:noHBand="0" w:noVBand="1" w:val="04A0"/>
        <w:jc w:val="left"/>
        <w:tblBorders>
          <w:top w:val="single" w:sz="5" w:space="0" w:color="D9D2C5"/>
          <w:left w:val="single" w:sz="5" w:space="0" w:color="D9D2C5"/>
          <w:bottom w:val="single" w:sz="5" w:space="0" w:color="D9D2C5"/>
          <w:right w:val="single" w:sz="5" w:space="0" w:color="D9D2C5"/>
          <w:insideH w:val="single" w:sz="5" w:space="0" w:color="D9D2C5"/>
          <w:insideV w:val="single" w:sz="5" w:space="0" w:color="D9D2C5"/>
        </w:tblBorders>
        <w:tblInd w:w="120" w:type="dxa"/>
      </w:tblPr>
      <w:tblGrid>
        <w:gridCol w:w="9360"/>
      </w:tblGrid>
      <w:tr>
        <w:tc>
          <w:tcPr>
            <w:tcW w:type="dxa" w:w="9360"/>
            <w:shd w:fill="E7EFE5"/>
            <w:vAlign w:val="center"/>
            <w:tcMar>
              <w:top w:w="90" w:type="dxa"/>
              <w:start w:w="120" w:type="dxa"/>
              <w:bottom w:w="90" w:type="dxa"/>
              <w:end w:w="120" w:type="dxa"/>
            </w:tcMar>
          </w:tcPr>
          <w:p>
            <w:pPr>
              <w:spacing w:after="0" w:line="276" w:lineRule="auto"/>
            </w:pPr>
            <w:r>
              <w:rPr>
                <w:rFonts w:ascii="Aptos" w:hAnsi="Aptos"/>
                <w:b/>
                <w:i w:val="0"/>
                <w:color w:val="9A7B55"/>
                <w:sz w:val="22"/>
              </w:rPr>
              <w:t xml:space="preserve">Exit criterion: </w:t>
            </w:r>
            <w:r>
              <w:rPr>
                <w:rFonts w:ascii="Aptos" w:hAnsi="Aptos"/>
                <w:b w:val="0"/>
                <w:i w:val="0"/>
                <w:color w:val="242320"/>
                <w:sz w:val="22"/>
              </w:rPr>
              <w:t>Do not automate the framework until a real-job test produces a cash forecast that the team would have trusted without manual re-dating.</w:t>
            </w:r>
          </w:p>
        </w:tc>
      </w:tr>
    </w:tbl>
    <w:p>
      <w:pPr>
        <w:spacing w:after="40"/>
      </w:pP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4A4945"/>
        <w:sz w:val="16"/>
      </w:rPr>
      <w:t xml:space="preserve">Working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4A4945"/>
        <w:sz w:val="16"/>
      </w:rPr>
      <w:t>RESLU  |  CONSTRUCTION CASH-FLOW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2423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9A7B5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9A7B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A49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RESLU Construction Job Cycle and Cash-Flow Framework</dc:title>
  <dc:subject>Editable workshop framework for construction stages, trade packages and payment timing</dc:subject>
  <dc:creator>RESLU</dc:creator>
  <cp:keywords>construction, cash flow, job cycle, trades, payments, FF&amp;E</cp:keywords>
  <dc:description>generated by python-docx</dc:description>
  <cp:lastModifiedBy/>
  <cp:revision>1</cp:revision>
  <dcterms:created xsi:type="dcterms:W3CDTF">2013-12-23T23:15:00Z</dcterms:created>
  <dcterms:modified xsi:type="dcterms:W3CDTF">2013-12-23T23:15:00Z</dcterms:modified>
  <cp:category/>
</cp:coreProperties>
</file>