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30D2" w:rsidRPr="002D4E07" w:rsidRDefault="007530D2" w:rsidP="007530D2">
      <w:pPr>
        <w:keepNext/>
        <w:spacing w:after="72" w:line="240" w:lineRule="atLeast"/>
        <w:outlineLvl w:val="0"/>
        <w:rPr>
          <w:b/>
          <w:sz w:val="28"/>
          <w:szCs w:val="34"/>
          <w:u w:val="single"/>
        </w:rPr>
      </w:pPr>
      <w:bookmarkStart w:id="0" w:name="_Toc468874101"/>
      <w:r>
        <w:rPr>
          <w:b/>
          <w:sz w:val="28"/>
          <w:szCs w:val="34"/>
          <w:u w:val="single"/>
        </w:rPr>
        <w:t xml:space="preserve">Universal </w:t>
      </w:r>
      <w:r w:rsidRPr="002D4E07">
        <w:rPr>
          <w:b/>
          <w:sz w:val="28"/>
          <w:szCs w:val="34"/>
          <w:u w:val="single"/>
        </w:rPr>
        <w:t>Big Data ETL</w:t>
      </w:r>
      <w:bookmarkEnd w:id="0"/>
      <w:r>
        <w:rPr>
          <w:b/>
          <w:sz w:val="28"/>
          <w:szCs w:val="34"/>
          <w:u w:val="single"/>
        </w:rPr>
        <w:t xml:space="preserve"> Platform</w:t>
      </w:r>
    </w:p>
    <w:p w:rsidR="007530D2" w:rsidRPr="002D4E07" w:rsidRDefault="007530D2" w:rsidP="007530D2">
      <w:pPr>
        <w:spacing w:after="160" w:line="220" w:lineRule="atLeast"/>
        <w:rPr>
          <w:szCs w:val="18"/>
        </w:rPr>
      </w:pPr>
    </w:p>
    <w:p w:rsidR="007530D2" w:rsidRPr="002D4E07" w:rsidRDefault="007530D2" w:rsidP="007530D2">
      <w:pPr>
        <w:keepNext/>
        <w:autoSpaceDE w:val="0"/>
        <w:autoSpaceDN w:val="0"/>
        <w:adjustRightInd w:val="0"/>
        <w:outlineLvl w:val="1"/>
        <w:rPr>
          <w:rFonts w:ascii="Arial Bold" w:hAnsi="Arial Bold"/>
          <w:b/>
          <w:sz w:val="24"/>
          <w:szCs w:val="20"/>
        </w:rPr>
      </w:pPr>
      <w:bookmarkStart w:id="1" w:name="_Toc468874102"/>
      <w:r w:rsidRPr="002D4E07">
        <w:rPr>
          <w:rFonts w:ascii="Arial Bold" w:hAnsi="Arial Bold"/>
          <w:b/>
          <w:sz w:val="24"/>
          <w:szCs w:val="20"/>
        </w:rPr>
        <w:t>Introduction</w:t>
      </w:r>
      <w:bookmarkEnd w:id="1"/>
      <w:r w:rsidRPr="002D4E07">
        <w:rPr>
          <w:rFonts w:ascii="Arial Bold" w:hAnsi="Arial Bold"/>
          <w:b/>
          <w:sz w:val="24"/>
          <w:szCs w:val="20"/>
        </w:rPr>
        <w:t xml:space="preserve"> </w:t>
      </w:r>
    </w:p>
    <w:p w:rsidR="007530D2" w:rsidRPr="002D4E07" w:rsidRDefault="007530D2" w:rsidP="007530D2">
      <w:pPr>
        <w:spacing w:after="160" w:line="220" w:lineRule="atLeast"/>
        <w:rPr>
          <w:szCs w:val="18"/>
        </w:rPr>
      </w:pPr>
    </w:p>
    <w:p w:rsidR="007530D2" w:rsidRDefault="007530D2" w:rsidP="007530D2">
      <w:pPr>
        <w:spacing w:after="160" w:line="220" w:lineRule="atLeast"/>
        <w:rPr>
          <w:szCs w:val="18"/>
        </w:rPr>
      </w:pPr>
      <w:r w:rsidRPr="002D4E07">
        <w:rPr>
          <w:szCs w:val="18"/>
        </w:rPr>
        <w:t xml:space="preserve">The Big Data ETL </w:t>
      </w:r>
      <w:r>
        <w:rPr>
          <w:szCs w:val="18"/>
        </w:rPr>
        <w:t xml:space="preserve">platform </w:t>
      </w:r>
      <w:r w:rsidRPr="002D4E07">
        <w:rPr>
          <w:szCs w:val="18"/>
        </w:rPr>
        <w:t xml:space="preserve">leverages the inherent fault tolerant and reliable </w:t>
      </w:r>
      <w:r>
        <w:rPr>
          <w:szCs w:val="18"/>
        </w:rPr>
        <w:t>big data</w:t>
      </w:r>
      <w:r w:rsidRPr="002D4E07">
        <w:rPr>
          <w:szCs w:val="18"/>
        </w:rPr>
        <w:t xml:space="preserve"> infrastructure </w:t>
      </w:r>
      <w:r>
        <w:rPr>
          <w:szCs w:val="18"/>
        </w:rPr>
        <w:t xml:space="preserve">(Hadoop and Spark) </w:t>
      </w:r>
      <w:r w:rsidRPr="002D4E07">
        <w:rPr>
          <w:szCs w:val="18"/>
        </w:rPr>
        <w:t xml:space="preserve">to </w:t>
      </w:r>
      <w:r>
        <w:rPr>
          <w:szCs w:val="18"/>
        </w:rPr>
        <w:t>extract, transform and loading</w:t>
      </w:r>
      <w:r w:rsidRPr="002D4E07">
        <w:rPr>
          <w:szCs w:val="18"/>
        </w:rPr>
        <w:t xml:space="preserve"> </w:t>
      </w:r>
      <w:r>
        <w:rPr>
          <w:szCs w:val="18"/>
        </w:rPr>
        <w:t xml:space="preserve">any </w:t>
      </w:r>
      <w:r w:rsidRPr="002D4E07">
        <w:rPr>
          <w:szCs w:val="18"/>
        </w:rPr>
        <w:t xml:space="preserve">complex data types such </w:t>
      </w:r>
      <w:r>
        <w:rPr>
          <w:szCs w:val="18"/>
        </w:rPr>
        <w:t>(</w:t>
      </w:r>
      <w:r w:rsidRPr="002D4E07">
        <w:rPr>
          <w:szCs w:val="18"/>
        </w:rPr>
        <w:t>binary</w:t>
      </w:r>
      <w:r>
        <w:rPr>
          <w:szCs w:val="18"/>
        </w:rPr>
        <w:t xml:space="preserve">, </w:t>
      </w:r>
      <w:r w:rsidRPr="002D4E07">
        <w:rPr>
          <w:szCs w:val="18"/>
        </w:rPr>
        <w:t>XML</w:t>
      </w:r>
      <w:r>
        <w:rPr>
          <w:szCs w:val="18"/>
        </w:rPr>
        <w:t xml:space="preserve">, JSON, </w:t>
      </w:r>
      <w:r w:rsidRPr="002D4E07">
        <w:rPr>
          <w:szCs w:val="18"/>
        </w:rPr>
        <w:t>Comma Separated Value (CSV) files</w:t>
      </w:r>
      <w:r>
        <w:rPr>
          <w:szCs w:val="18"/>
        </w:rPr>
        <w:t>)</w:t>
      </w:r>
      <w:r w:rsidRPr="002D4E07">
        <w:rPr>
          <w:szCs w:val="18"/>
        </w:rPr>
        <w:t xml:space="preserve"> for Big Data analytics processing.  </w:t>
      </w:r>
    </w:p>
    <w:p w:rsidR="007530D2" w:rsidRDefault="007530D2" w:rsidP="007530D2">
      <w:pPr>
        <w:spacing w:after="160" w:line="220" w:lineRule="atLeast"/>
        <w:rPr>
          <w:szCs w:val="18"/>
        </w:rPr>
      </w:pPr>
      <w:r>
        <w:rPr>
          <w:szCs w:val="18"/>
        </w:rPr>
        <w:t>Enables users to define the whole ETL process totally from business logic aspect, leaving the complex big data related technical implementation and optimization to the platform.</w:t>
      </w:r>
    </w:p>
    <w:p w:rsidR="007530D2" w:rsidRDefault="007530D2" w:rsidP="007530D2">
      <w:pPr>
        <w:spacing w:after="160" w:line="220" w:lineRule="atLeast"/>
        <w:rPr>
          <w:szCs w:val="18"/>
        </w:rPr>
      </w:pPr>
      <w:r w:rsidRPr="002D4E07">
        <w:rPr>
          <w:szCs w:val="18"/>
        </w:rPr>
        <w:t xml:space="preserve">This unique solution eliminates the difficult Hadoop learning curve by providing out of the box configurable ETL </w:t>
      </w:r>
      <w:r>
        <w:rPr>
          <w:szCs w:val="18"/>
        </w:rPr>
        <w:t>commands,</w:t>
      </w:r>
      <w:r w:rsidRPr="002D4E07">
        <w:rPr>
          <w:szCs w:val="18"/>
        </w:rPr>
        <w:t xml:space="preserve"> including </w:t>
      </w:r>
      <w:r>
        <w:rPr>
          <w:szCs w:val="18"/>
        </w:rPr>
        <w:t xml:space="preserve">but not limited to </w:t>
      </w:r>
      <w:r w:rsidRPr="002D4E07">
        <w:rPr>
          <w:szCs w:val="18"/>
        </w:rPr>
        <w:t xml:space="preserve">transformation and aggregation, file loading, XML processing, data backup, database load, and shell script execution.  Using these </w:t>
      </w:r>
      <w:r>
        <w:rPr>
          <w:szCs w:val="18"/>
        </w:rPr>
        <w:t>building blocks</w:t>
      </w:r>
      <w:r w:rsidRPr="002D4E07">
        <w:rPr>
          <w:szCs w:val="18"/>
        </w:rPr>
        <w:t xml:space="preserve">, expensive and rare Hadoop expertise is not required – complete ETL flows can be developed by any network engineer.   </w:t>
      </w:r>
    </w:p>
    <w:p w:rsidR="007530D2" w:rsidRPr="002D4E07" w:rsidRDefault="007530D2" w:rsidP="007530D2">
      <w:pPr>
        <w:spacing w:after="160" w:line="220" w:lineRule="atLeast"/>
        <w:rPr>
          <w:szCs w:val="18"/>
        </w:rPr>
      </w:pPr>
      <w:r w:rsidRPr="002D4E07">
        <w:rPr>
          <w:szCs w:val="18"/>
        </w:rPr>
        <w:t xml:space="preserve">The Big Data ETL platform converts the configuration flows into </w:t>
      </w:r>
      <w:r>
        <w:rPr>
          <w:szCs w:val="18"/>
        </w:rPr>
        <w:t>runtime big data jobs (</w:t>
      </w:r>
      <w:r w:rsidRPr="002D4E07">
        <w:rPr>
          <w:szCs w:val="18"/>
        </w:rPr>
        <w:t xml:space="preserve">Hadoop MapReduce </w:t>
      </w:r>
      <w:r>
        <w:rPr>
          <w:szCs w:val="18"/>
        </w:rPr>
        <w:t>J</w:t>
      </w:r>
      <w:r w:rsidRPr="002D4E07">
        <w:rPr>
          <w:szCs w:val="18"/>
        </w:rPr>
        <w:t>obs</w:t>
      </w:r>
      <w:r>
        <w:rPr>
          <w:szCs w:val="18"/>
        </w:rPr>
        <w:t>/Spark Jobs)</w:t>
      </w:r>
      <w:r w:rsidRPr="002D4E07">
        <w:rPr>
          <w:szCs w:val="18"/>
        </w:rPr>
        <w:t xml:space="preserve"> taking full advantage of the Hadoop</w:t>
      </w:r>
      <w:r>
        <w:rPr>
          <w:szCs w:val="18"/>
        </w:rPr>
        <w:t>/Spark</w:t>
      </w:r>
      <w:r w:rsidRPr="002D4E07">
        <w:rPr>
          <w:szCs w:val="18"/>
        </w:rPr>
        <w:t xml:space="preserve"> built-in distributed processing</w:t>
      </w:r>
      <w:r>
        <w:rPr>
          <w:szCs w:val="18"/>
        </w:rPr>
        <w:t xml:space="preserve">, resource </w:t>
      </w:r>
      <w:proofErr w:type="spellStart"/>
      <w:r>
        <w:rPr>
          <w:szCs w:val="18"/>
        </w:rPr>
        <w:t>mangement</w:t>
      </w:r>
      <w:proofErr w:type="spellEnd"/>
      <w:r w:rsidRPr="002D4E07">
        <w:rPr>
          <w:szCs w:val="18"/>
        </w:rPr>
        <w:t xml:space="preserve"> and scheduling functions.   </w:t>
      </w:r>
    </w:p>
    <w:p w:rsidR="007530D2" w:rsidRPr="002D4E07" w:rsidRDefault="007530D2" w:rsidP="007530D2">
      <w:pPr>
        <w:spacing w:after="160" w:line="220" w:lineRule="atLeast"/>
        <w:rPr>
          <w:szCs w:val="18"/>
        </w:rPr>
      </w:pPr>
      <w:r w:rsidRPr="002D4E07">
        <w:rPr>
          <w:szCs w:val="18"/>
        </w:rPr>
        <w:t xml:space="preserve">The key benefits of this solution are greatly reduced delivery time, cost, and a solution based on an industry accepted open source platform.  In recent deliveries to a Tier 1 North American carrier, HPE was able to deliver an analytics solution in </w:t>
      </w:r>
      <w:r>
        <w:rPr>
          <w:szCs w:val="18"/>
        </w:rPr>
        <w:t>quarter</w:t>
      </w:r>
      <w:r w:rsidRPr="002D4E07">
        <w:rPr>
          <w:szCs w:val="18"/>
        </w:rPr>
        <w:t xml:space="preserve"> the time and at one quarter of the cost of the competition using the Universal Big Data ETL platform and has mandated the HPE solution be used for all future network element analytics.</w:t>
      </w:r>
    </w:p>
    <w:p w:rsidR="007530D2" w:rsidRPr="002D4E07" w:rsidRDefault="007530D2" w:rsidP="007530D2">
      <w:pPr>
        <w:spacing w:after="160" w:line="220" w:lineRule="atLeast"/>
        <w:jc w:val="center"/>
        <w:rPr>
          <w:szCs w:val="18"/>
        </w:rPr>
      </w:pPr>
    </w:p>
    <w:p w:rsidR="007530D2" w:rsidRPr="002D4E07" w:rsidRDefault="007530D2" w:rsidP="007530D2">
      <w:pPr>
        <w:keepNext/>
        <w:autoSpaceDE w:val="0"/>
        <w:autoSpaceDN w:val="0"/>
        <w:adjustRightInd w:val="0"/>
        <w:outlineLvl w:val="1"/>
        <w:rPr>
          <w:rFonts w:ascii="Arial Bold" w:hAnsi="Arial Bold"/>
          <w:b/>
          <w:sz w:val="24"/>
          <w:szCs w:val="20"/>
        </w:rPr>
      </w:pPr>
      <w:bookmarkStart w:id="2" w:name="_Toc468874103"/>
      <w:r w:rsidRPr="002D4E07">
        <w:rPr>
          <w:rFonts w:ascii="Arial Bold" w:hAnsi="Arial Bold"/>
          <w:b/>
          <w:sz w:val="24"/>
          <w:szCs w:val="20"/>
        </w:rPr>
        <w:t>Business</w:t>
      </w:r>
      <w:bookmarkEnd w:id="2"/>
      <w:r>
        <w:rPr>
          <w:rFonts w:ascii="Arial Bold" w:hAnsi="Arial Bold"/>
          <w:b/>
          <w:sz w:val="24"/>
          <w:szCs w:val="20"/>
        </w:rPr>
        <w:t xml:space="preserve"> Need</w:t>
      </w:r>
    </w:p>
    <w:p w:rsidR="007530D2" w:rsidRPr="002D4E07" w:rsidRDefault="007530D2" w:rsidP="007530D2">
      <w:pPr>
        <w:spacing w:after="160" w:line="220" w:lineRule="atLeast"/>
        <w:rPr>
          <w:szCs w:val="18"/>
          <w:u w:val="single"/>
        </w:rPr>
      </w:pPr>
      <w:r w:rsidRPr="002D4E07">
        <w:rPr>
          <w:szCs w:val="18"/>
        </w:rPr>
        <w:t xml:space="preserve">Entering the Big Data world, there are two primary issues.  Firstly, there is a large number of different types and formats of data that need to be analyzed.  Secondly, Terabytes to Petabytes of data need to be connected in real-time and loaded and then analyzed.  The Universal Big Data ETL platform was built to solve these industry constraints.  The solution enables users to define his/her data processing flow by using a library of commands (different protocol connectors, various processing commands, etc.) and easy to follow graphical tools. Without the specific Big Data technology background, users can still define the flow with ease to be executed on a cluster of hundreds and thousands of nodes to process Terabytes of data.  The Universal nature of data ingestion capabilities from the </w:t>
      </w:r>
      <w:r>
        <w:rPr>
          <w:szCs w:val="18"/>
        </w:rPr>
        <w:t>big data</w:t>
      </w:r>
      <w:r w:rsidRPr="002D4E07">
        <w:rPr>
          <w:szCs w:val="18"/>
        </w:rPr>
        <w:t xml:space="preserve"> ecosystem </w:t>
      </w:r>
      <w:r>
        <w:rPr>
          <w:szCs w:val="18"/>
        </w:rPr>
        <w:t>(Hadoop/Spark/</w:t>
      </w:r>
      <w:proofErr w:type="spellStart"/>
      <w:r>
        <w:rPr>
          <w:szCs w:val="18"/>
        </w:rPr>
        <w:t>etc</w:t>
      </w:r>
      <w:proofErr w:type="spellEnd"/>
      <w:r>
        <w:rPr>
          <w:szCs w:val="18"/>
        </w:rPr>
        <w:t xml:space="preserve">) </w:t>
      </w:r>
      <w:r w:rsidRPr="002D4E07">
        <w:rPr>
          <w:szCs w:val="18"/>
        </w:rPr>
        <w:t>provides the promise that any Telco data source ever created can be transformed by this platform.</w:t>
      </w:r>
    </w:p>
    <w:p w:rsidR="007530D2" w:rsidRDefault="007530D2" w:rsidP="007530D2">
      <w:pPr>
        <w:pStyle w:val="Heading2"/>
        <w:rPr>
          <w:rFonts w:eastAsia="Calibri"/>
        </w:rPr>
      </w:pPr>
      <w:r w:rsidRPr="002D4E07">
        <w:rPr>
          <w:rFonts w:eastAsia="Calibri"/>
        </w:rPr>
        <w:t>Graphical Flow</w:t>
      </w:r>
    </w:p>
    <w:p w:rsidR="007530D2" w:rsidRPr="002D4E07" w:rsidRDefault="007530D2" w:rsidP="007530D2">
      <w:pPr>
        <w:spacing w:after="160" w:line="259" w:lineRule="auto"/>
        <w:rPr>
          <w:rFonts w:ascii="Calibri" w:eastAsia="Calibri" w:hAnsi="Calibri"/>
          <w:sz w:val="22"/>
          <w:szCs w:val="22"/>
        </w:rPr>
      </w:pPr>
      <w:r w:rsidRPr="002D4E07">
        <w:rPr>
          <w:rFonts w:ascii="Calibri" w:eastAsia="Calibri" w:hAnsi="Calibri"/>
          <w:sz w:val="22"/>
          <w:szCs w:val="22"/>
          <w:highlight w:val="yellow"/>
        </w:rPr>
        <w:t>This graphical flow designer describes how….  The Universal Big Data ETL requires no Hadoop expertise given that is a configuration based platform allowing for out of the box tools such as transformation, aggregation, file loading, XML data processing, data backup/ load, and shell script execution.  These tools give the platform a high production grade of processing close to 700 million records per day.</w:t>
      </w:r>
      <w:r>
        <w:rPr>
          <w:rFonts w:ascii="Calibri" w:eastAsia="Calibri" w:hAnsi="Calibri"/>
          <w:sz w:val="22"/>
          <w:szCs w:val="22"/>
        </w:rPr>
        <w:t xml:space="preserve"> No limitation on the number of records can be processed, this scales linearly with the hardware.</w:t>
      </w:r>
    </w:p>
    <w:p w:rsidR="007530D2" w:rsidRPr="002D4E07" w:rsidRDefault="007530D2" w:rsidP="007530D2">
      <w:pPr>
        <w:spacing w:after="160" w:line="259" w:lineRule="auto"/>
        <w:rPr>
          <w:rFonts w:ascii="Calibri" w:eastAsia="Calibri" w:hAnsi="Calibri"/>
          <w:sz w:val="22"/>
          <w:szCs w:val="22"/>
        </w:rPr>
      </w:pPr>
    </w:p>
    <w:p w:rsidR="007530D2" w:rsidRPr="002D4E07" w:rsidRDefault="007530D2" w:rsidP="007530D2">
      <w:pPr>
        <w:spacing w:after="160" w:line="259" w:lineRule="auto"/>
        <w:jc w:val="center"/>
        <w:rPr>
          <w:rFonts w:ascii="Calibri" w:eastAsia="Calibri" w:hAnsi="Calibri"/>
          <w:sz w:val="22"/>
          <w:szCs w:val="22"/>
        </w:rPr>
      </w:pPr>
      <w:r w:rsidRPr="002D4E07">
        <w:rPr>
          <w:rFonts w:ascii="Calibri" w:eastAsia="Calibri" w:hAnsi="Calibri"/>
          <w:noProof/>
          <w:sz w:val="22"/>
          <w:szCs w:val="22"/>
          <w:lang w:eastAsia="zh-CN"/>
        </w:rPr>
        <w:lastRenderedPageBreak/>
        <w:drawing>
          <wp:inline distT="0" distB="0" distL="0" distR="0" wp14:anchorId="164A15EA" wp14:editId="33377D9D">
            <wp:extent cx="5943600" cy="38804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880485"/>
                    </a:xfrm>
                    <a:prstGeom prst="rect">
                      <a:avLst/>
                    </a:prstGeom>
                  </pic:spPr>
                </pic:pic>
              </a:graphicData>
            </a:graphic>
          </wp:inline>
        </w:drawing>
      </w:r>
    </w:p>
    <w:p w:rsidR="007530D2" w:rsidRPr="002D4E07" w:rsidRDefault="007530D2" w:rsidP="007530D2">
      <w:pPr>
        <w:spacing w:after="160" w:line="259" w:lineRule="auto"/>
        <w:rPr>
          <w:rFonts w:ascii="Calibri" w:eastAsia="Calibri" w:hAnsi="Calibri"/>
          <w:sz w:val="22"/>
          <w:szCs w:val="22"/>
        </w:rPr>
      </w:pPr>
    </w:p>
    <w:p w:rsidR="007530D2" w:rsidRPr="002D4E07" w:rsidRDefault="007530D2" w:rsidP="007530D2">
      <w:pPr>
        <w:spacing w:after="160" w:line="259" w:lineRule="auto"/>
        <w:rPr>
          <w:rFonts w:ascii="Calibri" w:eastAsia="Calibri" w:hAnsi="Calibri"/>
          <w:sz w:val="22"/>
          <w:szCs w:val="22"/>
        </w:rPr>
      </w:pPr>
    </w:p>
    <w:p w:rsidR="007530D2" w:rsidRPr="002D4E07" w:rsidRDefault="007530D2" w:rsidP="007530D2">
      <w:pPr>
        <w:spacing w:after="160" w:line="259" w:lineRule="auto"/>
        <w:rPr>
          <w:rFonts w:ascii="Calibri" w:eastAsia="Calibri" w:hAnsi="Calibri"/>
          <w:sz w:val="22"/>
          <w:szCs w:val="22"/>
        </w:rPr>
      </w:pPr>
    </w:p>
    <w:p w:rsidR="007530D2" w:rsidRPr="002D4E07" w:rsidRDefault="007530D2" w:rsidP="007530D2">
      <w:pPr>
        <w:spacing w:after="160" w:line="259" w:lineRule="auto"/>
        <w:rPr>
          <w:rFonts w:ascii="Calibri" w:eastAsia="Calibri" w:hAnsi="Calibri"/>
          <w:sz w:val="22"/>
          <w:szCs w:val="22"/>
        </w:rPr>
      </w:pPr>
    </w:p>
    <w:p w:rsidR="007530D2" w:rsidRPr="002D4E07" w:rsidRDefault="007530D2" w:rsidP="007530D2">
      <w:pPr>
        <w:spacing w:after="160" w:line="259" w:lineRule="auto"/>
        <w:rPr>
          <w:rFonts w:ascii="Calibri" w:eastAsia="Calibri" w:hAnsi="Calibri"/>
          <w:sz w:val="22"/>
          <w:szCs w:val="22"/>
        </w:rPr>
      </w:pPr>
    </w:p>
    <w:p w:rsidR="007530D2" w:rsidRPr="002D4E07" w:rsidRDefault="007530D2" w:rsidP="007530D2">
      <w:pPr>
        <w:spacing w:after="160" w:line="259" w:lineRule="auto"/>
        <w:rPr>
          <w:rFonts w:ascii="Calibri" w:eastAsia="Calibri" w:hAnsi="Calibri"/>
          <w:sz w:val="22"/>
          <w:szCs w:val="22"/>
        </w:rPr>
      </w:pPr>
    </w:p>
    <w:p w:rsidR="007530D2" w:rsidRPr="002D4E07" w:rsidRDefault="007530D2" w:rsidP="007530D2">
      <w:pPr>
        <w:spacing w:after="160" w:line="259" w:lineRule="auto"/>
        <w:rPr>
          <w:rFonts w:ascii="Calibri" w:eastAsia="Calibri" w:hAnsi="Calibri"/>
          <w:sz w:val="22"/>
          <w:szCs w:val="22"/>
        </w:rPr>
      </w:pPr>
    </w:p>
    <w:p w:rsidR="007530D2" w:rsidRPr="002D4E07" w:rsidRDefault="007530D2" w:rsidP="007530D2">
      <w:pPr>
        <w:spacing w:after="160" w:line="259" w:lineRule="auto"/>
        <w:rPr>
          <w:rFonts w:ascii="Calibri" w:eastAsia="Calibri" w:hAnsi="Calibri"/>
          <w:sz w:val="22"/>
          <w:szCs w:val="22"/>
        </w:rPr>
      </w:pPr>
    </w:p>
    <w:p w:rsidR="007530D2" w:rsidRPr="002D4E07" w:rsidRDefault="007530D2" w:rsidP="007530D2">
      <w:pPr>
        <w:spacing w:after="160" w:line="259" w:lineRule="auto"/>
        <w:rPr>
          <w:rFonts w:ascii="Calibri" w:eastAsia="Calibri" w:hAnsi="Calibri"/>
          <w:sz w:val="22"/>
          <w:szCs w:val="22"/>
        </w:rPr>
      </w:pPr>
    </w:p>
    <w:p w:rsidR="007530D2" w:rsidRPr="002D4E07" w:rsidRDefault="007530D2" w:rsidP="007530D2">
      <w:pPr>
        <w:keepNext/>
        <w:autoSpaceDE w:val="0"/>
        <w:autoSpaceDN w:val="0"/>
        <w:adjustRightInd w:val="0"/>
        <w:outlineLvl w:val="1"/>
        <w:rPr>
          <w:rFonts w:ascii="Arial Bold" w:hAnsi="Arial Bold"/>
          <w:b/>
          <w:sz w:val="24"/>
          <w:szCs w:val="20"/>
        </w:rPr>
      </w:pPr>
      <w:bookmarkStart w:id="3" w:name="_Toc468874104"/>
      <w:r w:rsidRPr="002D4E07">
        <w:rPr>
          <w:rFonts w:ascii="Arial Bold" w:hAnsi="Arial Bold"/>
          <w:b/>
          <w:sz w:val="24"/>
          <w:szCs w:val="20"/>
        </w:rPr>
        <w:t>Use Cases</w:t>
      </w:r>
      <w:bookmarkEnd w:id="3"/>
    </w:p>
    <w:p w:rsidR="007530D2" w:rsidRPr="002D4E07" w:rsidRDefault="007530D2" w:rsidP="007530D2">
      <w:pPr>
        <w:keepNext/>
        <w:keepLines/>
        <w:spacing w:before="40" w:line="259" w:lineRule="auto"/>
        <w:outlineLvl w:val="2"/>
        <w:rPr>
          <w:rFonts w:ascii="Calibri Light" w:hAnsi="Calibri Light"/>
          <w:color w:val="1F4D78"/>
          <w:sz w:val="24"/>
        </w:rPr>
      </w:pPr>
      <w:bookmarkStart w:id="4" w:name="_Toc468874105"/>
      <w:r w:rsidRPr="002D4E07">
        <w:rPr>
          <w:rFonts w:ascii="Calibri Light" w:hAnsi="Calibri Light"/>
          <w:color w:val="1F4D78"/>
          <w:sz w:val="24"/>
        </w:rPr>
        <w:t>Femtocell Analytics</w:t>
      </w:r>
      <w:bookmarkEnd w:id="4"/>
    </w:p>
    <w:p w:rsidR="007530D2" w:rsidRPr="002D4E07" w:rsidRDefault="007530D2" w:rsidP="007530D2">
      <w:pPr>
        <w:spacing w:after="160" w:line="259" w:lineRule="auto"/>
        <w:rPr>
          <w:rFonts w:ascii="Calibri" w:eastAsia="Calibri" w:hAnsi="Calibri"/>
          <w:sz w:val="22"/>
          <w:szCs w:val="22"/>
        </w:rPr>
      </w:pPr>
      <w:r w:rsidRPr="002D4E07">
        <w:rPr>
          <w:rFonts w:ascii="Calibri" w:eastAsia="Calibri" w:hAnsi="Calibri"/>
          <w:sz w:val="22"/>
          <w:szCs w:val="22"/>
        </w:rPr>
        <w:t xml:space="preserve">The Femto Access Point is a Samsung hardware device located the customer’s premise that interfaces with mobile devices over the air radio interface.  A Tier 1 US Communication Service Provider has contracted with HPE to provide Femtocell analytics using the HPE SPS analytics system.  The Analytics reports include </w:t>
      </w:r>
    </w:p>
    <w:p w:rsidR="007530D2" w:rsidRPr="002D4E07" w:rsidRDefault="007530D2" w:rsidP="007530D2">
      <w:pPr>
        <w:keepNext/>
        <w:keepLines/>
        <w:spacing w:before="40" w:line="259" w:lineRule="auto"/>
        <w:outlineLvl w:val="2"/>
        <w:rPr>
          <w:rFonts w:ascii="Calibri Light" w:hAnsi="Calibri Light"/>
          <w:color w:val="1F4D78"/>
          <w:sz w:val="24"/>
        </w:rPr>
      </w:pPr>
      <w:bookmarkStart w:id="5" w:name="_Toc468874106"/>
      <w:r w:rsidRPr="002D4E07">
        <w:rPr>
          <w:rFonts w:ascii="Calibri Light" w:hAnsi="Calibri Light"/>
          <w:color w:val="1F4D78"/>
          <w:sz w:val="24"/>
        </w:rPr>
        <w:t>Location Based Services</w:t>
      </w:r>
      <w:bookmarkEnd w:id="5"/>
    </w:p>
    <w:p w:rsidR="007530D2" w:rsidRPr="002D4E07" w:rsidRDefault="007530D2" w:rsidP="007530D2">
      <w:pPr>
        <w:spacing w:after="160" w:line="259" w:lineRule="auto"/>
        <w:contextualSpacing/>
        <w:rPr>
          <w:rFonts w:ascii="Calibri" w:eastAsia="Calibri" w:hAnsi="Calibri"/>
          <w:sz w:val="22"/>
          <w:szCs w:val="22"/>
        </w:rPr>
      </w:pPr>
      <w:r w:rsidRPr="002D4E07">
        <w:rPr>
          <w:rFonts w:ascii="Calibri" w:eastAsia="Calibri" w:hAnsi="Calibri"/>
          <w:sz w:val="22"/>
          <w:szCs w:val="22"/>
        </w:rPr>
        <w:t>The Universal Big Data ETL system can convert PDE binary files and create analytics such as identifying M2M devices that are generating the greatest amount of traffic and correlate additional data to include device manufacturers and serial numbers</w:t>
      </w:r>
    </w:p>
    <w:p w:rsidR="007530D2" w:rsidRPr="002D4E07" w:rsidRDefault="007530D2" w:rsidP="007530D2">
      <w:pPr>
        <w:keepNext/>
        <w:keepLines/>
        <w:spacing w:before="40" w:line="259" w:lineRule="auto"/>
        <w:outlineLvl w:val="2"/>
        <w:rPr>
          <w:rFonts w:ascii="Calibri Light" w:hAnsi="Calibri Light"/>
          <w:color w:val="1F4D78"/>
          <w:sz w:val="24"/>
        </w:rPr>
      </w:pPr>
      <w:bookmarkStart w:id="6" w:name="_Toc468874107"/>
      <w:r w:rsidRPr="002D4E07">
        <w:rPr>
          <w:rFonts w:ascii="Calibri Light" w:hAnsi="Calibri Light"/>
          <w:color w:val="1F4D78"/>
          <w:sz w:val="24"/>
        </w:rPr>
        <w:lastRenderedPageBreak/>
        <w:t>Virtualized Mobile Terminated Core Nokia Analytics</w:t>
      </w:r>
      <w:bookmarkEnd w:id="6"/>
    </w:p>
    <w:p w:rsidR="007530D2" w:rsidRPr="002D4E07" w:rsidRDefault="007530D2" w:rsidP="007530D2">
      <w:pPr>
        <w:spacing w:after="160" w:line="259" w:lineRule="auto"/>
        <w:contextualSpacing/>
        <w:rPr>
          <w:rFonts w:ascii="Calibri" w:eastAsia="Calibri" w:hAnsi="Calibri"/>
          <w:sz w:val="22"/>
          <w:szCs w:val="22"/>
        </w:rPr>
      </w:pPr>
      <w:r w:rsidRPr="002D4E07">
        <w:rPr>
          <w:rFonts w:ascii="Calibri" w:eastAsia="Calibri" w:hAnsi="Calibri"/>
          <w:sz w:val="22"/>
          <w:szCs w:val="22"/>
        </w:rPr>
        <w:t xml:space="preserve">A Tier 1 US CSP is deploying new Mobile Terminated Call (MTC) Nokia virtual equipment, the SGS-IWF and </w:t>
      </w:r>
      <w:proofErr w:type="spellStart"/>
      <w:r w:rsidRPr="002D4E07">
        <w:rPr>
          <w:rFonts w:ascii="Calibri" w:eastAsia="Calibri" w:hAnsi="Calibri"/>
          <w:sz w:val="22"/>
          <w:szCs w:val="22"/>
        </w:rPr>
        <w:t>vSMSC</w:t>
      </w:r>
      <w:proofErr w:type="spellEnd"/>
      <w:r w:rsidRPr="002D4E07">
        <w:rPr>
          <w:rFonts w:ascii="Calibri" w:eastAsia="Calibri" w:hAnsi="Calibri"/>
          <w:sz w:val="22"/>
          <w:szCs w:val="22"/>
        </w:rPr>
        <w:t>. Nokia could not provide the KPI’s and data to integrate to customer’s Operations reporting environment.  Instead, the carrier has contracted with HPE to provide the analytics for these components.  The Universal Big Data ETL system will convert XML input to CSV format</w:t>
      </w:r>
    </w:p>
    <w:p w:rsidR="007530D2" w:rsidRPr="002D4E07" w:rsidRDefault="007530D2" w:rsidP="007530D2">
      <w:pPr>
        <w:keepNext/>
        <w:keepLines/>
        <w:spacing w:before="40" w:line="259" w:lineRule="auto"/>
        <w:outlineLvl w:val="2"/>
        <w:rPr>
          <w:rFonts w:ascii="Calibri Light" w:hAnsi="Calibri Light"/>
          <w:color w:val="1F4D78"/>
          <w:sz w:val="24"/>
        </w:rPr>
      </w:pPr>
      <w:bookmarkStart w:id="7" w:name="_Toc468874108"/>
      <w:r w:rsidRPr="002D4E07">
        <w:rPr>
          <w:rFonts w:ascii="Calibri Light" w:hAnsi="Calibri Light"/>
          <w:color w:val="1F4D78"/>
          <w:sz w:val="24"/>
        </w:rPr>
        <w:t>SPC Device Enablement Gateway Analytics</w:t>
      </w:r>
      <w:bookmarkEnd w:id="7"/>
    </w:p>
    <w:p w:rsidR="007530D2" w:rsidRPr="002D4E07" w:rsidRDefault="007530D2" w:rsidP="007530D2">
      <w:pPr>
        <w:spacing w:after="160" w:line="259" w:lineRule="auto"/>
        <w:contextualSpacing/>
        <w:rPr>
          <w:rFonts w:ascii="Calibri" w:eastAsia="Calibri" w:hAnsi="Calibri"/>
          <w:sz w:val="22"/>
          <w:szCs w:val="22"/>
        </w:rPr>
      </w:pPr>
      <w:r w:rsidRPr="002D4E07">
        <w:rPr>
          <w:rFonts w:ascii="Calibri" w:eastAsia="Calibri" w:hAnsi="Calibri"/>
          <w:sz w:val="22"/>
          <w:szCs w:val="22"/>
        </w:rPr>
        <w:t>A US carrier has deployed the Subscriber Profile Controller (SPC) to provide subscriber authentication and application authorization of 4G services hosted by ASPs.  The SPC Management Complex uses data from the SPC to provide robust reports with graphical displays that are interactive and allow the user flexibility to view the report based on their needs.  The CSP has contracted with HPE to migrate all of their SPC Analytics from the current Oracle system to the SPS.  The SPS system will provide a 40 X improvement in report performance.</w:t>
      </w:r>
    </w:p>
    <w:p w:rsidR="007530D2" w:rsidRPr="002D4E07" w:rsidRDefault="007530D2" w:rsidP="007530D2"/>
    <w:p w:rsidR="007530D2" w:rsidRPr="002D4E07" w:rsidRDefault="007530D2" w:rsidP="007530D2"/>
    <w:p w:rsidR="007530D2" w:rsidRPr="002D4E07" w:rsidRDefault="007530D2" w:rsidP="007530D2"/>
    <w:p w:rsidR="007530D2" w:rsidRPr="002D4E07" w:rsidRDefault="007530D2" w:rsidP="007530D2"/>
    <w:p w:rsidR="007530D2" w:rsidRPr="002D4E07" w:rsidRDefault="007530D2" w:rsidP="007530D2"/>
    <w:p w:rsidR="007530D2" w:rsidRPr="002D4E07" w:rsidRDefault="007530D2" w:rsidP="007530D2"/>
    <w:p w:rsidR="007530D2" w:rsidRPr="002D4E07" w:rsidRDefault="007530D2" w:rsidP="007530D2"/>
    <w:p w:rsidR="007530D2" w:rsidRPr="002D4E07" w:rsidRDefault="007530D2" w:rsidP="007530D2"/>
    <w:p w:rsidR="007530D2" w:rsidRPr="002D4E07" w:rsidRDefault="007530D2" w:rsidP="007530D2"/>
    <w:p w:rsidR="007530D2" w:rsidRPr="002D4E07" w:rsidRDefault="007530D2" w:rsidP="007530D2"/>
    <w:p w:rsidR="007530D2" w:rsidRPr="002D4E07" w:rsidRDefault="007530D2" w:rsidP="007530D2"/>
    <w:p w:rsidR="007530D2" w:rsidRPr="002D4E07" w:rsidRDefault="007530D2" w:rsidP="007530D2"/>
    <w:p w:rsidR="007530D2" w:rsidRPr="002D4E07" w:rsidRDefault="007530D2" w:rsidP="007530D2"/>
    <w:p w:rsidR="007530D2" w:rsidRPr="002D4E07" w:rsidRDefault="007530D2" w:rsidP="007530D2"/>
    <w:p w:rsidR="007530D2" w:rsidRPr="002D4E07" w:rsidRDefault="007530D2" w:rsidP="007530D2"/>
    <w:p w:rsidR="007530D2" w:rsidRPr="002D4E07" w:rsidRDefault="007530D2" w:rsidP="007530D2"/>
    <w:p w:rsidR="007530D2" w:rsidRPr="002D4E07" w:rsidRDefault="007530D2" w:rsidP="007530D2"/>
    <w:p w:rsidR="007530D2" w:rsidRPr="002D4E07" w:rsidRDefault="007530D2" w:rsidP="007530D2"/>
    <w:p w:rsidR="007530D2" w:rsidRPr="002D4E07" w:rsidRDefault="007530D2" w:rsidP="007530D2"/>
    <w:p w:rsidR="007530D2" w:rsidRPr="0037716D" w:rsidRDefault="007530D2" w:rsidP="007530D2">
      <w:pPr>
        <w:pStyle w:val="BackPageLearnmoreatURL12pt"/>
        <w:rPr>
          <w:rStyle w:val="Hyperlink"/>
          <w:u w:val="none"/>
        </w:rPr>
      </w:pPr>
    </w:p>
    <w:p w:rsidR="00913181" w:rsidRDefault="00913181">
      <w:bookmarkStart w:id="8" w:name="_GoBack"/>
      <w:bookmarkEnd w:id="8"/>
    </w:p>
    <w:sectPr w:rsidR="00913181" w:rsidSect="00F53C8D">
      <w:headerReference w:type="even" r:id="rId5"/>
      <w:headerReference w:type="default" r:id="rId6"/>
      <w:footerReference w:type="even" r:id="rId7"/>
      <w:footerReference w:type="default" r:id="rId8"/>
      <w:footerReference w:type="first" r:id="rId9"/>
      <w:pgSz w:w="12240" w:h="15840" w:code="1"/>
      <w:pgMar w:top="1800" w:right="720" w:bottom="720" w:left="720" w:header="360" w:footer="576" w:gutter="0"/>
      <w:cols w:space="720"/>
      <w:formProt w:val="0"/>
      <w:noEndnote/>
      <w:docGrid w:linePitch="2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roman"/>
    <w:notTrueType/>
    <w:pitch w:val="default"/>
  </w:font>
  <w:font w:name="Metric Light">
    <w:panose1 w:val="00000000000000000000"/>
    <w:charset w:val="00"/>
    <w:family w:val="swiss"/>
    <w:notTrueType/>
    <w:pitch w:val="variable"/>
    <w:sig w:usb0="00000007" w:usb1="00000000"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085" w:rsidRPr="003A4979" w:rsidRDefault="007530D2" w:rsidP="003A497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085" w:rsidRPr="007D7BA2" w:rsidRDefault="007530D2" w:rsidP="007D7BA2">
    <w:pPr>
      <w:pStyle w:val="Footer"/>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085" w:rsidRPr="003A4979" w:rsidRDefault="007530D2" w:rsidP="003A4979">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085" w:rsidRDefault="007530D2" w:rsidP="008E412C">
    <w:pPr>
      <w:pStyle w:val="MISCTitleDescriptorinheader11ptLight"/>
    </w:pPr>
    <w:r w:rsidRPr="00793BF0">
      <w:t>Technical white paper</w:t>
    </w:r>
    <w:r w:rsidRPr="00F40566">
      <w:t xml:space="preserve"> Product, solution, or service</w:t>
    </w:r>
  </w:p>
  <w:p w:rsidR="009D2085" w:rsidRDefault="007530D2"/>
  <w:p w:rsidR="009D2085" w:rsidRDefault="007530D2"/>
  <w:p w:rsidR="009D2085" w:rsidRDefault="007530D2"/>
  <w:p w:rsidR="009D2085" w:rsidRDefault="007530D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085" w:rsidRPr="00556108" w:rsidRDefault="007530D2" w:rsidP="00C16FCB">
    <w:pPr>
      <w:pStyle w:val="CoverSubtitle"/>
      <w:tabs>
        <w:tab w:val="right" w:pos="10710"/>
      </w:tabs>
      <w:spacing w:before="240" w:after="0" w:line="240" w:lineRule="auto"/>
      <w:ind w:left="0" w:right="58"/>
      <w:rPr>
        <w:rStyle w:val="CoverDocumentType10ptChar"/>
        <w:sz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6D6"/>
    <w:rsid w:val="00021032"/>
    <w:rsid w:val="00046B0C"/>
    <w:rsid w:val="00051303"/>
    <w:rsid w:val="000538BD"/>
    <w:rsid w:val="00054FF1"/>
    <w:rsid w:val="0006132B"/>
    <w:rsid w:val="0007237E"/>
    <w:rsid w:val="00073B9E"/>
    <w:rsid w:val="000774B6"/>
    <w:rsid w:val="00090CB5"/>
    <w:rsid w:val="00091152"/>
    <w:rsid w:val="0009231F"/>
    <w:rsid w:val="00092E6E"/>
    <w:rsid w:val="000B22DA"/>
    <w:rsid w:val="000B2773"/>
    <w:rsid w:val="000C12E7"/>
    <w:rsid w:val="000C4CB7"/>
    <w:rsid w:val="000C4CF4"/>
    <w:rsid w:val="000E23AB"/>
    <w:rsid w:val="000E552E"/>
    <w:rsid w:val="00106826"/>
    <w:rsid w:val="001178D3"/>
    <w:rsid w:val="00131E92"/>
    <w:rsid w:val="00137D28"/>
    <w:rsid w:val="001464B2"/>
    <w:rsid w:val="0014659C"/>
    <w:rsid w:val="001504E1"/>
    <w:rsid w:val="0015530A"/>
    <w:rsid w:val="00196AAA"/>
    <w:rsid w:val="001A0D6B"/>
    <w:rsid w:val="001A1B4F"/>
    <w:rsid w:val="001A73BA"/>
    <w:rsid w:val="001A7DB0"/>
    <w:rsid w:val="001C004A"/>
    <w:rsid w:val="001C0181"/>
    <w:rsid w:val="001D75E0"/>
    <w:rsid w:val="001E10D4"/>
    <w:rsid w:val="001F108A"/>
    <w:rsid w:val="0021321B"/>
    <w:rsid w:val="00221010"/>
    <w:rsid w:val="002277D1"/>
    <w:rsid w:val="00290F57"/>
    <w:rsid w:val="002A492F"/>
    <w:rsid w:val="002E22F2"/>
    <w:rsid w:val="002F67D0"/>
    <w:rsid w:val="00323FDF"/>
    <w:rsid w:val="0033527F"/>
    <w:rsid w:val="00337CA4"/>
    <w:rsid w:val="00342436"/>
    <w:rsid w:val="003509D7"/>
    <w:rsid w:val="003843FC"/>
    <w:rsid w:val="003928F2"/>
    <w:rsid w:val="003A0649"/>
    <w:rsid w:val="003B4142"/>
    <w:rsid w:val="003F66D6"/>
    <w:rsid w:val="00406C75"/>
    <w:rsid w:val="004355F8"/>
    <w:rsid w:val="00447EB7"/>
    <w:rsid w:val="004565AD"/>
    <w:rsid w:val="004938A5"/>
    <w:rsid w:val="004B7729"/>
    <w:rsid w:val="004C4AFA"/>
    <w:rsid w:val="004F7BD2"/>
    <w:rsid w:val="005367D9"/>
    <w:rsid w:val="005511E1"/>
    <w:rsid w:val="00553BA5"/>
    <w:rsid w:val="00560998"/>
    <w:rsid w:val="00582A92"/>
    <w:rsid w:val="005D0EEF"/>
    <w:rsid w:val="005F5B55"/>
    <w:rsid w:val="00624DE8"/>
    <w:rsid w:val="006350DE"/>
    <w:rsid w:val="00650AE1"/>
    <w:rsid w:val="0065333F"/>
    <w:rsid w:val="006535A6"/>
    <w:rsid w:val="00664875"/>
    <w:rsid w:val="00681F4F"/>
    <w:rsid w:val="006B749B"/>
    <w:rsid w:val="00703E9C"/>
    <w:rsid w:val="007132F2"/>
    <w:rsid w:val="00717476"/>
    <w:rsid w:val="00725358"/>
    <w:rsid w:val="007416FD"/>
    <w:rsid w:val="00751684"/>
    <w:rsid w:val="007530D2"/>
    <w:rsid w:val="00757147"/>
    <w:rsid w:val="00760A69"/>
    <w:rsid w:val="00774CA0"/>
    <w:rsid w:val="007968FB"/>
    <w:rsid w:val="007C0C32"/>
    <w:rsid w:val="007C5817"/>
    <w:rsid w:val="007F1443"/>
    <w:rsid w:val="007F1F46"/>
    <w:rsid w:val="008008DA"/>
    <w:rsid w:val="00807165"/>
    <w:rsid w:val="008102B9"/>
    <w:rsid w:val="0081235D"/>
    <w:rsid w:val="00823446"/>
    <w:rsid w:val="00840F34"/>
    <w:rsid w:val="0085069E"/>
    <w:rsid w:val="00850B4B"/>
    <w:rsid w:val="0085291F"/>
    <w:rsid w:val="00854DAF"/>
    <w:rsid w:val="00857250"/>
    <w:rsid w:val="0089292C"/>
    <w:rsid w:val="008A4B08"/>
    <w:rsid w:val="008D4EE5"/>
    <w:rsid w:val="008E503A"/>
    <w:rsid w:val="008E74FA"/>
    <w:rsid w:val="008F2ED9"/>
    <w:rsid w:val="008F4482"/>
    <w:rsid w:val="00913181"/>
    <w:rsid w:val="00932E89"/>
    <w:rsid w:val="00936994"/>
    <w:rsid w:val="009442EF"/>
    <w:rsid w:val="00953766"/>
    <w:rsid w:val="00960B4A"/>
    <w:rsid w:val="009A42AC"/>
    <w:rsid w:val="009B53B1"/>
    <w:rsid w:val="009D7073"/>
    <w:rsid w:val="009E3178"/>
    <w:rsid w:val="009F1D37"/>
    <w:rsid w:val="00A20DA7"/>
    <w:rsid w:val="00A25548"/>
    <w:rsid w:val="00A6352F"/>
    <w:rsid w:val="00A8665B"/>
    <w:rsid w:val="00A91BC3"/>
    <w:rsid w:val="00A92A85"/>
    <w:rsid w:val="00AA0686"/>
    <w:rsid w:val="00AC6DAC"/>
    <w:rsid w:val="00AD1E8F"/>
    <w:rsid w:val="00AD43AE"/>
    <w:rsid w:val="00B0190E"/>
    <w:rsid w:val="00B06221"/>
    <w:rsid w:val="00B07486"/>
    <w:rsid w:val="00B36CE1"/>
    <w:rsid w:val="00B548B8"/>
    <w:rsid w:val="00B64212"/>
    <w:rsid w:val="00B82269"/>
    <w:rsid w:val="00B9069C"/>
    <w:rsid w:val="00BA2702"/>
    <w:rsid w:val="00BC034D"/>
    <w:rsid w:val="00BC4A67"/>
    <w:rsid w:val="00BD45D0"/>
    <w:rsid w:val="00BF0E3C"/>
    <w:rsid w:val="00C023F0"/>
    <w:rsid w:val="00C170CB"/>
    <w:rsid w:val="00C220F3"/>
    <w:rsid w:val="00C27E3D"/>
    <w:rsid w:val="00C40900"/>
    <w:rsid w:val="00C7057E"/>
    <w:rsid w:val="00C76AEF"/>
    <w:rsid w:val="00C832B0"/>
    <w:rsid w:val="00C8593B"/>
    <w:rsid w:val="00C865F6"/>
    <w:rsid w:val="00CB5109"/>
    <w:rsid w:val="00CB63EA"/>
    <w:rsid w:val="00CC664B"/>
    <w:rsid w:val="00CC79AC"/>
    <w:rsid w:val="00CD0F1F"/>
    <w:rsid w:val="00CE4BCE"/>
    <w:rsid w:val="00CE59BB"/>
    <w:rsid w:val="00CF2505"/>
    <w:rsid w:val="00D03B21"/>
    <w:rsid w:val="00D15B96"/>
    <w:rsid w:val="00D2053B"/>
    <w:rsid w:val="00D40EE7"/>
    <w:rsid w:val="00DB4B90"/>
    <w:rsid w:val="00DC743F"/>
    <w:rsid w:val="00DD5F1B"/>
    <w:rsid w:val="00DE51A1"/>
    <w:rsid w:val="00E07ECE"/>
    <w:rsid w:val="00E13FD3"/>
    <w:rsid w:val="00E20EF5"/>
    <w:rsid w:val="00E333E9"/>
    <w:rsid w:val="00E44AD2"/>
    <w:rsid w:val="00E5064B"/>
    <w:rsid w:val="00E87279"/>
    <w:rsid w:val="00E9172A"/>
    <w:rsid w:val="00E9379C"/>
    <w:rsid w:val="00EA597F"/>
    <w:rsid w:val="00EE2AAC"/>
    <w:rsid w:val="00EF71EA"/>
    <w:rsid w:val="00F106BA"/>
    <w:rsid w:val="00F17EC8"/>
    <w:rsid w:val="00F20455"/>
    <w:rsid w:val="00F253EF"/>
    <w:rsid w:val="00F25E67"/>
    <w:rsid w:val="00F26F8B"/>
    <w:rsid w:val="00F36E17"/>
    <w:rsid w:val="00F444F3"/>
    <w:rsid w:val="00F75FDF"/>
    <w:rsid w:val="00FA1398"/>
    <w:rsid w:val="00FB652B"/>
    <w:rsid w:val="00FC2D26"/>
    <w:rsid w:val="00FE2AC5"/>
    <w:rsid w:val="00FE48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5F6E07-5ED3-4CE2-AE16-C5C42B82B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before="240" w:after="60" w:line="300" w:lineRule="auto"/>
        <w:ind w:left="1440" w:hanging="360"/>
        <w:jc w:val="both"/>
      </w:pPr>
    </w:pPrDefault>
  </w:docDefaults>
  <w:latentStyles w:defLockedState="0" w:defUIPriority="99" w:defSemiHidden="0" w:defUnhideWhenUsed="0" w:defQFormat="0" w:count="371">
    <w:lsdException w:name="Normal" w:qFormat="1"/>
    <w:lsdException w:name="heading 1" w:uiPriority="9" w:qFormat="1"/>
    <w:lsdException w:name="heading 2" w:semiHidden="1" w:uiPriority="3"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rsid w:val="007530D2"/>
    <w:pPr>
      <w:spacing w:before="0" w:after="0" w:line="240" w:lineRule="auto"/>
      <w:ind w:left="0" w:firstLine="0"/>
      <w:jc w:val="left"/>
    </w:pPr>
    <w:rPr>
      <w:rFonts w:ascii="Arial" w:eastAsia="Times New Roman" w:hAnsi="Arial" w:cs="Times New Roman"/>
      <w:sz w:val="20"/>
      <w:szCs w:val="24"/>
      <w:lang w:eastAsia="en-US"/>
    </w:rPr>
  </w:style>
  <w:style w:type="paragraph" w:styleId="Heading2">
    <w:name w:val="heading 2"/>
    <w:next w:val="Normal"/>
    <w:link w:val="Heading2Char"/>
    <w:uiPriority w:val="3"/>
    <w:qFormat/>
    <w:rsid w:val="007530D2"/>
    <w:pPr>
      <w:keepNext/>
      <w:autoSpaceDE w:val="0"/>
      <w:autoSpaceDN w:val="0"/>
      <w:adjustRightInd w:val="0"/>
      <w:spacing w:before="0" w:after="0" w:line="240" w:lineRule="auto"/>
      <w:ind w:left="0" w:firstLine="0"/>
      <w:jc w:val="left"/>
      <w:outlineLvl w:val="1"/>
    </w:pPr>
    <w:rPr>
      <w:rFonts w:ascii="Arial Bold" w:eastAsia="Times New Roman" w:hAnsi="Arial Bold" w:cs="Times New Roman"/>
      <w:b/>
      <w:sz w:val="24"/>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3"/>
    <w:rsid w:val="007530D2"/>
    <w:rPr>
      <w:rFonts w:ascii="Arial Bold" w:eastAsia="Times New Roman" w:hAnsi="Arial Bold" w:cs="Times New Roman"/>
      <w:b/>
      <w:sz w:val="24"/>
      <w:szCs w:val="20"/>
      <w:lang w:eastAsia="en-US"/>
    </w:rPr>
  </w:style>
  <w:style w:type="paragraph" w:styleId="Footer">
    <w:name w:val="footer"/>
    <w:basedOn w:val="Normal"/>
    <w:link w:val="FooterChar"/>
    <w:uiPriority w:val="99"/>
    <w:unhideWhenUsed/>
    <w:rsid w:val="007530D2"/>
    <w:pPr>
      <w:tabs>
        <w:tab w:val="center" w:pos="4680"/>
        <w:tab w:val="right" w:pos="9360"/>
      </w:tabs>
    </w:pPr>
  </w:style>
  <w:style w:type="character" w:customStyle="1" w:styleId="FooterChar">
    <w:name w:val="Footer Char"/>
    <w:basedOn w:val="DefaultParagraphFont"/>
    <w:link w:val="Footer"/>
    <w:uiPriority w:val="99"/>
    <w:rsid w:val="007530D2"/>
    <w:rPr>
      <w:rFonts w:ascii="Arial" w:eastAsia="Times New Roman" w:hAnsi="Arial" w:cs="Times New Roman"/>
      <w:sz w:val="20"/>
      <w:szCs w:val="24"/>
      <w:lang w:eastAsia="en-US"/>
    </w:rPr>
  </w:style>
  <w:style w:type="character" w:styleId="Hyperlink">
    <w:name w:val="Hyperlink"/>
    <w:basedOn w:val="DefaultParagraphFont"/>
    <w:uiPriority w:val="99"/>
    <w:rsid w:val="007530D2"/>
    <w:rPr>
      <w:rFonts w:ascii="Arial" w:hAnsi="Arial"/>
      <w:dstrike w:val="0"/>
      <w:color w:val="auto"/>
      <w:u w:val="single"/>
      <w:vertAlign w:val="baseline"/>
    </w:rPr>
  </w:style>
  <w:style w:type="paragraph" w:customStyle="1" w:styleId="CoverSubtitle">
    <w:name w:val="Cover: Subtitle"/>
    <w:uiPriority w:val="74"/>
    <w:rsid w:val="007530D2"/>
    <w:pPr>
      <w:spacing w:before="0" w:after="360" w:line="480" w:lineRule="exact"/>
      <w:ind w:left="907" w:right="2160" w:firstLine="0"/>
      <w:jc w:val="left"/>
    </w:pPr>
    <w:rPr>
      <w:rFonts w:ascii="Arial" w:eastAsia="Times New Roman" w:hAnsi="Arial" w:cs="Times New Roman"/>
      <w:color w:val="000000"/>
      <w:sz w:val="44"/>
      <w:szCs w:val="18"/>
      <w:lang w:eastAsia="en-US"/>
    </w:rPr>
  </w:style>
  <w:style w:type="paragraph" w:customStyle="1" w:styleId="CoverDocumentType10pt">
    <w:name w:val="Cover: Document Type 10pt"/>
    <w:link w:val="CoverDocumentType10ptChar"/>
    <w:uiPriority w:val="70"/>
    <w:rsid w:val="007530D2"/>
    <w:pPr>
      <w:spacing w:after="0" w:line="240" w:lineRule="auto"/>
      <w:ind w:left="0" w:firstLine="0"/>
      <w:jc w:val="left"/>
    </w:pPr>
    <w:rPr>
      <w:rFonts w:ascii="Arial" w:eastAsia="Times New Roman" w:hAnsi="Arial" w:cs="Times New Roman"/>
      <w:sz w:val="20"/>
      <w:szCs w:val="18"/>
      <w:lang w:eastAsia="en-US"/>
    </w:rPr>
  </w:style>
  <w:style w:type="paragraph" w:customStyle="1" w:styleId="MISCTitleDescriptorinheader11ptLight">
    <w:name w:val="MISC: Title Descriptor (in header) 11pt Light"/>
    <w:basedOn w:val="Normal"/>
    <w:uiPriority w:val="99"/>
    <w:rsid w:val="007530D2"/>
    <w:pPr>
      <w:spacing w:before="180" w:after="240"/>
    </w:pPr>
    <w:rPr>
      <w:rFonts w:ascii="Metric Light" w:hAnsi="Metric Light"/>
    </w:rPr>
  </w:style>
  <w:style w:type="character" w:customStyle="1" w:styleId="CoverDocumentType10ptChar">
    <w:name w:val="Cover: Document Type 10pt Char"/>
    <w:basedOn w:val="DefaultParagraphFont"/>
    <w:link w:val="CoverDocumentType10pt"/>
    <w:uiPriority w:val="70"/>
    <w:rsid w:val="007530D2"/>
    <w:rPr>
      <w:rFonts w:ascii="Arial" w:eastAsia="Times New Roman" w:hAnsi="Arial" w:cs="Times New Roman"/>
      <w:sz w:val="20"/>
      <w:szCs w:val="18"/>
      <w:lang w:eastAsia="en-US"/>
    </w:rPr>
  </w:style>
  <w:style w:type="paragraph" w:customStyle="1" w:styleId="BackPageLearnmoreatURL12pt">
    <w:name w:val="Back Page: Learn more at URL 12 pt"/>
    <w:basedOn w:val="Normal"/>
    <w:uiPriority w:val="99"/>
    <w:rsid w:val="007530D2"/>
    <w:pPr>
      <w:keepNext/>
      <w:autoSpaceDE w:val="0"/>
      <w:autoSpaceDN w:val="0"/>
      <w:adjustRightInd w:val="0"/>
      <w:spacing w:line="240" w:lineRule="exact"/>
      <w:outlineLvl w:val="1"/>
    </w:pPr>
    <w:rPr>
      <w:b/>
      <w:sz w:val="24"/>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2.xml"/><Relationship Id="rId11" Type="http://schemas.openxmlformats.org/officeDocument/2006/relationships/theme" Target="theme/theme1.xml"/><Relationship Id="rId5" Type="http://schemas.openxmlformats.org/officeDocument/2006/relationships/header" Target="header1.xm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707</Words>
  <Characters>4030</Characters>
  <Application>Microsoft Office Word</Application>
  <DocSecurity>0</DocSecurity>
  <Lines>33</Lines>
  <Paragraphs>9</Paragraphs>
  <ScaleCrop>false</ScaleCrop>
  <Company>Hewlett Packard</Company>
  <LinksUpToDate>false</LinksUpToDate>
  <CharactersWithSpaces>4728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Yi</dc:creator>
  <cp:keywords/>
  <dc:description/>
  <cp:lastModifiedBy>Cheng, Yi</cp:lastModifiedBy>
  <cp:revision>2</cp:revision>
  <dcterms:created xsi:type="dcterms:W3CDTF">2017-01-25T01:19:00Z</dcterms:created>
  <dcterms:modified xsi:type="dcterms:W3CDTF">2017-01-25T01:19:00Z</dcterms:modified>
</cp:coreProperties>
</file>