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205C9" w:rsidR="003205C9" w:rsidP="003205C9" w:rsidRDefault="003205C9" w14:paraId="56330D7C" w14:textId="77777777">
      <w:pPr>
        <w:rPr>
          <w:b/>
          <w:bCs/>
        </w:rPr>
      </w:pPr>
      <w:r w:rsidRPr="003205C9">
        <w:rPr>
          <w:b/>
          <w:bCs/>
        </w:rPr>
        <w:t>[[UHD]] Ativação do Domínio TBAD</w:t>
      </w:r>
    </w:p>
    <w:p w:rsidRPr="003205C9" w:rsidR="003205C9" w:rsidP="003205C9" w:rsidRDefault="003205C9" w14:paraId="7F9928DB" w14:textId="77777777">
      <w:r w:rsidRPr="003205C9">
        <w:t>KB0388529</w:t>
      </w:r>
    </w:p>
    <w:p w:rsidRPr="003205C9" w:rsidR="003205C9" w:rsidP="003205C9" w:rsidRDefault="003205C9" w14:paraId="31C15F75" w14:textId="77777777">
      <w:r w:rsidRPr="003205C9">
        <w:t>2 views</w:t>
      </w:r>
    </w:p>
    <w:p w:rsidRPr="003205C9" w:rsidR="003205C9" w:rsidP="003205C9" w:rsidRDefault="003205C9" w14:paraId="6277D5C2" w14:textId="77777777">
      <w:r w:rsidRPr="003205C9">
        <w:t> [[UHD]] Ativação do Domínio TBAD</w:t>
      </w:r>
    </w:p>
    <w:p w:rsidRPr="003205C9" w:rsidR="003205C9" w:rsidP="003205C9" w:rsidRDefault="003205C9" w14:paraId="2A504D8B" w14:textId="77777777">
      <w:r w:rsidRPr="003205C9">
        <w:t> </w:t>
      </w:r>
    </w:p>
    <w:p w:rsidRPr="003205C9" w:rsidR="003205C9" w:rsidP="003205C9" w:rsidRDefault="003205C9" w14:paraId="65BB8DB5" w14:textId="77777777">
      <w:r w:rsidRPr="003205C9">
        <w:rPr>
          <w:b/>
          <w:bCs/>
        </w:rPr>
        <w:t>INTRODUÇÃO</w:t>
      </w:r>
    </w:p>
    <w:p w:rsidRPr="003205C9" w:rsidR="003205C9" w:rsidP="003205C9" w:rsidRDefault="003205C9" w14:paraId="67384C24" w14:textId="77777777">
      <w:r w:rsidRPr="003205C9">
        <w:rPr>
          <w:i/>
          <w:iCs/>
        </w:rPr>
        <w:t>Em razão da separação de Caminhões &amp; Onibus e Carros &amp; Vans, um novo domínio foi implementado para a Daimler Truck em substituição do domínio Americas que a partir de julho de 2025 será gradualmente substituido pelo novo domínio TBAD.</w:t>
      </w:r>
    </w:p>
    <w:p w:rsidRPr="003205C9" w:rsidR="003205C9" w:rsidP="003205C9" w:rsidRDefault="003205C9" w14:paraId="75CDF6CA" w14:textId="77777777">
      <w:r w:rsidRPr="003205C9">
        <w:rPr>
          <w:i/>
          <w:iCs/>
        </w:rPr>
        <w:t>A transição é mandatória para todos os usuários Daimler Truck Brasil.</w:t>
      </w:r>
    </w:p>
    <w:p w:rsidRPr="003205C9" w:rsidR="003205C9" w:rsidP="003205C9" w:rsidRDefault="003205C9" w14:paraId="79818AEE" w14:textId="77777777">
      <w:r w:rsidRPr="003205C9">
        <w:rPr>
          <w:i/>
          <w:iCs/>
        </w:rPr>
        <w:t>A equipe UHD deve informar ao usuário sobre essa migração e deixar claro que o TBAD é um novo domínio e não interfere na conta TBDir.</w:t>
      </w:r>
    </w:p>
    <w:p w:rsidRPr="003205C9" w:rsidR="003205C9" w:rsidP="003205C9" w:rsidRDefault="003205C9" w14:paraId="79BBCDDC" w14:textId="77777777">
      <w:r w:rsidRPr="003205C9">
        <w:rPr>
          <w:i/>
          <w:iCs/>
        </w:rPr>
        <w:t>Orientar o usuário a redefinir a senha TBAD através da IAM Shop para ativar a conta no novo domínio.</w:t>
      </w:r>
      <w:r w:rsidRPr="003205C9">
        <w:rPr>
          <w:i/>
          <w:iCs/>
        </w:rPr>
        <w:br/>
      </w:r>
    </w:p>
    <w:p w:rsidRPr="003205C9" w:rsidR="003205C9" w:rsidP="003205C9" w:rsidRDefault="003205C9" w14:paraId="34D56570" w14:textId="77777777">
      <w:r w:rsidRPr="003205C9">
        <w:rPr>
          <w:i/>
          <w:iCs/>
        </w:rPr>
        <w:t>O usuário deve seguir o passo a passo abaixo:</w:t>
      </w:r>
    </w:p>
    <w:p w:rsidRPr="003205C9" w:rsidR="003205C9" w:rsidP="003205C9" w:rsidRDefault="003205C9" w14:paraId="79A13E8B" w14:textId="77777777">
      <w:r w:rsidRPr="003205C9">
        <w:t> </w:t>
      </w:r>
    </w:p>
    <w:p w:rsidRPr="003205C9" w:rsidR="003205C9" w:rsidP="003205C9" w:rsidRDefault="003205C9" w14:paraId="39E957ED" w14:textId="77777777">
      <w:pPr>
        <w:rPr>
          <w:b/>
          <w:bCs/>
        </w:rPr>
      </w:pPr>
      <w:r w:rsidRPr="003205C9">
        <w:rPr>
          <w:b/>
          <w:bCs/>
        </w:rPr>
        <w:t>PASSO A PASSO – ATIVAÇÃO DO DOMÍNIO TBAD</w:t>
      </w:r>
    </w:p>
    <w:p w:rsidRPr="003205C9" w:rsidR="003205C9" w:rsidP="003205C9" w:rsidRDefault="003205C9" w14:paraId="47DEFBA2" w14:textId="77777777">
      <w:r w:rsidRPr="003205C9">
        <w:t>Realizando o reset da senha no IAM Shop o usuário ativará a conta no novo domínio.</w:t>
      </w:r>
    </w:p>
    <w:p w:rsidRPr="003205C9" w:rsidR="003205C9" w:rsidP="003205C9" w:rsidRDefault="003205C9" w14:paraId="50685C34" w14:textId="77777777">
      <w:r w:rsidRPr="003205C9">
        <w:t> </w:t>
      </w:r>
    </w:p>
    <w:p w:rsidRPr="003205C9" w:rsidR="003205C9" w:rsidP="003205C9" w:rsidRDefault="003205C9" w14:paraId="4EA61560" w14:textId="77777777">
      <w:r w:rsidRPr="003205C9">
        <w:rPr>
          <w:b/>
          <w:bCs/>
        </w:rPr>
        <w:t>RESET DE SENHA TBAD</w:t>
      </w:r>
    </w:p>
    <w:p w:rsidRPr="003205C9" w:rsidR="003205C9" w:rsidP="003205C9" w:rsidRDefault="003205C9" w14:paraId="548EDF96" w14:textId="77777777">
      <w:pPr>
        <w:numPr>
          <w:ilvl w:val="0"/>
          <w:numId w:val="1"/>
        </w:numPr>
      </w:pPr>
      <w:r w:rsidRPr="003205C9">
        <w:t>Acesse o link </w:t>
      </w:r>
      <w:hyperlink w:history="1" w:anchor="N/ITShop/SelfService" r:id="rId5">
        <w:r w:rsidRPr="003205C9">
          <w:rPr>
            <w:rStyle w:val="Hyperlink"/>
          </w:rPr>
          <w:t>https://identity.iga.tbinter.net/ui/#N/ITShop/SelfService</w:t>
        </w:r>
      </w:hyperlink>
    </w:p>
    <w:p w:rsidRPr="003205C9" w:rsidR="003205C9" w:rsidP="00C808AE" w:rsidRDefault="003205C9" w14:paraId="3E775D3E" w14:textId="7ADC6FF1">
      <w:pPr>
        <w:numPr>
          <w:ilvl w:val="0"/>
          <w:numId w:val="1"/>
        </w:numPr>
        <w:rPr/>
      </w:pPr>
      <w:r w:rsidRPr="00C808AE" w:rsidR="3E8DFFBB">
        <w:rPr>
          <w:lang w:val="pt-BR"/>
        </w:rPr>
        <w:t xml:space="preserve">Clique </w:t>
      </w:r>
      <w:r w:rsidRPr="00C808AE" w:rsidR="3E8DFFBB">
        <w:rPr>
          <w:lang w:val="pt-BR"/>
        </w:rPr>
        <w:t>em</w:t>
      </w:r>
      <w:r w:rsidRPr="00C808AE" w:rsidR="3E8DFFBB">
        <w:rPr>
          <w:lang w:val="pt-BR"/>
        </w:rPr>
        <w:t xml:space="preserve"> “</w:t>
      </w:r>
      <w:r w:rsidRPr="00C808AE" w:rsidR="3E8DFFBB">
        <w:rPr>
          <w:i w:val="1"/>
          <w:iCs w:val="1"/>
          <w:lang w:val="pt-BR"/>
        </w:rPr>
        <w:t>Active Directory Password Reset</w:t>
      </w:r>
      <w:r w:rsidRPr="00C808AE" w:rsidR="3E8DFFBB">
        <w:rPr>
          <w:lang w:val="pt-BR"/>
        </w:rPr>
        <w:t>”.</w:t>
      </w:r>
      <w:r w:rsidRPr="00C808AE" w:rsidR="3E8DFFBB">
        <w:rPr>
          <w:lang w:val="pt-BR"/>
        </w:rPr>
        <w:t xml:space="preserve"> Conforme </w:t>
      </w:r>
      <w:r w:rsidRPr="00C808AE" w:rsidR="3E8DFFBB">
        <w:rPr>
          <w:lang w:val="pt-BR"/>
        </w:rPr>
        <w:t>mostra</w:t>
      </w:r>
      <w:r w:rsidRPr="00C808AE" w:rsidR="3E8DFFBB">
        <w:rPr>
          <w:lang w:val="pt-BR"/>
        </w:rPr>
        <w:t xml:space="preserve"> </w:t>
      </w:r>
      <w:r w:rsidRPr="00C808AE" w:rsidR="3E8DFFBB">
        <w:rPr>
          <w:lang w:val="pt-BR"/>
        </w:rPr>
        <w:t>a</w:t>
      </w:r>
      <w:r w:rsidRPr="00C808AE" w:rsidR="3E8DFFBB">
        <w:rPr>
          <w:lang w:val="pt-BR"/>
        </w:rPr>
        <w:t xml:space="preserve"> </w:t>
      </w:r>
      <w:r w:rsidRPr="00C808AE" w:rsidR="3E8DFFBB">
        <w:rPr>
          <w:lang w:val="pt-BR"/>
        </w:rPr>
        <w:t>imagem</w:t>
      </w:r>
      <w:r w:rsidRPr="00C808AE" w:rsidR="3E8DFFBB">
        <w:rPr>
          <w:lang w:val="pt-BR"/>
        </w:rPr>
        <w:t xml:space="preserve"> </w:t>
      </w:r>
      <w:r w:rsidRPr="00C808AE" w:rsidR="3E8DFFBB">
        <w:rPr>
          <w:lang w:val="pt-BR"/>
        </w:rPr>
        <w:t>abaixo</w:t>
      </w:r>
      <w:r w:rsidRPr="00C808AE" w:rsidR="3E8DFFBB">
        <w:rPr>
          <w:lang w:val="pt-BR"/>
        </w:rPr>
        <w:t>:</w:t>
      </w:r>
      <w:r>
        <w:br/>
      </w:r>
      <w:r w:rsidR="43191638">
        <w:drawing>
          <wp:inline wp14:editId="7E7743ED" wp14:anchorId="3A69A6E6">
            <wp:extent cx="5715000" cy="2219325"/>
            <wp:effectExtent l="0" t="0" r="0" b="0"/>
            <wp:docPr id="463662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3662952" name="Picture 463662952"/>
                    <pic:cNvPicPr/>
                  </pic:nvPicPr>
                  <pic:blipFill>
                    <a:blip xmlns:r="http://schemas.openxmlformats.org/officeDocument/2006/relationships" r:embed="rId1306599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8DFFBB">
        <mc:AlternateContent>
          <mc:Choice Requires="wps">
            <w:drawing>
              <wp:inline wp14:editId="5F3E4E26" wp14:anchorId="3ABF65DF">
                <wp:extent cx="302260" cy="302260"/>
                <wp:effectExtent l="0" t="0" r="0" b="0"/>
                <wp:docPr id="1919009473" name="Rectangle 8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spect="1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302260" cy="30226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>
                          <a:noFill/>
                        </a:ln>
                        <a:extLst xmlns:a="http://schemas.openxmlformats.org/drawingml/2006/main"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="3E8DFFBB">
        <w:rPr/>
        <w:t> </w:t>
      </w:r>
    </w:p>
    <w:p w:rsidRPr="003205C9" w:rsidR="003205C9" w:rsidP="003205C9" w:rsidRDefault="003205C9" w14:paraId="0440FA67" w14:textId="77777777">
      <w:pPr>
        <w:numPr>
          <w:ilvl w:val="0"/>
          <w:numId w:val="2"/>
        </w:numPr>
        <w:rPr/>
      </w:pPr>
      <w:r w:rsidR="3E8DFFBB">
        <w:rPr/>
        <w:t>Selecione a conta para realizar o reset/ativação do TBAD. </w:t>
      </w:r>
      <w:r w:rsidRPr="00C808AE" w:rsidR="3E8DFFBB">
        <w:rPr>
          <w:i w:val="1"/>
          <w:iCs w:val="1"/>
        </w:rPr>
        <w:t>(Basta clicar para selecionar. Às vezes é necessário aguardar alguns minutos para carregar a conta do usuário na página).</w:t>
      </w:r>
    </w:p>
    <w:p w:rsidRPr="003205C9" w:rsidR="003205C9" w:rsidP="00C808AE" w:rsidRDefault="003205C9" w14:paraId="4BD303F4" w14:textId="07F2381D">
      <w:pPr>
        <w:pStyle w:val="Normal"/>
      </w:pPr>
      <w:r w:rsidR="108879DE">
        <w:drawing>
          <wp:inline wp14:editId="6E13D7C2" wp14:anchorId="0039B7A6">
            <wp:extent cx="5943600" cy="2543175"/>
            <wp:effectExtent l="0" t="0" r="0" b="0"/>
            <wp:docPr id="1373526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526759" name="Picture 1373526759"/>
                    <pic:cNvPicPr/>
                  </pic:nvPicPr>
                  <pic:blipFill>
                    <a:blip xmlns:r="http://schemas.openxmlformats.org/officeDocument/2006/relationships" r:embed="rId1372587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205C9" w:rsidR="003205C9" w:rsidP="003205C9" w:rsidRDefault="003205C9" w14:paraId="794B8CDE" w14:textId="77777777">
      <w:r w:rsidRPr="003205C9">
        <w:t> </w:t>
      </w:r>
    </w:p>
    <w:p w:rsidRPr="003205C9" w:rsidR="003205C9" w:rsidP="00C808AE" w:rsidRDefault="003205C9" w14:paraId="626809B2" w14:textId="3E1C77F1">
      <w:pPr>
        <w:pStyle w:val="Normal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sz w:val="24"/>
          <w:szCs w:val="24"/>
          <w:lang w:val="en-US"/>
        </w:rPr>
      </w:pPr>
      <w:r w:rsidRPr="00C808AE" w:rsidR="3E8DFFBB">
        <w:rPr>
          <w:lang w:val="en-US"/>
        </w:rPr>
        <w:t>Redefina</w:t>
      </w:r>
      <w:r w:rsidRPr="00C808AE" w:rsidR="3E8DFFBB">
        <w:rPr>
          <w:lang w:val="en-US"/>
        </w:rPr>
        <w:t xml:space="preserve"> a </w:t>
      </w:r>
      <w:r w:rsidRPr="00C808AE" w:rsidR="3E8DFFBB">
        <w:rPr>
          <w:lang w:val="en-US"/>
        </w:rPr>
        <w:t>senha</w:t>
      </w:r>
      <w:r w:rsidRPr="00C808AE" w:rsidR="3E8DFFBB">
        <w:rPr>
          <w:lang w:val="en-US"/>
        </w:rPr>
        <w:t xml:space="preserve">, </w:t>
      </w:r>
      <w:r w:rsidRPr="00C808AE" w:rsidR="3E8DFFBB">
        <w:rPr>
          <w:lang w:val="en-US"/>
        </w:rPr>
        <w:t>respeitando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todos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os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requisitos</w:t>
      </w:r>
      <w:r w:rsidRPr="00C808AE" w:rsidR="3E8DFFBB">
        <w:rPr>
          <w:lang w:val="en-US"/>
        </w:rPr>
        <w:t xml:space="preserve"> e </w:t>
      </w:r>
      <w:r w:rsidRPr="00C808AE" w:rsidR="3E8DFFBB">
        <w:rPr>
          <w:lang w:val="en-US"/>
        </w:rPr>
        <w:t>cuide</w:t>
      </w:r>
      <w:r w:rsidRPr="00C808AE" w:rsidR="3E8DFFBB">
        <w:rPr>
          <w:lang w:val="en-US"/>
        </w:rPr>
        <w:t xml:space="preserve"> </w:t>
      </w:r>
      <w:bookmarkStart w:name="_Int_jLfpGSZP" w:id="1167005151"/>
      <w:r w:rsidRPr="00C808AE" w:rsidR="3E8DFFBB">
        <w:rPr>
          <w:lang w:val="en-US"/>
        </w:rPr>
        <w:t>para </w:t>
      </w:r>
      <w:r w:rsidRPr="00C808AE" w:rsidR="3D78781A">
        <w:rPr>
          <w:lang w:val="en-US"/>
        </w:rPr>
        <w:t xml:space="preserve"> </w:t>
      </w:r>
      <w:r w:rsidRPr="00C808AE" w:rsidR="3E8DFFBB">
        <w:rPr>
          <w:b w:val="1"/>
          <w:bCs w:val="1"/>
          <w:highlight w:val="yellow"/>
          <w:lang w:val="en-US"/>
        </w:rPr>
        <w:t>NÃO</w:t>
      </w:r>
      <w:bookmarkEnd w:id="1167005151"/>
      <w:r w:rsidRPr="00C808AE" w:rsidR="3E8DFFBB">
        <w:rPr>
          <w:b w:val="1"/>
          <w:bCs w:val="1"/>
          <w:highlight w:val="yellow"/>
          <w:lang w:val="en-US"/>
        </w:rPr>
        <w:t xml:space="preserve"> </w:t>
      </w:r>
      <w:r w:rsidRPr="00C808AE" w:rsidR="1222B94A">
        <w:rPr>
          <w:b w:val="1"/>
          <w:bCs w:val="1"/>
          <w:highlight w:val="yellow"/>
          <w:lang w:val="en-US"/>
        </w:rPr>
        <w:t>SELECIONAR</w:t>
      </w:r>
      <w:r w:rsidRPr="00C808AE" w:rsidR="1222B94A">
        <w:rPr>
          <w:b w:val="1"/>
          <w:bCs w:val="1"/>
          <w:lang w:val="en-US"/>
        </w:rPr>
        <w:t xml:space="preserve"> </w:t>
      </w:r>
      <w:r w:rsidRPr="00C808AE" w:rsidR="3E8DFFBB">
        <w:rPr>
          <w:lang w:val="en-US"/>
        </w:rPr>
        <w:t xml:space="preserve">a </w:t>
      </w:r>
      <w:r w:rsidRPr="00C808AE" w:rsidR="3E8DFFBB">
        <w:rPr>
          <w:lang w:val="en-US"/>
        </w:rPr>
        <w:t>caixa</w:t>
      </w:r>
      <w:r w:rsidRPr="00C808AE" w:rsidR="3E8DFFBB">
        <w:rPr>
          <w:lang w:val="en-US"/>
        </w:rPr>
        <w:t xml:space="preserve"> da </w:t>
      </w:r>
      <w:r w:rsidRPr="00C808AE" w:rsidR="3E8DFFBB">
        <w:rPr>
          <w:lang w:val="en-US"/>
        </w:rPr>
        <w:t>opção</w:t>
      </w:r>
      <w:r w:rsidRPr="00C808AE" w:rsidR="3E8DFFBB">
        <w:rPr>
          <w:lang w:val="en-US"/>
        </w:rPr>
        <w:t xml:space="preserve"> “</w:t>
      </w:r>
      <w:r w:rsidRPr="00C808AE" w:rsidR="3E8DFFBB">
        <w:rPr>
          <w:i w:val="1"/>
          <w:iCs w:val="1"/>
          <w:lang w:val="en-US"/>
        </w:rPr>
        <w:t>User</w:t>
      </w:r>
      <w:r w:rsidRPr="00C808AE" w:rsidR="3E8DFFBB">
        <w:rPr>
          <w:i w:val="1"/>
          <w:iCs w:val="1"/>
          <w:lang w:val="en-US"/>
        </w:rPr>
        <w:t xml:space="preserve"> must </w:t>
      </w:r>
      <w:r w:rsidRPr="00C808AE" w:rsidR="3E8DFFBB">
        <w:rPr>
          <w:i w:val="1"/>
          <w:iCs w:val="1"/>
          <w:lang w:val="en-US"/>
        </w:rPr>
        <w:t>change</w:t>
      </w:r>
      <w:r w:rsidRPr="00C808AE" w:rsidR="3E8DFFBB">
        <w:rPr>
          <w:i w:val="1"/>
          <w:iCs w:val="1"/>
          <w:lang w:val="en-US"/>
        </w:rPr>
        <w:t xml:space="preserve"> </w:t>
      </w:r>
      <w:r w:rsidRPr="00C808AE" w:rsidR="3E8DFFBB">
        <w:rPr>
          <w:i w:val="1"/>
          <w:iCs w:val="1"/>
          <w:lang w:val="en-US"/>
        </w:rPr>
        <w:t>password</w:t>
      </w:r>
      <w:r w:rsidRPr="00C808AE" w:rsidR="3E8DFFBB">
        <w:rPr>
          <w:i w:val="1"/>
          <w:iCs w:val="1"/>
          <w:lang w:val="en-US"/>
        </w:rPr>
        <w:t xml:space="preserve"> </w:t>
      </w:r>
      <w:r w:rsidRPr="00C808AE" w:rsidR="3E8DFFBB">
        <w:rPr>
          <w:i w:val="1"/>
          <w:iCs w:val="1"/>
          <w:lang w:val="en-US"/>
        </w:rPr>
        <w:t>at</w:t>
      </w:r>
      <w:r w:rsidRPr="00C808AE" w:rsidR="3E8DFFBB">
        <w:rPr>
          <w:i w:val="1"/>
          <w:iCs w:val="1"/>
          <w:lang w:val="en-US"/>
        </w:rPr>
        <w:t xml:space="preserve"> </w:t>
      </w:r>
      <w:r w:rsidRPr="00C808AE" w:rsidR="3E8DFFBB">
        <w:rPr>
          <w:i w:val="1"/>
          <w:iCs w:val="1"/>
          <w:lang w:val="en-US"/>
        </w:rPr>
        <w:t>next</w:t>
      </w:r>
      <w:r w:rsidRPr="00C808AE" w:rsidR="3E8DFFBB">
        <w:rPr>
          <w:i w:val="1"/>
          <w:iCs w:val="1"/>
          <w:lang w:val="en-US"/>
        </w:rPr>
        <w:t xml:space="preserve"> </w:t>
      </w:r>
      <w:r w:rsidRPr="00C808AE" w:rsidR="3E8DFFBB">
        <w:rPr>
          <w:i w:val="1"/>
          <w:iCs w:val="1"/>
          <w:lang w:val="en-US"/>
        </w:rPr>
        <w:t>logon</w:t>
      </w:r>
      <w:r w:rsidRPr="00C808AE" w:rsidR="3E8DFFBB">
        <w:rPr>
          <w:i w:val="1"/>
          <w:iCs w:val="1"/>
          <w:lang w:val="en-US"/>
        </w:rPr>
        <w:t>”</w:t>
      </w:r>
      <w:r w:rsidRPr="00C808AE" w:rsidR="3E8DFFBB">
        <w:rPr>
          <w:lang w:val="en-US"/>
        </w:rPr>
        <w:t>.</w:t>
      </w:r>
    </w:p>
    <w:p w:rsidRPr="003205C9" w:rsidR="003205C9" w:rsidP="00C808AE" w:rsidRDefault="003205C9" w14:paraId="4C48E4FA" w14:textId="5CA413B7">
      <w:pPr>
        <w:pStyle w:val="Normal"/>
      </w:pPr>
      <w:r w:rsidR="3E8DFFBB">
        <mc:AlternateContent>
          <mc:Choice Requires="wps">
            <w:drawing>
              <wp:inline wp14:editId="4419FBAC" wp14:anchorId="20676F54">
                <wp:extent cx="302260" cy="302260"/>
                <wp:effectExtent l="0" t="0" r="0" b="0"/>
                <wp:docPr id="989073247" name="Rectangle 6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spect="1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302260" cy="30226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>
                          <a:noFill/>
                        </a:ln>
                        <a:extLst xmlns:a="http://schemas.openxmlformats.org/drawingml/2006/main"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="25D5A2AF">
        <w:drawing>
          <wp:inline wp14:editId="7019A6FE" wp14:anchorId="3FA0D5F5">
            <wp:extent cx="3171825" cy="1533525"/>
            <wp:effectExtent l="0" t="0" r="0" b="0"/>
            <wp:docPr id="21372882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7288297" name="Picture 2137288297"/>
                    <pic:cNvPicPr/>
                  </pic:nvPicPr>
                  <pic:blipFill>
                    <a:blip xmlns:r="http://schemas.openxmlformats.org/officeDocument/2006/relationships" r:embed="rId1882068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205C9" w:rsidR="003205C9" w:rsidP="003205C9" w:rsidRDefault="003205C9" w14:paraId="23853991" w14:textId="77777777">
      <w:r w:rsidRPr="003205C9">
        <w:rPr>
          <w:i/>
          <w:iCs/>
        </w:rPr>
        <w:br/>
      </w:r>
      <w:r w:rsidRPr="003205C9">
        <w:rPr>
          <w:b/>
          <w:bCs/>
          <w:i/>
          <w:iCs/>
        </w:rPr>
        <w:t>A senha deve conter:</w:t>
      </w:r>
    </w:p>
    <w:p w:rsidRPr="003205C9" w:rsidR="003205C9" w:rsidP="003205C9" w:rsidRDefault="003205C9" w14:paraId="48FE34FC" w14:textId="77777777">
      <w:pPr>
        <w:numPr>
          <w:ilvl w:val="0"/>
          <w:numId w:val="4"/>
        </w:numPr>
      </w:pPr>
      <w:r w:rsidRPr="003205C9">
        <w:t>No mínimo oito e no máximo 24 caracteres</w:t>
      </w:r>
    </w:p>
    <w:p w:rsidRPr="003205C9" w:rsidR="003205C9" w:rsidP="00C808AE" w:rsidRDefault="003205C9" w14:paraId="47E16379" w14:textId="17FC7E6B">
      <w:pPr>
        <w:numPr>
          <w:ilvl w:val="0"/>
          <w:numId w:val="4"/>
        </w:numPr>
        <w:rPr>
          <w:lang w:val="en-US"/>
        </w:rPr>
      </w:pPr>
      <w:r w:rsidRPr="00C808AE" w:rsidR="3E8DFFBB">
        <w:rPr>
          <w:lang w:val="en-US"/>
        </w:rPr>
        <w:t xml:space="preserve">Pelo </w:t>
      </w:r>
      <w:r w:rsidRPr="00C808AE" w:rsidR="3E8DFFBB">
        <w:rPr>
          <w:lang w:val="en-US"/>
        </w:rPr>
        <w:t>menos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uma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letra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maiúscula</w:t>
      </w:r>
      <w:r w:rsidRPr="00C808AE" w:rsidR="3E8DFFBB">
        <w:rPr>
          <w:lang w:val="en-US"/>
        </w:rPr>
        <w:t xml:space="preserve">, </w:t>
      </w:r>
      <w:r w:rsidRPr="00C808AE" w:rsidR="3E8DFFBB">
        <w:rPr>
          <w:lang w:val="en-US"/>
        </w:rPr>
        <w:t>uma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letra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minúscula</w:t>
      </w:r>
      <w:r w:rsidRPr="00C808AE" w:rsidR="3E8DFFBB">
        <w:rPr>
          <w:lang w:val="en-US"/>
        </w:rPr>
        <w:t xml:space="preserve">, um </w:t>
      </w:r>
      <w:r w:rsidRPr="00C808AE" w:rsidR="3E8DFFBB">
        <w:rPr>
          <w:lang w:val="en-US"/>
        </w:rPr>
        <w:t>número</w:t>
      </w:r>
      <w:r w:rsidRPr="00C808AE" w:rsidR="3E8DFFBB">
        <w:rPr>
          <w:lang w:val="en-US"/>
        </w:rPr>
        <w:t xml:space="preserve"> e um </w:t>
      </w:r>
      <w:r w:rsidRPr="00C808AE" w:rsidR="3E8DFFBB">
        <w:rPr>
          <w:lang w:val="en-US"/>
        </w:rPr>
        <w:t>caracter</w:t>
      </w:r>
      <w:r w:rsidRPr="00C808AE" w:rsidR="3E8DFFBB">
        <w:rPr>
          <w:lang w:val="en-US"/>
        </w:rPr>
        <w:t xml:space="preserve"> especial </w:t>
      </w:r>
      <w:r w:rsidRPr="00C808AE" w:rsidR="3E8DFFBB">
        <w:rPr>
          <w:lang w:val="en-US"/>
        </w:rPr>
        <w:t>como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puntuação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ou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símbolos</w:t>
      </w:r>
      <w:r w:rsidRPr="00C808AE" w:rsidR="3E8DFFBB">
        <w:rPr>
          <w:lang w:val="en-US"/>
        </w:rPr>
        <w:t xml:space="preserve"> : ! @ # $ % &amp; ( { [ ? ] } )</w:t>
      </w:r>
      <w:r w:rsidR="0C700C2B">
        <w:drawing>
          <wp:inline wp14:editId="711E91BB" wp14:anchorId="6AB06477">
            <wp:extent cx="5943600" cy="5095875"/>
            <wp:effectExtent l="0" t="0" r="0" b="0"/>
            <wp:docPr id="1832663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2663288" name="Picture 1832663288"/>
                    <pic:cNvPicPr/>
                  </pic:nvPicPr>
                  <pic:blipFill>
                    <a:blip xmlns:r="http://schemas.openxmlformats.org/officeDocument/2006/relationships" r:embed="rId2048358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Pr="003205C9" w:rsidR="003205C9" w:rsidP="003205C9" w:rsidRDefault="003205C9" w14:paraId="2CB1F39F" w14:textId="77777777">
      <w:r w:rsidRPr="003205C9">
        <w:t>Conclua o reset de sua senha.</w:t>
      </w:r>
    </w:p>
    <w:p w:rsidRPr="003205C9" w:rsidR="003205C9" w:rsidP="00C808AE" w:rsidRDefault="003205C9" w14:paraId="41DBEC5C" w14:textId="12C6899F">
      <w:pPr>
        <w:rPr>
          <w:b w:val="1"/>
          <w:bCs w:val="1"/>
          <w:highlight w:val="yellow"/>
        </w:rPr>
      </w:pPr>
      <w:r w:rsidRPr="00C808AE" w:rsidR="3E8DFFBB">
        <w:rPr>
          <w:b w:val="1"/>
          <w:bCs w:val="1"/>
          <w:highlight w:val="yellow"/>
        </w:rPr>
        <w:t>ATENÇ</w:t>
      </w:r>
      <w:r w:rsidRPr="00C808AE" w:rsidR="2DCFB55B">
        <w:rPr>
          <w:b w:val="1"/>
          <w:bCs w:val="1"/>
          <w:highlight w:val="yellow"/>
        </w:rPr>
        <w:t>Ã</w:t>
      </w:r>
      <w:r w:rsidRPr="00C808AE" w:rsidR="3E8DFFBB">
        <w:rPr>
          <w:b w:val="1"/>
          <w:bCs w:val="1"/>
          <w:highlight w:val="yellow"/>
        </w:rPr>
        <w:t>O</w:t>
      </w:r>
    </w:p>
    <w:p w:rsidR="00F1612C" w:rsidRDefault="00F1612C" w14:paraId="7476423F" w14:textId="201F31B9">
      <w:r w:rsidRPr="00C808AE" w:rsidR="3E8DFFBB">
        <w:rPr>
          <w:lang w:val="en-US"/>
        </w:rPr>
        <w:t>Após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clicar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em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Submit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vai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aparecer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uma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mensagem</w:t>
      </w:r>
      <w:r w:rsidRPr="00C808AE" w:rsidR="3E8DFFBB">
        <w:rPr>
          <w:lang w:val="en-US"/>
        </w:rPr>
        <w:t xml:space="preserve"> de </w:t>
      </w:r>
      <w:r w:rsidRPr="00C808AE" w:rsidR="3E8DFFBB">
        <w:rPr>
          <w:lang w:val="en-US"/>
        </w:rPr>
        <w:t>sucesso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na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tela</w:t>
      </w:r>
      <w:r w:rsidRPr="00C808AE" w:rsidR="3E8DFFBB">
        <w:rPr>
          <w:lang w:val="en-US"/>
        </w:rPr>
        <w:t xml:space="preserve">, </w:t>
      </w:r>
      <w:r>
        <w:br/>
      </w:r>
      <w:r w:rsidRPr="00C808AE" w:rsidR="3E8DFFBB">
        <w:rPr>
          <w:lang w:val="en-US"/>
        </w:rPr>
        <w:t xml:space="preserve">e um novo </w:t>
      </w:r>
      <w:r w:rsidRPr="00C808AE" w:rsidR="3E8DFFBB">
        <w:rPr>
          <w:lang w:val="en-US"/>
        </w:rPr>
        <w:t>botão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submit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também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aparecerá</w:t>
      </w:r>
      <w:r w:rsidRPr="00C808AE" w:rsidR="3E8DFFBB">
        <w:rPr>
          <w:lang w:val="en-US"/>
        </w:rPr>
        <w:t xml:space="preserve"> - </w:t>
      </w:r>
      <w:r>
        <w:br/>
      </w:r>
      <w:r w:rsidRPr="00C808AE" w:rsidR="3E8DFFBB">
        <w:rPr>
          <w:b w:val="1"/>
          <w:bCs w:val="1"/>
          <w:highlight w:val="yellow"/>
          <w:lang w:val="en-US"/>
        </w:rPr>
        <w:t>NÃO</w:t>
      </w:r>
      <w:r w:rsidRPr="00C808AE" w:rsidR="3E8DFFBB">
        <w:rPr>
          <w:b w:val="1"/>
          <w:bCs w:val="1"/>
          <w:lang w:val="en-US"/>
        </w:rPr>
        <w:t xml:space="preserve"> </w:t>
      </w:r>
      <w:r w:rsidRPr="00C808AE" w:rsidR="3E8DFFBB">
        <w:rPr>
          <w:lang w:val="en-US"/>
        </w:rPr>
        <w:t xml:space="preserve">clique </w:t>
      </w:r>
      <w:r w:rsidRPr="00C808AE" w:rsidR="3E8DFFBB">
        <w:rPr>
          <w:lang w:val="en-US"/>
        </w:rPr>
        <w:t>novamente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neste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botão</w:t>
      </w:r>
      <w:r w:rsidRPr="00C808AE" w:rsidR="3E8DFFBB">
        <w:rPr>
          <w:lang w:val="en-US"/>
        </w:rPr>
        <w:t xml:space="preserve"> pois </w:t>
      </w:r>
      <w:r w:rsidRPr="00C808AE" w:rsidR="3E8DFFBB">
        <w:rPr>
          <w:lang w:val="en-US"/>
        </w:rPr>
        <w:t>ele</w:t>
      </w:r>
      <w:r w:rsidRPr="00C808AE" w:rsidR="3E8DFFBB">
        <w:rPr>
          <w:lang w:val="en-US"/>
        </w:rPr>
        <w:t xml:space="preserve"> </w:t>
      </w:r>
      <w:r w:rsidRPr="00C808AE" w:rsidR="3E8DFFBB">
        <w:rPr>
          <w:lang w:val="en-US"/>
        </w:rPr>
        <w:t>gera</w:t>
      </w:r>
      <w:r w:rsidRPr="00C808AE" w:rsidR="3E8DFFBB">
        <w:rPr>
          <w:lang w:val="en-US"/>
        </w:rPr>
        <w:t xml:space="preserve"> um </w:t>
      </w:r>
      <w:r w:rsidRPr="00C808AE" w:rsidR="3E8DFFBB">
        <w:rPr>
          <w:lang w:val="en-US"/>
        </w:rPr>
        <w:t>erro</w:t>
      </w:r>
      <w:r w:rsidRPr="00C808AE" w:rsidR="3E8DFFBB">
        <w:rPr>
          <w:lang w:val="en-US"/>
        </w:rPr>
        <w:t>.</w:t>
      </w:r>
    </w:p>
    <w:sectPr w:rsidR="00F1612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jLfpGSZP" int2:invalidationBookmarkName="" int2:hashCode="BusupsJ8EZGAJb" int2:id="7fPEzsYg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7021A"/>
    <w:multiLevelType w:val="multilevel"/>
    <w:tmpl w:val="AEB4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EC57D60"/>
    <w:multiLevelType w:val="multilevel"/>
    <w:tmpl w:val="4A76F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E11683"/>
    <w:multiLevelType w:val="multilevel"/>
    <w:tmpl w:val="8DF42A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5712D3"/>
    <w:multiLevelType w:val="multilevel"/>
    <w:tmpl w:val="BA9C80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2416558">
    <w:abstractNumId w:val="1"/>
  </w:num>
  <w:num w:numId="2" w16cid:durableId="1322928642">
    <w:abstractNumId w:val="3"/>
  </w:num>
  <w:num w:numId="3" w16cid:durableId="802505597">
    <w:abstractNumId w:val="2"/>
  </w:num>
  <w:num w:numId="4" w16cid:durableId="2130125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5C9"/>
    <w:rsid w:val="003205C9"/>
    <w:rsid w:val="00A86C7B"/>
    <w:rsid w:val="00C56E0A"/>
    <w:rsid w:val="00C808AE"/>
    <w:rsid w:val="00F1612C"/>
    <w:rsid w:val="0C700C2B"/>
    <w:rsid w:val="108879DE"/>
    <w:rsid w:val="1222B94A"/>
    <w:rsid w:val="1AA9ABCC"/>
    <w:rsid w:val="25D5A2AF"/>
    <w:rsid w:val="2879CF38"/>
    <w:rsid w:val="2DCFB55B"/>
    <w:rsid w:val="367DB37C"/>
    <w:rsid w:val="3D78781A"/>
    <w:rsid w:val="3E8DFFBB"/>
    <w:rsid w:val="43191638"/>
    <w:rsid w:val="437455AB"/>
    <w:rsid w:val="53F2553F"/>
    <w:rsid w:val="7F1FF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71D1D"/>
  <w15:chartTrackingRefBased/>
  <w15:docId w15:val="{E6960149-7FCE-49AD-A92A-673A927E5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5C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5C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205C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205C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205C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205C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205C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205C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205C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205C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20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5C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205C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20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5C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20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5C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20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5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05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5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identity.iga.tbinter.net/ui/" TargetMode="External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openxmlformats.org/officeDocument/2006/relationships/image" Target="/media/image.png" Id="rId1306599626" /><Relationship Type="http://schemas.openxmlformats.org/officeDocument/2006/relationships/image" Target="/media/image2.png" Id="rId1372587488" /><Relationship Type="http://schemas.openxmlformats.org/officeDocument/2006/relationships/image" Target="/media/image3.png" Id="rId1882068353" /><Relationship Type="http://schemas.openxmlformats.org/officeDocument/2006/relationships/image" Target="/media/image4.png" Id="rId2048358364" /><Relationship Type="http://schemas.microsoft.com/office/2020/10/relationships/intelligence" Target="intelligence2.xml" Id="R4f3b44ae1cbd491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1E9BF930-D344-46B8-A21A-A90B1D4E3A36}"/>
</file>

<file path=customXml/itemProps2.xml><?xml version="1.0" encoding="utf-8"?>
<ds:datastoreItem xmlns:ds="http://schemas.openxmlformats.org/officeDocument/2006/customXml" ds:itemID="{B5EB455B-1DEE-4F94-B895-FB393E968904}"/>
</file>

<file path=customXml/itemProps3.xml><?xml version="1.0" encoding="utf-8"?>
<ds:datastoreItem xmlns:ds="http://schemas.openxmlformats.org/officeDocument/2006/customXml" ds:itemID="{852FEE75-364D-4376-A65F-F9F089EB9A1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Zocco, Andre (Cognizant)</dc:creator>
  <keywords/>
  <dc:description/>
  <lastModifiedBy>Da Costa, Brener (Cognizant)</lastModifiedBy>
  <revision>2</revision>
  <dcterms:created xsi:type="dcterms:W3CDTF">2026-06-17T17:23:00.0000000Z</dcterms:created>
  <dcterms:modified xsi:type="dcterms:W3CDTF">2026-09-16T14:11:27.5464303Z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