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drawings/drawing3.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drawings/drawing4.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drawings/drawing5.xml" ContentType="application/vnd.openxmlformats-officedocument.drawingml.chartshap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5FCE1" w14:textId="3A16BA2E" w:rsidR="0033762E" w:rsidRDefault="0005305A" w:rsidP="0033762E">
      <w:pPr>
        <w:jc w:val="both"/>
      </w:pPr>
      <w:r>
        <w:rPr>
          <w:noProof/>
        </w:rPr>
        <w:drawing>
          <wp:anchor distT="0" distB="0" distL="114300" distR="114300" simplePos="0" relativeHeight="251665408" behindDoc="0" locked="0" layoutInCell="1" allowOverlap="1" wp14:anchorId="700D7106" wp14:editId="470218C3">
            <wp:simplePos x="0" y="0"/>
            <wp:positionH relativeFrom="column">
              <wp:posOffset>-260985</wp:posOffset>
            </wp:positionH>
            <wp:positionV relativeFrom="paragraph">
              <wp:posOffset>0</wp:posOffset>
            </wp:positionV>
            <wp:extent cx="1727200" cy="620395"/>
            <wp:effectExtent l="0" t="0" r="0" b="1905"/>
            <wp:wrapThrough wrapText="bothSides">
              <wp:wrapPolygon edited="0">
                <wp:start x="0" y="0"/>
                <wp:lineTo x="0" y="21224"/>
                <wp:lineTo x="21441" y="21224"/>
                <wp:lineTo x="21441" y="0"/>
                <wp:lineTo x="0" y="0"/>
              </wp:wrapPolygon>
            </wp:wrapThrough>
            <wp:docPr id="1315855695" name="Picture 4"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55695" name="Picture 4" descr="A close-up of a logo&#10;&#10;Description automatically generated"/>
                    <pic:cNvPicPr/>
                  </pic:nvPicPr>
                  <pic:blipFill rotWithShape="1">
                    <a:blip r:embed="rId8" cstate="print">
                      <a:extLst>
                        <a:ext uri="{28A0092B-C50C-407E-A947-70E740481C1C}">
                          <a14:useLocalDpi xmlns:a14="http://schemas.microsoft.com/office/drawing/2010/main" val="0"/>
                        </a:ext>
                      </a:extLst>
                    </a:blip>
                    <a:srcRect t="28571" b="23525"/>
                    <a:stretch/>
                  </pic:blipFill>
                  <pic:spPr bwMode="auto">
                    <a:xfrm>
                      <a:off x="0" y="0"/>
                      <a:ext cx="1727200" cy="62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1400948D" wp14:editId="591C86DB">
            <wp:simplePos x="0" y="0"/>
            <wp:positionH relativeFrom="column">
              <wp:posOffset>3874952</wp:posOffset>
            </wp:positionH>
            <wp:positionV relativeFrom="paragraph">
              <wp:posOffset>91</wp:posOffset>
            </wp:positionV>
            <wp:extent cx="2159000" cy="848995"/>
            <wp:effectExtent l="0" t="0" r="0" b="1905"/>
            <wp:wrapThrough wrapText="bothSides">
              <wp:wrapPolygon edited="0">
                <wp:start x="0" y="0"/>
                <wp:lineTo x="0" y="21325"/>
                <wp:lineTo x="21473" y="21325"/>
                <wp:lineTo x="21473" y="0"/>
                <wp:lineTo x="0" y="0"/>
              </wp:wrapPolygon>
            </wp:wrapThrough>
            <wp:docPr id="796180942"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0942" name="Picture 3" descr="A close-up of a logo&#10;&#10;Description automatically generated"/>
                    <pic:cNvPicPr/>
                  </pic:nvPicPr>
                  <pic:blipFill rotWithShape="1">
                    <a:blip r:embed="rId9" cstate="print">
                      <a:extLst>
                        <a:ext uri="{28A0092B-C50C-407E-A947-70E740481C1C}">
                          <a14:useLocalDpi xmlns:a14="http://schemas.microsoft.com/office/drawing/2010/main" val="0"/>
                        </a:ext>
                      </a:extLst>
                    </a:blip>
                    <a:srcRect t="34457" b="-3"/>
                    <a:stretch/>
                  </pic:blipFill>
                  <pic:spPr bwMode="auto">
                    <a:xfrm>
                      <a:off x="0" y="0"/>
                      <a:ext cx="2159000" cy="848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762E">
        <w:tab/>
      </w:r>
      <w:r w:rsidR="0033762E">
        <w:tab/>
      </w:r>
      <w:r w:rsidR="0033762E">
        <w:tab/>
      </w:r>
      <w:r w:rsidR="0033762E">
        <w:tab/>
      </w:r>
    </w:p>
    <w:p w14:paraId="5CC2E119" w14:textId="5E5D0D5A" w:rsidR="00632EA6" w:rsidRPr="00516990" w:rsidRDefault="00632EA6" w:rsidP="00632EA6">
      <w:pPr>
        <w:jc w:val="right"/>
      </w:pPr>
    </w:p>
    <w:p w14:paraId="3B42685B" w14:textId="19907C49" w:rsidR="00632EA6" w:rsidRPr="00516990" w:rsidRDefault="00632EA6" w:rsidP="00632EA6"/>
    <w:p w14:paraId="7DAA3097" w14:textId="5D8233FB" w:rsidR="00632EA6" w:rsidRPr="00516990" w:rsidRDefault="00632EA6" w:rsidP="00632EA6">
      <w:pPr>
        <w:jc w:val="center"/>
      </w:pPr>
    </w:p>
    <w:p w14:paraId="05170047" w14:textId="53CA35AB" w:rsidR="00632EA6" w:rsidRPr="00516990" w:rsidRDefault="00632EA6" w:rsidP="00632EA6">
      <w:pPr>
        <w:jc w:val="center"/>
      </w:pPr>
    </w:p>
    <w:p w14:paraId="64203D03" w14:textId="7893A714" w:rsidR="00632EA6" w:rsidRPr="00516990" w:rsidRDefault="00632EA6" w:rsidP="00632EA6">
      <w:pPr>
        <w:jc w:val="center"/>
        <w:rPr>
          <w:sz w:val="34"/>
          <w:szCs w:val="34"/>
        </w:rPr>
      </w:pPr>
    </w:p>
    <w:p w14:paraId="31A6A2C0" w14:textId="77777777" w:rsidR="0005305A" w:rsidRDefault="0005305A" w:rsidP="00632EA6">
      <w:pPr>
        <w:jc w:val="center"/>
        <w:rPr>
          <w:sz w:val="34"/>
          <w:szCs w:val="34"/>
        </w:rPr>
      </w:pPr>
    </w:p>
    <w:p w14:paraId="057C70D8" w14:textId="77777777" w:rsidR="0005305A" w:rsidRDefault="0005305A" w:rsidP="00632EA6">
      <w:pPr>
        <w:jc w:val="center"/>
        <w:rPr>
          <w:sz w:val="34"/>
          <w:szCs w:val="34"/>
        </w:rPr>
      </w:pPr>
    </w:p>
    <w:p w14:paraId="66E204F3" w14:textId="77777777" w:rsidR="0005305A" w:rsidRDefault="0005305A" w:rsidP="00632EA6">
      <w:pPr>
        <w:jc w:val="center"/>
        <w:rPr>
          <w:sz w:val="34"/>
          <w:szCs w:val="34"/>
        </w:rPr>
      </w:pPr>
    </w:p>
    <w:p w14:paraId="6F2D1D67" w14:textId="77777777" w:rsidR="0005305A" w:rsidRDefault="0005305A" w:rsidP="00632EA6">
      <w:pPr>
        <w:jc w:val="center"/>
        <w:rPr>
          <w:sz w:val="34"/>
          <w:szCs w:val="34"/>
        </w:rPr>
      </w:pPr>
    </w:p>
    <w:p w14:paraId="05A80705" w14:textId="42D48CDF" w:rsidR="0033762E" w:rsidRDefault="0033762E" w:rsidP="00632EA6">
      <w:pPr>
        <w:jc w:val="center"/>
        <w:rPr>
          <w:sz w:val="34"/>
          <w:szCs w:val="34"/>
        </w:rPr>
      </w:pPr>
      <w:r>
        <w:rPr>
          <w:sz w:val="34"/>
          <w:szCs w:val="34"/>
        </w:rPr>
        <w:t>Erasmus School of Economics</w:t>
      </w:r>
    </w:p>
    <w:p w14:paraId="18961038" w14:textId="77777777" w:rsidR="00632EA6" w:rsidRDefault="00632EA6" w:rsidP="00632EA6">
      <w:pPr>
        <w:jc w:val="center"/>
        <w:rPr>
          <w:sz w:val="34"/>
          <w:szCs w:val="34"/>
        </w:rPr>
      </w:pPr>
    </w:p>
    <w:p w14:paraId="2F7D48EB" w14:textId="6BA1382D" w:rsidR="0033762E" w:rsidRPr="00516990" w:rsidRDefault="0033762E" w:rsidP="00632EA6">
      <w:pPr>
        <w:jc w:val="center"/>
      </w:pPr>
      <w:r>
        <w:rPr>
          <w:sz w:val="34"/>
          <w:szCs w:val="34"/>
        </w:rPr>
        <w:t>MS Policy Economics</w:t>
      </w:r>
    </w:p>
    <w:p w14:paraId="4FF90305" w14:textId="77777777" w:rsidR="00632EA6" w:rsidRPr="00516990" w:rsidRDefault="00632EA6" w:rsidP="00632EA6">
      <w:pPr>
        <w:jc w:val="center"/>
      </w:pPr>
    </w:p>
    <w:p w14:paraId="1EF5A605" w14:textId="77777777" w:rsidR="00632EA6" w:rsidRDefault="00632EA6" w:rsidP="00632EA6">
      <w:pPr>
        <w:jc w:val="center"/>
      </w:pPr>
    </w:p>
    <w:p w14:paraId="5B40A56E" w14:textId="77777777" w:rsidR="0005305A" w:rsidRDefault="0005305A" w:rsidP="00632EA6">
      <w:pPr>
        <w:jc w:val="center"/>
      </w:pPr>
    </w:p>
    <w:p w14:paraId="4A295677" w14:textId="77777777" w:rsidR="0005305A" w:rsidRPr="00516990" w:rsidRDefault="0005305A" w:rsidP="00632EA6">
      <w:pPr>
        <w:jc w:val="center"/>
      </w:pPr>
    </w:p>
    <w:p w14:paraId="55B80C44" w14:textId="5DE63850" w:rsidR="00FD1C43" w:rsidRDefault="00296836" w:rsidP="00632EA6">
      <w:pPr>
        <w:jc w:val="center"/>
        <w:rPr>
          <w:sz w:val="50"/>
          <w:szCs w:val="50"/>
        </w:rPr>
      </w:pPr>
      <w:r>
        <w:rPr>
          <w:sz w:val="50"/>
          <w:szCs w:val="50"/>
        </w:rPr>
        <w:t>Rising tides</w:t>
      </w:r>
      <w:r w:rsidR="00FD1C43">
        <w:rPr>
          <w:sz w:val="50"/>
          <w:szCs w:val="50"/>
        </w:rPr>
        <w:t>:</w:t>
      </w:r>
    </w:p>
    <w:p w14:paraId="09207218" w14:textId="277061F7" w:rsidR="00632EA6" w:rsidRDefault="00DD5588" w:rsidP="00DD5588">
      <w:pPr>
        <w:jc w:val="center"/>
        <w:rPr>
          <w:sz w:val="50"/>
          <w:szCs w:val="50"/>
        </w:rPr>
      </w:pPr>
      <w:commentRangeStart w:id="0"/>
      <w:r>
        <w:rPr>
          <w:sz w:val="50"/>
          <w:szCs w:val="50"/>
        </w:rPr>
        <w:t>Exploring</w:t>
      </w:r>
      <w:r w:rsidR="00FD1C43">
        <w:rPr>
          <w:sz w:val="50"/>
          <w:szCs w:val="50"/>
        </w:rPr>
        <w:t xml:space="preserve"> </w:t>
      </w:r>
      <w:r w:rsidR="006B3448">
        <w:rPr>
          <w:sz w:val="50"/>
          <w:szCs w:val="50"/>
        </w:rPr>
        <w:t>determinants of</w:t>
      </w:r>
      <w:r>
        <w:rPr>
          <w:sz w:val="50"/>
          <w:szCs w:val="50"/>
        </w:rPr>
        <w:t xml:space="preserve"> household-level disaster preparedness</w:t>
      </w:r>
      <w:commentRangeEnd w:id="0"/>
      <w:r w:rsidR="009A390B">
        <w:rPr>
          <w:rStyle w:val="CommentReference"/>
        </w:rPr>
        <w:commentReference w:id="0"/>
      </w:r>
    </w:p>
    <w:p w14:paraId="0602C3D3" w14:textId="77777777" w:rsidR="00632EA6" w:rsidRPr="00516990" w:rsidRDefault="00632EA6" w:rsidP="00632EA6"/>
    <w:p w14:paraId="331F32B8" w14:textId="113D43F3" w:rsidR="00632EA6" w:rsidRPr="00516990" w:rsidRDefault="00632EA6" w:rsidP="00F532D7"/>
    <w:p w14:paraId="2214573C" w14:textId="77777777" w:rsidR="0033762E" w:rsidRPr="00516990" w:rsidRDefault="0033762E" w:rsidP="0033762E"/>
    <w:p w14:paraId="3EB411F3" w14:textId="2D2E1F58" w:rsidR="0033762E" w:rsidRDefault="0033762E" w:rsidP="00FD1C43">
      <w:pPr>
        <w:jc w:val="center"/>
      </w:pPr>
      <w:r w:rsidRPr="00516990">
        <w:t xml:space="preserve">Philip Mueller: </w:t>
      </w:r>
      <w:r>
        <w:t>634720</w:t>
      </w:r>
    </w:p>
    <w:p w14:paraId="250EF3D1" w14:textId="09180027" w:rsidR="0033762E" w:rsidRDefault="0033762E" w:rsidP="00FD1C43">
      <w:pPr>
        <w:jc w:val="center"/>
      </w:pPr>
    </w:p>
    <w:p w14:paraId="4645EB33" w14:textId="78CA942F" w:rsidR="00632EA6" w:rsidRDefault="000D3106" w:rsidP="0033762E">
      <w:r>
        <w:rPr>
          <w:noProof/>
        </w:rPr>
        <mc:AlternateContent>
          <mc:Choice Requires="wps">
            <w:drawing>
              <wp:anchor distT="0" distB="0" distL="114300" distR="114300" simplePos="0" relativeHeight="251662336" behindDoc="0" locked="0" layoutInCell="1" allowOverlap="1" wp14:anchorId="4E5993BC" wp14:editId="5BEFAFCC">
                <wp:simplePos x="0" y="0"/>
                <wp:positionH relativeFrom="column">
                  <wp:posOffset>-922020</wp:posOffset>
                </wp:positionH>
                <wp:positionV relativeFrom="paragraph">
                  <wp:posOffset>312308</wp:posOffset>
                </wp:positionV>
                <wp:extent cx="7650480" cy="3600450"/>
                <wp:effectExtent l="0" t="0" r="0" b="6350"/>
                <wp:wrapNone/>
                <wp:docPr id="867472672" name="Right Triangle 1"/>
                <wp:cNvGraphicFramePr/>
                <a:graphic xmlns:a="http://schemas.openxmlformats.org/drawingml/2006/main">
                  <a:graphicData uri="http://schemas.microsoft.com/office/word/2010/wordprocessingShape">
                    <wps:wsp>
                      <wps:cNvSpPr/>
                      <wps:spPr>
                        <a:xfrm>
                          <a:off x="0" y="0"/>
                          <a:ext cx="7650480" cy="3600450"/>
                        </a:xfrm>
                        <a:prstGeom prst="rtTriangle">
                          <a:avLst/>
                        </a:prstGeom>
                        <a:solidFill>
                          <a:srgbClr val="0C806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15CC45" id="_x0000_t6" coordsize="21600,21600" o:spt="6" path="m,l,21600r21600,xe">
                <v:stroke joinstyle="miter"/>
                <v:path gradientshapeok="t" o:connecttype="custom" o:connectlocs="0,0;0,10800;0,21600;10800,21600;21600,21600;10800,10800" textboxrect="1800,12600,12600,19800"/>
              </v:shapetype>
              <v:shape id="Right Triangle 1" o:spid="_x0000_s1026" type="#_x0000_t6" style="position:absolute;margin-left:-72.6pt;margin-top:24.6pt;width:602.4pt;height:2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" fillcolor="#0c8066" stroked="f" strokeweight="1pt"/>
            </w:pict>
          </mc:Fallback>
        </mc:AlternateContent>
      </w:r>
    </w:p>
    <w:p w14:paraId="41F4C094" w14:textId="4E46F03B" w:rsidR="0033762E" w:rsidRDefault="0033762E" w:rsidP="00632EA6"/>
    <w:p w14:paraId="42119D92" w14:textId="77777777" w:rsidR="000D3106" w:rsidRDefault="000D3106" w:rsidP="00632EA6"/>
    <w:p w14:paraId="628AD13B" w14:textId="4E7BCBE2" w:rsidR="0033762E" w:rsidRDefault="0033762E" w:rsidP="00632EA6"/>
    <w:p w14:paraId="1A42AF75" w14:textId="545E44A5" w:rsidR="0033762E" w:rsidRDefault="00613868" w:rsidP="00632EA6">
      <w:r>
        <w:rPr>
          <w:noProof/>
        </w:rPr>
        <mc:AlternateContent>
          <mc:Choice Requires="wps">
            <w:drawing>
              <wp:anchor distT="0" distB="0" distL="114300" distR="114300" simplePos="0" relativeHeight="251663360" behindDoc="0" locked="0" layoutInCell="1" allowOverlap="1" wp14:anchorId="6103BD0B" wp14:editId="1D7319FC">
                <wp:simplePos x="0" y="0"/>
                <wp:positionH relativeFrom="column">
                  <wp:posOffset>-925195</wp:posOffset>
                </wp:positionH>
                <wp:positionV relativeFrom="paragraph">
                  <wp:posOffset>371475</wp:posOffset>
                </wp:positionV>
                <wp:extent cx="7636510" cy="2744470"/>
                <wp:effectExtent l="0" t="0" r="0" b="0"/>
                <wp:wrapNone/>
                <wp:docPr id="986239080" name="Right Triangle 1"/>
                <wp:cNvGraphicFramePr/>
                <a:graphic xmlns:a="http://schemas.openxmlformats.org/drawingml/2006/main">
                  <a:graphicData uri="http://schemas.microsoft.com/office/word/2010/wordprocessingShape">
                    <wps:wsp>
                      <wps:cNvSpPr/>
                      <wps:spPr>
                        <a:xfrm flipH="1">
                          <a:off x="0" y="0"/>
                          <a:ext cx="7636510" cy="2744470"/>
                        </a:xfrm>
                        <a:prstGeom prst="rtTriangle">
                          <a:avLst/>
                        </a:prstGeom>
                        <a:solidFill>
                          <a:srgbClr val="00232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B0AAD3" id="_x0000_t6" coordsize="21600,21600" o:spt="6" path="m,l,21600r21600,xe">
                <v:stroke joinstyle="miter"/>
                <v:path gradientshapeok="t" o:connecttype="custom" o:connectlocs="0,0;0,10800;0,21600;10800,21600;21600,21600;10800,10800" textboxrect="1800,12600,12600,19800"/>
              </v:shapetype>
              <v:shape id="Right Triangle 1" o:spid="_x0000_s1026" type="#_x0000_t6" style="position:absolute;margin-left:-72.85pt;margin-top:29.25pt;width:601.3pt;height:216.1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" fillcolor="#002328" stroked="f" strokeweight="1pt"/>
            </w:pict>
          </mc:Fallback>
        </mc:AlternateContent>
      </w:r>
    </w:p>
    <w:p w14:paraId="5A0BF19C" w14:textId="5422C14B" w:rsidR="0033762E" w:rsidRDefault="0033762E" w:rsidP="00632EA6"/>
    <w:p w14:paraId="101D852C" w14:textId="0510D8A1" w:rsidR="0033762E" w:rsidRDefault="0033762E" w:rsidP="00632EA6"/>
    <w:p w14:paraId="4557AA72" w14:textId="2A4975BA" w:rsidR="0033762E" w:rsidRDefault="0033762E" w:rsidP="00632EA6"/>
    <w:p w14:paraId="13A9CA8D" w14:textId="3DFA695C" w:rsidR="0033762E" w:rsidRDefault="0033762E" w:rsidP="00632EA6"/>
    <w:p w14:paraId="55EA1042" w14:textId="1ABE5D8F" w:rsidR="0033762E" w:rsidRDefault="0033762E" w:rsidP="00632EA6"/>
    <w:p w14:paraId="20EB1CE1" w14:textId="3ED58280" w:rsidR="0033762E" w:rsidRDefault="0033762E" w:rsidP="00632EA6"/>
    <w:p w14:paraId="5974D511" w14:textId="77777777" w:rsidR="000D3106" w:rsidRDefault="000D3106" w:rsidP="00BD4E02">
      <w:pPr>
        <w:pStyle w:val="Heading1"/>
      </w:pPr>
    </w:p>
    <w:p w14:paraId="303E72DA" w14:textId="381A066A" w:rsidR="00A82923" w:rsidRDefault="00BD4E02" w:rsidP="00BD4E02">
      <w:pPr>
        <w:pStyle w:val="Heading1"/>
      </w:pPr>
      <w:bookmarkStart w:id="1" w:name="_Toc197002957"/>
      <w:r>
        <w:t>Abstract</w:t>
      </w:r>
      <w:bookmarkEnd w:id="1"/>
    </w:p>
    <w:p w14:paraId="460B37FE" w14:textId="77777777" w:rsidR="00A82923" w:rsidRDefault="00A82923" w:rsidP="00632EA6"/>
    <w:p w14:paraId="7F0CE344" w14:textId="46A96245" w:rsidR="00890ADC" w:rsidRDefault="00890ADC" w:rsidP="00890ADC">
      <w:pPr>
        <w:jc w:val="both"/>
      </w:pPr>
      <w:r w:rsidRPr="00890ADC">
        <w:t xml:space="preserve">This proposal outlines a study to explore the effect of </w:t>
      </w:r>
      <w:r w:rsidR="000D3106">
        <w:t xml:space="preserve">flood experience </w:t>
      </w:r>
      <w:r w:rsidRPr="00890ADC">
        <w:t>on</w:t>
      </w:r>
      <w:r w:rsidR="000D3106">
        <w:t xml:space="preserve"> preparedness</w:t>
      </w:r>
      <w:r w:rsidRPr="00890ADC">
        <w:t xml:space="preserve"> in the United States. While existing literature addresses various determinants of flood </w:t>
      </w:r>
      <w:r w:rsidR="00211343">
        <w:t>disaster preparedness</w:t>
      </w:r>
      <w:r w:rsidRPr="00890ADC">
        <w:t xml:space="preserve">, the role of </w:t>
      </w:r>
      <w:r w:rsidR="00211343">
        <w:t>personal</w:t>
      </w:r>
      <w:r w:rsidRPr="00890ADC">
        <w:t xml:space="preserve"> flood experiences remains </w:t>
      </w:r>
      <w:r>
        <w:t>unclear</w:t>
      </w:r>
      <w:r w:rsidRPr="00890ADC">
        <w:t xml:space="preserve">. </w:t>
      </w:r>
    </w:p>
    <w:p w14:paraId="044C0E39" w14:textId="77777777" w:rsidR="00890ADC" w:rsidRDefault="00890ADC" w:rsidP="00890ADC">
      <w:pPr>
        <w:jc w:val="both"/>
      </w:pPr>
    </w:p>
    <w:p w14:paraId="11C73858" w14:textId="3CE82D3A" w:rsidR="00890ADC" w:rsidRDefault="00890ADC" w:rsidP="00890ADC">
      <w:pPr>
        <w:jc w:val="both"/>
      </w:pPr>
      <w:r w:rsidRPr="00890ADC">
        <w:t xml:space="preserve">The study will utilize </w:t>
      </w:r>
      <w:r w:rsidR="00247B14">
        <w:t xml:space="preserve">the latest </w:t>
      </w:r>
      <w:r w:rsidRPr="00890ADC">
        <w:t xml:space="preserve">data from FEMA’s </w:t>
      </w:r>
      <w:r>
        <w:t xml:space="preserve">(Federal Emergency Management Agency) </w:t>
      </w:r>
      <w:r w:rsidRPr="00890ADC">
        <w:t>National Household Survey</w:t>
      </w:r>
      <w:r w:rsidR="00A54257">
        <w:t>,</w:t>
      </w:r>
      <w:r w:rsidRPr="00890ADC">
        <w:t xml:space="preserve"> </w:t>
      </w:r>
      <w:r>
        <w:t>which captures adaptation measures like insurance take up, and community engagement as well as binary reporters on flood experience and socioeconomic covariates.</w:t>
      </w:r>
    </w:p>
    <w:p w14:paraId="0F043F0F" w14:textId="77777777" w:rsidR="00BD4E02" w:rsidRDefault="00BD4E02" w:rsidP="00890ADC">
      <w:pPr>
        <w:jc w:val="both"/>
      </w:pPr>
    </w:p>
    <w:p w14:paraId="5AFA581A" w14:textId="003195B1" w:rsidR="00A82923" w:rsidRDefault="00BD4E02" w:rsidP="0074123C">
      <w:pPr>
        <w:jc w:val="both"/>
      </w:pPr>
      <w:r>
        <w:t xml:space="preserve">Besides addressing a gap in the literature, </w:t>
      </w:r>
      <w:r w:rsidR="00AA41CB">
        <w:t xml:space="preserve">the findings can guide policymakers in designing more targeted interventions </w:t>
      </w:r>
      <w:proofErr w:type="gramStart"/>
      <w:r w:rsidR="00AA41CB">
        <w:t>in an effort to</w:t>
      </w:r>
      <w:proofErr w:type="gramEnd"/>
      <w:r w:rsidR="00AA41CB">
        <w:t xml:space="preserve"> increase societal resilience to climate change-induced coastal floodings. </w:t>
      </w:r>
    </w:p>
    <w:p w14:paraId="353FF374" w14:textId="77777777" w:rsidR="00AA41CB" w:rsidRDefault="00AA41CB" w:rsidP="0074123C">
      <w:pPr>
        <w:jc w:val="both"/>
      </w:pPr>
    </w:p>
    <w:sdt>
      <w:sdtPr>
        <w:rPr>
          <w:rFonts w:asciiTheme="minorHAnsi" w:eastAsiaTheme="minorHAnsi" w:hAnsiTheme="minorHAnsi" w:cstheme="minorBidi"/>
          <w:b w:val="0"/>
          <w:bCs w:val="0"/>
          <w:color w:val="auto"/>
          <w:kern w:val="2"/>
          <w:sz w:val="24"/>
          <w:szCs w:val="24"/>
          <w14:ligatures w14:val="standardContextual"/>
        </w:rPr>
        <w:id w:val="-58705919"/>
        <w:docPartObj>
          <w:docPartGallery w:val="Table of Contents"/>
          <w:docPartUnique/>
        </w:docPartObj>
      </w:sdtPr>
      <w:sdtEndPr>
        <w:rPr>
          <w:noProof/>
        </w:rPr>
      </w:sdtEndPr>
      <w:sdtContent>
        <w:p w14:paraId="0D2A64F6" w14:textId="1E214AD7" w:rsidR="0008477B" w:rsidRPr="00890ADC" w:rsidRDefault="0008477B">
          <w:pPr>
            <w:pStyle w:val="TOCHeading"/>
            <w:rPr>
              <w:rStyle w:val="Heading1Char"/>
              <w:b w:val="0"/>
              <w:bCs w:val="0"/>
            </w:rPr>
          </w:pPr>
          <w:r w:rsidRPr="00890ADC">
            <w:rPr>
              <w:rStyle w:val="Heading1Char"/>
              <w:b w:val="0"/>
              <w:bCs w:val="0"/>
            </w:rPr>
            <w:t>Table of Contents</w:t>
          </w:r>
        </w:p>
        <w:p w14:paraId="41C97B72" w14:textId="2B72E3FD" w:rsidR="00ED1DB5" w:rsidRDefault="0008477B">
          <w:pPr>
            <w:pStyle w:val="TOC1"/>
            <w:tabs>
              <w:tab w:val="right" w:leader="dot" w:pos="9016"/>
            </w:tabs>
            <w:rPr>
              <w:rFonts w:eastAsiaTheme="minorEastAsia"/>
              <w:b w:val="0"/>
              <w:bCs w:val="0"/>
              <w:i w:val="0"/>
              <w:iCs w:val="0"/>
              <w:noProof/>
              <w:lang w:val="en-NL" w:eastAsia="en-GB"/>
            </w:rPr>
          </w:pPr>
          <w:r>
            <w:rPr>
              <w:b w:val="0"/>
              <w:bCs w:val="0"/>
            </w:rPr>
            <w:fldChar w:fldCharType="begin"/>
          </w:r>
          <w:r>
            <w:instrText xml:space="preserve"> TOC \o "1-3" \h \z \u </w:instrText>
          </w:r>
          <w:r>
            <w:rPr>
              <w:b w:val="0"/>
              <w:bCs w:val="0"/>
            </w:rPr>
            <w:fldChar w:fldCharType="separate"/>
          </w:r>
          <w:hyperlink w:anchor="_Toc197002957" w:history="1">
            <w:r w:rsidR="00ED1DB5" w:rsidRPr="005C12B3">
              <w:rPr>
                <w:rStyle w:val="Hyperlink"/>
                <w:noProof/>
              </w:rPr>
              <w:t>Abstract</w:t>
            </w:r>
            <w:r w:rsidR="00ED1DB5">
              <w:rPr>
                <w:noProof/>
                <w:webHidden/>
              </w:rPr>
              <w:tab/>
            </w:r>
            <w:r w:rsidR="00ED1DB5">
              <w:rPr>
                <w:noProof/>
                <w:webHidden/>
              </w:rPr>
              <w:fldChar w:fldCharType="begin"/>
            </w:r>
            <w:r w:rsidR="00ED1DB5">
              <w:rPr>
                <w:noProof/>
                <w:webHidden/>
              </w:rPr>
              <w:instrText xml:space="preserve"> PAGEREF _Toc197002957 \h </w:instrText>
            </w:r>
            <w:r w:rsidR="00ED1DB5">
              <w:rPr>
                <w:noProof/>
                <w:webHidden/>
              </w:rPr>
            </w:r>
            <w:r w:rsidR="00ED1DB5">
              <w:rPr>
                <w:noProof/>
                <w:webHidden/>
              </w:rPr>
              <w:fldChar w:fldCharType="separate"/>
            </w:r>
            <w:r w:rsidR="00ED1DB5">
              <w:rPr>
                <w:noProof/>
                <w:webHidden/>
              </w:rPr>
              <w:t>2</w:t>
            </w:r>
            <w:r w:rsidR="00ED1DB5">
              <w:rPr>
                <w:noProof/>
                <w:webHidden/>
              </w:rPr>
              <w:fldChar w:fldCharType="end"/>
            </w:r>
          </w:hyperlink>
        </w:p>
        <w:p w14:paraId="6991A7EB" w14:textId="74360185" w:rsidR="00ED1DB5" w:rsidRDefault="00ED1DB5">
          <w:pPr>
            <w:pStyle w:val="TOC1"/>
            <w:tabs>
              <w:tab w:val="right" w:leader="dot" w:pos="9016"/>
            </w:tabs>
            <w:rPr>
              <w:rFonts w:eastAsiaTheme="minorEastAsia"/>
              <w:b w:val="0"/>
              <w:bCs w:val="0"/>
              <w:i w:val="0"/>
              <w:iCs w:val="0"/>
              <w:noProof/>
              <w:lang w:val="en-NL" w:eastAsia="en-GB"/>
            </w:rPr>
          </w:pPr>
          <w:hyperlink w:anchor="_Toc197002958" w:history="1">
            <w:r w:rsidRPr="005C12B3">
              <w:rPr>
                <w:rStyle w:val="Hyperlink"/>
                <w:noProof/>
              </w:rPr>
              <w:t>List of Tables</w:t>
            </w:r>
            <w:r>
              <w:rPr>
                <w:noProof/>
                <w:webHidden/>
              </w:rPr>
              <w:tab/>
            </w:r>
            <w:r>
              <w:rPr>
                <w:noProof/>
                <w:webHidden/>
              </w:rPr>
              <w:fldChar w:fldCharType="begin"/>
            </w:r>
            <w:r>
              <w:rPr>
                <w:noProof/>
                <w:webHidden/>
              </w:rPr>
              <w:instrText xml:space="preserve"> PAGEREF _Toc197002958 \h </w:instrText>
            </w:r>
            <w:r>
              <w:rPr>
                <w:noProof/>
                <w:webHidden/>
              </w:rPr>
            </w:r>
            <w:r>
              <w:rPr>
                <w:noProof/>
                <w:webHidden/>
              </w:rPr>
              <w:fldChar w:fldCharType="separate"/>
            </w:r>
            <w:r>
              <w:rPr>
                <w:noProof/>
                <w:webHidden/>
              </w:rPr>
              <w:t>3</w:t>
            </w:r>
            <w:r>
              <w:rPr>
                <w:noProof/>
                <w:webHidden/>
              </w:rPr>
              <w:fldChar w:fldCharType="end"/>
            </w:r>
          </w:hyperlink>
        </w:p>
        <w:p w14:paraId="13E3C49B" w14:textId="0F740F36" w:rsidR="00ED1DB5" w:rsidRDefault="00ED1DB5">
          <w:pPr>
            <w:pStyle w:val="TOC1"/>
            <w:tabs>
              <w:tab w:val="right" w:leader="dot" w:pos="9016"/>
            </w:tabs>
            <w:rPr>
              <w:rFonts w:eastAsiaTheme="minorEastAsia"/>
              <w:b w:val="0"/>
              <w:bCs w:val="0"/>
              <w:i w:val="0"/>
              <w:iCs w:val="0"/>
              <w:noProof/>
              <w:lang w:val="en-NL" w:eastAsia="en-GB"/>
            </w:rPr>
          </w:pPr>
          <w:hyperlink w:anchor="_Toc197002959" w:history="1">
            <w:r w:rsidRPr="005C12B3">
              <w:rPr>
                <w:rStyle w:val="Hyperlink"/>
                <w:noProof/>
              </w:rPr>
              <w:t>List of Figures</w:t>
            </w:r>
            <w:r>
              <w:rPr>
                <w:noProof/>
                <w:webHidden/>
              </w:rPr>
              <w:tab/>
            </w:r>
            <w:r>
              <w:rPr>
                <w:noProof/>
                <w:webHidden/>
              </w:rPr>
              <w:fldChar w:fldCharType="begin"/>
            </w:r>
            <w:r>
              <w:rPr>
                <w:noProof/>
                <w:webHidden/>
              </w:rPr>
              <w:instrText xml:space="preserve"> PAGEREF _Toc197002959 \h </w:instrText>
            </w:r>
            <w:r>
              <w:rPr>
                <w:noProof/>
                <w:webHidden/>
              </w:rPr>
            </w:r>
            <w:r>
              <w:rPr>
                <w:noProof/>
                <w:webHidden/>
              </w:rPr>
              <w:fldChar w:fldCharType="separate"/>
            </w:r>
            <w:r>
              <w:rPr>
                <w:noProof/>
                <w:webHidden/>
              </w:rPr>
              <w:t>3</w:t>
            </w:r>
            <w:r>
              <w:rPr>
                <w:noProof/>
                <w:webHidden/>
              </w:rPr>
              <w:fldChar w:fldCharType="end"/>
            </w:r>
          </w:hyperlink>
        </w:p>
        <w:p w14:paraId="23FA26CE" w14:textId="12B12649" w:rsidR="00ED1DB5" w:rsidRDefault="00ED1DB5">
          <w:pPr>
            <w:pStyle w:val="TOC1"/>
            <w:tabs>
              <w:tab w:val="left" w:pos="480"/>
              <w:tab w:val="right" w:leader="dot" w:pos="9016"/>
            </w:tabs>
            <w:rPr>
              <w:rFonts w:eastAsiaTheme="minorEastAsia"/>
              <w:b w:val="0"/>
              <w:bCs w:val="0"/>
              <w:i w:val="0"/>
              <w:iCs w:val="0"/>
              <w:noProof/>
              <w:lang w:val="en-NL" w:eastAsia="en-GB"/>
            </w:rPr>
          </w:pPr>
          <w:hyperlink w:anchor="_Toc197002960" w:history="1">
            <w:r w:rsidRPr="005C12B3">
              <w:rPr>
                <w:rStyle w:val="Hyperlink"/>
                <w:noProof/>
              </w:rPr>
              <w:t>1.</w:t>
            </w:r>
            <w:r>
              <w:rPr>
                <w:rFonts w:eastAsiaTheme="minorEastAsia"/>
                <w:b w:val="0"/>
                <w:bCs w:val="0"/>
                <w:i w:val="0"/>
                <w:iCs w:val="0"/>
                <w:noProof/>
                <w:lang w:val="en-NL" w:eastAsia="en-GB"/>
              </w:rPr>
              <w:tab/>
            </w:r>
            <w:r w:rsidRPr="005C12B3">
              <w:rPr>
                <w:rStyle w:val="Hyperlink"/>
                <w:noProof/>
              </w:rPr>
              <w:t>Introduction</w:t>
            </w:r>
            <w:r>
              <w:rPr>
                <w:noProof/>
                <w:webHidden/>
              </w:rPr>
              <w:tab/>
            </w:r>
            <w:r>
              <w:rPr>
                <w:noProof/>
                <w:webHidden/>
              </w:rPr>
              <w:fldChar w:fldCharType="begin"/>
            </w:r>
            <w:r>
              <w:rPr>
                <w:noProof/>
                <w:webHidden/>
              </w:rPr>
              <w:instrText xml:space="preserve"> PAGEREF _Toc197002960 \h </w:instrText>
            </w:r>
            <w:r>
              <w:rPr>
                <w:noProof/>
                <w:webHidden/>
              </w:rPr>
            </w:r>
            <w:r>
              <w:rPr>
                <w:noProof/>
                <w:webHidden/>
              </w:rPr>
              <w:fldChar w:fldCharType="separate"/>
            </w:r>
            <w:r>
              <w:rPr>
                <w:noProof/>
                <w:webHidden/>
              </w:rPr>
              <w:t>4</w:t>
            </w:r>
            <w:r>
              <w:rPr>
                <w:noProof/>
                <w:webHidden/>
              </w:rPr>
              <w:fldChar w:fldCharType="end"/>
            </w:r>
          </w:hyperlink>
        </w:p>
        <w:p w14:paraId="4EAF8507" w14:textId="2BC0D6DD" w:rsidR="00ED1DB5" w:rsidRDefault="00ED1DB5">
          <w:pPr>
            <w:pStyle w:val="TOC1"/>
            <w:tabs>
              <w:tab w:val="left" w:pos="480"/>
              <w:tab w:val="right" w:leader="dot" w:pos="9016"/>
            </w:tabs>
            <w:rPr>
              <w:rFonts w:eastAsiaTheme="minorEastAsia"/>
              <w:b w:val="0"/>
              <w:bCs w:val="0"/>
              <w:i w:val="0"/>
              <w:iCs w:val="0"/>
              <w:noProof/>
              <w:lang w:val="en-NL" w:eastAsia="en-GB"/>
            </w:rPr>
          </w:pPr>
          <w:hyperlink w:anchor="_Toc197002961" w:history="1">
            <w:r w:rsidRPr="005C12B3">
              <w:rPr>
                <w:rStyle w:val="Hyperlink"/>
                <w:noProof/>
              </w:rPr>
              <w:t>2.</w:t>
            </w:r>
            <w:r>
              <w:rPr>
                <w:rFonts w:eastAsiaTheme="minorEastAsia"/>
                <w:b w:val="0"/>
                <w:bCs w:val="0"/>
                <w:i w:val="0"/>
                <w:iCs w:val="0"/>
                <w:noProof/>
                <w:lang w:val="en-NL" w:eastAsia="en-GB"/>
              </w:rPr>
              <w:tab/>
            </w:r>
            <w:r w:rsidRPr="005C12B3">
              <w:rPr>
                <w:rStyle w:val="Hyperlink"/>
                <w:noProof/>
              </w:rPr>
              <w:t>A simple adaptation decision model</w:t>
            </w:r>
            <w:r>
              <w:rPr>
                <w:noProof/>
                <w:webHidden/>
              </w:rPr>
              <w:tab/>
            </w:r>
            <w:r>
              <w:rPr>
                <w:noProof/>
                <w:webHidden/>
              </w:rPr>
              <w:fldChar w:fldCharType="begin"/>
            </w:r>
            <w:r>
              <w:rPr>
                <w:noProof/>
                <w:webHidden/>
              </w:rPr>
              <w:instrText xml:space="preserve"> PAGEREF _Toc197002961 \h </w:instrText>
            </w:r>
            <w:r>
              <w:rPr>
                <w:noProof/>
                <w:webHidden/>
              </w:rPr>
            </w:r>
            <w:r>
              <w:rPr>
                <w:noProof/>
                <w:webHidden/>
              </w:rPr>
              <w:fldChar w:fldCharType="separate"/>
            </w:r>
            <w:r>
              <w:rPr>
                <w:noProof/>
                <w:webHidden/>
              </w:rPr>
              <w:t>5</w:t>
            </w:r>
            <w:r>
              <w:rPr>
                <w:noProof/>
                <w:webHidden/>
              </w:rPr>
              <w:fldChar w:fldCharType="end"/>
            </w:r>
          </w:hyperlink>
        </w:p>
        <w:p w14:paraId="3E8F2F5D" w14:textId="57131BC5" w:rsidR="00ED1DB5" w:rsidRDefault="00ED1DB5">
          <w:pPr>
            <w:pStyle w:val="TOC1"/>
            <w:tabs>
              <w:tab w:val="left" w:pos="480"/>
              <w:tab w:val="right" w:leader="dot" w:pos="9016"/>
            </w:tabs>
            <w:rPr>
              <w:rFonts w:eastAsiaTheme="minorEastAsia"/>
              <w:b w:val="0"/>
              <w:bCs w:val="0"/>
              <w:i w:val="0"/>
              <w:iCs w:val="0"/>
              <w:noProof/>
              <w:lang w:val="en-NL" w:eastAsia="en-GB"/>
            </w:rPr>
          </w:pPr>
          <w:hyperlink w:anchor="_Toc197002962" w:history="1">
            <w:r w:rsidRPr="005C12B3">
              <w:rPr>
                <w:rStyle w:val="Hyperlink"/>
                <w:noProof/>
              </w:rPr>
              <w:t>3.</w:t>
            </w:r>
            <w:r>
              <w:rPr>
                <w:rFonts w:eastAsiaTheme="minorEastAsia"/>
                <w:b w:val="0"/>
                <w:bCs w:val="0"/>
                <w:i w:val="0"/>
                <w:iCs w:val="0"/>
                <w:noProof/>
                <w:lang w:val="en-NL" w:eastAsia="en-GB"/>
              </w:rPr>
              <w:tab/>
            </w:r>
            <w:r w:rsidRPr="005C12B3">
              <w:rPr>
                <w:rStyle w:val="Hyperlink"/>
                <w:noProof/>
              </w:rPr>
              <w:t>Climate Change Induced Flood Adaptation</w:t>
            </w:r>
            <w:r>
              <w:rPr>
                <w:noProof/>
                <w:webHidden/>
              </w:rPr>
              <w:tab/>
            </w:r>
            <w:r>
              <w:rPr>
                <w:noProof/>
                <w:webHidden/>
              </w:rPr>
              <w:fldChar w:fldCharType="begin"/>
            </w:r>
            <w:r>
              <w:rPr>
                <w:noProof/>
                <w:webHidden/>
              </w:rPr>
              <w:instrText xml:space="preserve"> PAGEREF _Toc197002962 \h </w:instrText>
            </w:r>
            <w:r>
              <w:rPr>
                <w:noProof/>
                <w:webHidden/>
              </w:rPr>
            </w:r>
            <w:r>
              <w:rPr>
                <w:noProof/>
                <w:webHidden/>
              </w:rPr>
              <w:fldChar w:fldCharType="separate"/>
            </w:r>
            <w:r>
              <w:rPr>
                <w:noProof/>
                <w:webHidden/>
              </w:rPr>
              <w:t>5</w:t>
            </w:r>
            <w:r>
              <w:rPr>
                <w:noProof/>
                <w:webHidden/>
              </w:rPr>
              <w:fldChar w:fldCharType="end"/>
            </w:r>
          </w:hyperlink>
        </w:p>
        <w:p w14:paraId="1618EA1D" w14:textId="5B20AE64" w:rsidR="00ED1DB5" w:rsidRDefault="00ED1DB5">
          <w:pPr>
            <w:pStyle w:val="TOC2"/>
            <w:tabs>
              <w:tab w:val="left" w:pos="960"/>
              <w:tab w:val="right" w:leader="dot" w:pos="9016"/>
            </w:tabs>
            <w:rPr>
              <w:rFonts w:eastAsiaTheme="minorEastAsia"/>
              <w:b w:val="0"/>
              <w:bCs w:val="0"/>
              <w:noProof/>
              <w:sz w:val="24"/>
              <w:szCs w:val="24"/>
              <w:lang w:val="en-NL" w:eastAsia="en-GB"/>
            </w:rPr>
          </w:pPr>
          <w:hyperlink w:anchor="_Toc197002963" w:history="1">
            <w:r w:rsidRPr="005C12B3">
              <w:rPr>
                <w:rStyle w:val="Hyperlink"/>
                <w:noProof/>
              </w:rPr>
              <w:t>3.1.</w:t>
            </w:r>
            <w:r>
              <w:rPr>
                <w:rFonts w:eastAsiaTheme="minorEastAsia"/>
                <w:b w:val="0"/>
                <w:bCs w:val="0"/>
                <w:noProof/>
                <w:sz w:val="24"/>
                <w:szCs w:val="24"/>
                <w:lang w:val="en-NL" w:eastAsia="en-GB"/>
              </w:rPr>
              <w:tab/>
            </w:r>
            <w:r w:rsidRPr="005C12B3">
              <w:rPr>
                <w:rStyle w:val="Hyperlink"/>
                <w:noProof/>
              </w:rPr>
              <w:t>Relevant Terms</w:t>
            </w:r>
            <w:r>
              <w:rPr>
                <w:noProof/>
                <w:webHidden/>
              </w:rPr>
              <w:tab/>
            </w:r>
            <w:r>
              <w:rPr>
                <w:noProof/>
                <w:webHidden/>
              </w:rPr>
              <w:fldChar w:fldCharType="begin"/>
            </w:r>
            <w:r>
              <w:rPr>
                <w:noProof/>
                <w:webHidden/>
              </w:rPr>
              <w:instrText xml:space="preserve"> PAGEREF _Toc197002963 \h </w:instrText>
            </w:r>
            <w:r>
              <w:rPr>
                <w:noProof/>
                <w:webHidden/>
              </w:rPr>
            </w:r>
            <w:r>
              <w:rPr>
                <w:noProof/>
                <w:webHidden/>
              </w:rPr>
              <w:fldChar w:fldCharType="separate"/>
            </w:r>
            <w:r>
              <w:rPr>
                <w:noProof/>
                <w:webHidden/>
              </w:rPr>
              <w:t>5</w:t>
            </w:r>
            <w:r>
              <w:rPr>
                <w:noProof/>
                <w:webHidden/>
              </w:rPr>
              <w:fldChar w:fldCharType="end"/>
            </w:r>
          </w:hyperlink>
        </w:p>
        <w:p w14:paraId="54DA2084" w14:textId="547B4DE6" w:rsidR="00ED1DB5" w:rsidRDefault="00ED1DB5">
          <w:pPr>
            <w:pStyle w:val="TOC2"/>
            <w:tabs>
              <w:tab w:val="left" w:pos="960"/>
              <w:tab w:val="right" w:leader="dot" w:pos="9016"/>
            </w:tabs>
            <w:rPr>
              <w:rFonts w:eastAsiaTheme="minorEastAsia"/>
              <w:b w:val="0"/>
              <w:bCs w:val="0"/>
              <w:noProof/>
              <w:sz w:val="24"/>
              <w:szCs w:val="24"/>
              <w:lang w:val="en-NL" w:eastAsia="en-GB"/>
            </w:rPr>
          </w:pPr>
          <w:hyperlink w:anchor="_Toc197002964" w:history="1">
            <w:r w:rsidRPr="005C12B3">
              <w:rPr>
                <w:rStyle w:val="Hyperlink"/>
                <w:noProof/>
              </w:rPr>
              <w:t>3.2.</w:t>
            </w:r>
            <w:r>
              <w:rPr>
                <w:rFonts w:eastAsiaTheme="minorEastAsia"/>
                <w:b w:val="0"/>
                <w:bCs w:val="0"/>
                <w:noProof/>
                <w:sz w:val="24"/>
                <w:szCs w:val="24"/>
                <w:lang w:val="en-NL" w:eastAsia="en-GB"/>
              </w:rPr>
              <w:tab/>
            </w:r>
            <w:r w:rsidRPr="005C12B3">
              <w:rPr>
                <w:rStyle w:val="Hyperlink"/>
                <w:noProof/>
              </w:rPr>
              <w:t>Types of Adaptation</w:t>
            </w:r>
            <w:r>
              <w:rPr>
                <w:noProof/>
                <w:webHidden/>
              </w:rPr>
              <w:tab/>
            </w:r>
            <w:r>
              <w:rPr>
                <w:noProof/>
                <w:webHidden/>
              </w:rPr>
              <w:fldChar w:fldCharType="begin"/>
            </w:r>
            <w:r>
              <w:rPr>
                <w:noProof/>
                <w:webHidden/>
              </w:rPr>
              <w:instrText xml:space="preserve"> PAGEREF _Toc197002964 \h </w:instrText>
            </w:r>
            <w:r>
              <w:rPr>
                <w:noProof/>
                <w:webHidden/>
              </w:rPr>
            </w:r>
            <w:r>
              <w:rPr>
                <w:noProof/>
                <w:webHidden/>
              </w:rPr>
              <w:fldChar w:fldCharType="separate"/>
            </w:r>
            <w:r>
              <w:rPr>
                <w:noProof/>
                <w:webHidden/>
              </w:rPr>
              <w:t>6</w:t>
            </w:r>
            <w:r>
              <w:rPr>
                <w:noProof/>
                <w:webHidden/>
              </w:rPr>
              <w:fldChar w:fldCharType="end"/>
            </w:r>
          </w:hyperlink>
        </w:p>
        <w:p w14:paraId="4F1E5AD1" w14:textId="5CFC5763" w:rsidR="00ED1DB5" w:rsidRDefault="00ED1DB5">
          <w:pPr>
            <w:pStyle w:val="TOC2"/>
            <w:tabs>
              <w:tab w:val="left" w:pos="960"/>
              <w:tab w:val="right" w:leader="dot" w:pos="9016"/>
            </w:tabs>
            <w:rPr>
              <w:rFonts w:eastAsiaTheme="minorEastAsia"/>
              <w:b w:val="0"/>
              <w:bCs w:val="0"/>
              <w:noProof/>
              <w:sz w:val="24"/>
              <w:szCs w:val="24"/>
              <w:lang w:val="en-NL" w:eastAsia="en-GB"/>
            </w:rPr>
          </w:pPr>
          <w:hyperlink w:anchor="_Toc197002965" w:history="1">
            <w:r w:rsidRPr="005C12B3">
              <w:rPr>
                <w:rStyle w:val="Hyperlink"/>
                <w:noProof/>
              </w:rPr>
              <w:t>3.3.</w:t>
            </w:r>
            <w:r>
              <w:rPr>
                <w:rFonts w:eastAsiaTheme="minorEastAsia"/>
                <w:b w:val="0"/>
                <w:bCs w:val="0"/>
                <w:noProof/>
                <w:sz w:val="24"/>
                <w:szCs w:val="24"/>
                <w:lang w:val="en-NL" w:eastAsia="en-GB"/>
              </w:rPr>
              <w:tab/>
            </w:r>
            <w:r w:rsidRPr="005C12B3">
              <w:rPr>
                <w:rStyle w:val="Hyperlink"/>
                <w:noProof/>
              </w:rPr>
              <w:t>Determinants of adaptation</w:t>
            </w:r>
            <w:r>
              <w:rPr>
                <w:noProof/>
                <w:webHidden/>
              </w:rPr>
              <w:tab/>
            </w:r>
            <w:r>
              <w:rPr>
                <w:noProof/>
                <w:webHidden/>
              </w:rPr>
              <w:fldChar w:fldCharType="begin"/>
            </w:r>
            <w:r>
              <w:rPr>
                <w:noProof/>
                <w:webHidden/>
              </w:rPr>
              <w:instrText xml:space="preserve"> PAGEREF _Toc197002965 \h </w:instrText>
            </w:r>
            <w:r>
              <w:rPr>
                <w:noProof/>
                <w:webHidden/>
              </w:rPr>
            </w:r>
            <w:r>
              <w:rPr>
                <w:noProof/>
                <w:webHidden/>
              </w:rPr>
              <w:fldChar w:fldCharType="separate"/>
            </w:r>
            <w:r>
              <w:rPr>
                <w:noProof/>
                <w:webHidden/>
              </w:rPr>
              <w:t>8</w:t>
            </w:r>
            <w:r>
              <w:rPr>
                <w:noProof/>
                <w:webHidden/>
              </w:rPr>
              <w:fldChar w:fldCharType="end"/>
            </w:r>
          </w:hyperlink>
        </w:p>
        <w:p w14:paraId="5A8EEF39" w14:textId="129FC29A" w:rsidR="00ED1DB5" w:rsidRDefault="00ED1DB5">
          <w:pPr>
            <w:pStyle w:val="TOC2"/>
            <w:tabs>
              <w:tab w:val="left" w:pos="960"/>
              <w:tab w:val="right" w:leader="dot" w:pos="9016"/>
            </w:tabs>
            <w:rPr>
              <w:rFonts w:eastAsiaTheme="minorEastAsia"/>
              <w:b w:val="0"/>
              <w:bCs w:val="0"/>
              <w:noProof/>
              <w:sz w:val="24"/>
              <w:szCs w:val="24"/>
              <w:lang w:val="en-NL" w:eastAsia="en-GB"/>
            </w:rPr>
          </w:pPr>
          <w:hyperlink w:anchor="_Toc197002966" w:history="1">
            <w:r w:rsidRPr="005C12B3">
              <w:rPr>
                <w:rStyle w:val="Hyperlink"/>
                <w:noProof/>
              </w:rPr>
              <w:t>3.4.</w:t>
            </w:r>
            <w:r>
              <w:rPr>
                <w:rFonts w:eastAsiaTheme="minorEastAsia"/>
                <w:b w:val="0"/>
                <w:bCs w:val="0"/>
                <w:noProof/>
                <w:sz w:val="24"/>
                <w:szCs w:val="24"/>
                <w:lang w:val="en-NL" w:eastAsia="en-GB"/>
              </w:rPr>
              <w:tab/>
            </w:r>
            <w:r w:rsidRPr="005C12B3">
              <w:rPr>
                <w:rStyle w:val="Hyperlink"/>
                <w:noProof/>
              </w:rPr>
              <w:t>Behavioral Adaptation Theories</w:t>
            </w:r>
            <w:r>
              <w:rPr>
                <w:noProof/>
                <w:webHidden/>
              </w:rPr>
              <w:tab/>
            </w:r>
            <w:r>
              <w:rPr>
                <w:noProof/>
                <w:webHidden/>
              </w:rPr>
              <w:fldChar w:fldCharType="begin"/>
            </w:r>
            <w:r>
              <w:rPr>
                <w:noProof/>
                <w:webHidden/>
              </w:rPr>
              <w:instrText xml:space="preserve"> PAGEREF _Toc197002966 \h </w:instrText>
            </w:r>
            <w:r>
              <w:rPr>
                <w:noProof/>
                <w:webHidden/>
              </w:rPr>
            </w:r>
            <w:r>
              <w:rPr>
                <w:noProof/>
                <w:webHidden/>
              </w:rPr>
              <w:fldChar w:fldCharType="separate"/>
            </w:r>
            <w:r>
              <w:rPr>
                <w:noProof/>
                <w:webHidden/>
              </w:rPr>
              <w:t>9</w:t>
            </w:r>
            <w:r>
              <w:rPr>
                <w:noProof/>
                <w:webHidden/>
              </w:rPr>
              <w:fldChar w:fldCharType="end"/>
            </w:r>
          </w:hyperlink>
        </w:p>
        <w:p w14:paraId="387C3BBE" w14:textId="67A52579" w:rsidR="00ED1DB5" w:rsidRDefault="00ED1DB5">
          <w:pPr>
            <w:pStyle w:val="TOC1"/>
            <w:tabs>
              <w:tab w:val="left" w:pos="480"/>
              <w:tab w:val="right" w:leader="dot" w:pos="9016"/>
            </w:tabs>
            <w:rPr>
              <w:rFonts w:eastAsiaTheme="minorEastAsia"/>
              <w:b w:val="0"/>
              <w:bCs w:val="0"/>
              <w:i w:val="0"/>
              <w:iCs w:val="0"/>
              <w:noProof/>
              <w:lang w:val="en-NL" w:eastAsia="en-GB"/>
            </w:rPr>
          </w:pPr>
          <w:hyperlink w:anchor="_Toc197002967" w:history="1">
            <w:r w:rsidRPr="005C12B3">
              <w:rPr>
                <w:rStyle w:val="Hyperlink"/>
                <w:noProof/>
              </w:rPr>
              <w:t>4.</w:t>
            </w:r>
            <w:r>
              <w:rPr>
                <w:rFonts w:eastAsiaTheme="minorEastAsia"/>
                <w:b w:val="0"/>
                <w:bCs w:val="0"/>
                <w:i w:val="0"/>
                <w:iCs w:val="0"/>
                <w:noProof/>
                <w:lang w:val="en-NL" w:eastAsia="en-GB"/>
              </w:rPr>
              <w:tab/>
            </w:r>
            <w:r w:rsidRPr="005C12B3">
              <w:rPr>
                <w:rStyle w:val="Hyperlink"/>
                <w:noProof/>
              </w:rPr>
              <w:t>Research Questions</w:t>
            </w:r>
            <w:r>
              <w:rPr>
                <w:noProof/>
                <w:webHidden/>
              </w:rPr>
              <w:tab/>
            </w:r>
            <w:r>
              <w:rPr>
                <w:noProof/>
                <w:webHidden/>
              </w:rPr>
              <w:fldChar w:fldCharType="begin"/>
            </w:r>
            <w:r>
              <w:rPr>
                <w:noProof/>
                <w:webHidden/>
              </w:rPr>
              <w:instrText xml:space="preserve"> PAGEREF _Toc197002967 \h </w:instrText>
            </w:r>
            <w:r>
              <w:rPr>
                <w:noProof/>
                <w:webHidden/>
              </w:rPr>
            </w:r>
            <w:r>
              <w:rPr>
                <w:noProof/>
                <w:webHidden/>
              </w:rPr>
              <w:fldChar w:fldCharType="separate"/>
            </w:r>
            <w:r>
              <w:rPr>
                <w:noProof/>
                <w:webHidden/>
              </w:rPr>
              <w:t>9</w:t>
            </w:r>
            <w:r>
              <w:rPr>
                <w:noProof/>
                <w:webHidden/>
              </w:rPr>
              <w:fldChar w:fldCharType="end"/>
            </w:r>
          </w:hyperlink>
        </w:p>
        <w:p w14:paraId="110CC04B" w14:textId="741729FB" w:rsidR="00ED1DB5" w:rsidRDefault="00ED1DB5">
          <w:pPr>
            <w:pStyle w:val="TOC1"/>
            <w:tabs>
              <w:tab w:val="left" w:pos="480"/>
              <w:tab w:val="right" w:leader="dot" w:pos="9016"/>
            </w:tabs>
            <w:rPr>
              <w:rFonts w:eastAsiaTheme="minorEastAsia"/>
              <w:b w:val="0"/>
              <w:bCs w:val="0"/>
              <w:i w:val="0"/>
              <w:iCs w:val="0"/>
              <w:noProof/>
              <w:lang w:val="en-NL" w:eastAsia="en-GB"/>
            </w:rPr>
          </w:pPr>
          <w:hyperlink w:anchor="_Toc197002968" w:history="1">
            <w:r w:rsidRPr="005C12B3">
              <w:rPr>
                <w:rStyle w:val="Hyperlink"/>
                <w:noProof/>
              </w:rPr>
              <w:t>5.</w:t>
            </w:r>
            <w:r>
              <w:rPr>
                <w:rFonts w:eastAsiaTheme="minorEastAsia"/>
                <w:b w:val="0"/>
                <w:bCs w:val="0"/>
                <w:i w:val="0"/>
                <w:iCs w:val="0"/>
                <w:noProof/>
                <w:lang w:val="en-NL" w:eastAsia="en-GB"/>
              </w:rPr>
              <w:tab/>
            </w:r>
            <w:r w:rsidRPr="005C12B3">
              <w:rPr>
                <w:rStyle w:val="Hyperlink"/>
                <w:noProof/>
              </w:rPr>
              <w:t>Data</w:t>
            </w:r>
            <w:r>
              <w:rPr>
                <w:noProof/>
                <w:webHidden/>
              </w:rPr>
              <w:tab/>
            </w:r>
            <w:r>
              <w:rPr>
                <w:noProof/>
                <w:webHidden/>
              </w:rPr>
              <w:fldChar w:fldCharType="begin"/>
            </w:r>
            <w:r>
              <w:rPr>
                <w:noProof/>
                <w:webHidden/>
              </w:rPr>
              <w:instrText xml:space="preserve"> PAGEREF _Toc197002968 \h </w:instrText>
            </w:r>
            <w:r>
              <w:rPr>
                <w:noProof/>
                <w:webHidden/>
              </w:rPr>
            </w:r>
            <w:r>
              <w:rPr>
                <w:noProof/>
                <w:webHidden/>
              </w:rPr>
              <w:fldChar w:fldCharType="separate"/>
            </w:r>
            <w:r>
              <w:rPr>
                <w:noProof/>
                <w:webHidden/>
              </w:rPr>
              <w:t>10</w:t>
            </w:r>
            <w:r>
              <w:rPr>
                <w:noProof/>
                <w:webHidden/>
              </w:rPr>
              <w:fldChar w:fldCharType="end"/>
            </w:r>
          </w:hyperlink>
        </w:p>
        <w:p w14:paraId="3139AFAD" w14:textId="0A461902" w:rsidR="00ED1DB5" w:rsidRDefault="00ED1DB5">
          <w:pPr>
            <w:pStyle w:val="TOC2"/>
            <w:tabs>
              <w:tab w:val="left" w:pos="960"/>
              <w:tab w:val="right" w:leader="dot" w:pos="9016"/>
            </w:tabs>
            <w:rPr>
              <w:rFonts w:eastAsiaTheme="minorEastAsia"/>
              <w:b w:val="0"/>
              <w:bCs w:val="0"/>
              <w:noProof/>
              <w:sz w:val="24"/>
              <w:szCs w:val="24"/>
              <w:lang w:val="en-NL" w:eastAsia="en-GB"/>
            </w:rPr>
          </w:pPr>
          <w:hyperlink w:anchor="_Toc197002969" w:history="1">
            <w:r w:rsidRPr="005C12B3">
              <w:rPr>
                <w:rStyle w:val="Hyperlink"/>
                <w:noProof/>
              </w:rPr>
              <w:t>5.1.</w:t>
            </w:r>
            <w:r>
              <w:rPr>
                <w:rFonts w:eastAsiaTheme="minorEastAsia"/>
                <w:b w:val="0"/>
                <w:bCs w:val="0"/>
                <w:noProof/>
                <w:sz w:val="24"/>
                <w:szCs w:val="24"/>
                <w:lang w:val="en-NL" w:eastAsia="en-GB"/>
              </w:rPr>
              <w:tab/>
            </w:r>
            <w:r w:rsidRPr="005C12B3">
              <w:rPr>
                <w:rStyle w:val="Hyperlink"/>
                <w:noProof/>
              </w:rPr>
              <w:t>Data Cleaning</w:t>
            </w:r>
            <w:r>
              <w:rPr>
                <w:noProof/>
                <w:webHidden/>
              </w:rPr>
              <w:tab/>
            </w:r>
            <w:r>
              <w:rPr>
                <w:noProof/>
                <w:webHidden/>
              </w:rPr>
              <w:fldChar w:fldCharType="begin"/>
            </w:r>
            <w:r>
              <w:rPr>
                <w:noProof/>
                <w:webHidden/>
              </w:rPr>
              <w:instrText xml:space="preserve"> PAGEREF _Toc197002969 \h </w:instrText>
            </w:r>
            <w:r>
              <w:rPr>
                <w:noProof/>
                <w:webHidden/>
              </w:rPr>
            </w:r>
            <w:r>
              <w:rPr>
                <w:noProof/>
                <w:webHidden/>
              </w:rPr>
              <w:fldChar w:fldCharType="separate"/>
            </w:r>
            <w:r>
              <w:rPr>
                <w:noProof/>
                <w:webHidden/>
              </w:rPr>
              <w:t>12</w:t>
            </w:r>
            <w:r>
              <w:rPr>
                <w:noProof/>
                <w:webHidden/>
              </w:rPr>
              <w:fldChar w:fldCharType="end"/>
            </w:r>
          </w:hyperlink>
        </w:p>
        <w:p w14:paraId="0D153CB1" w14:textId="58B28D56" w:rsidR="00ED1DB5" w:rsidRDefault="00ED1DB5">
          <w:pPr>
            <w:pStyle w:val="TOC2"/>
            <w:tabs>
              <w:tab w:val="left" w:pos="960"/>
              <w:tab w:val="right" w:leader="dot" w:pos="9016"/>
            </w:tabs>
            <w:rPr>
              <w:rFonts w:eastAsiaTheme="minorEastAsia"/>
              <w:b w:val="0"/>
              <w:bCs w:val="0"/>
              <w:noProof/>
              <w:sz w:val="24"/>
              <w:szCs w:val="24"/>
              <w:lang w:val="en-NL" w:eastAsia="en-GB"/>
            </w:rPr>
          </w:pPr>
          <w:hyperlink w:anchor="_Toc197002970" w:history="1">
            <w:r w:rsidRPr="005C12B3">
              <w:rPr>
                <w:rStyle w:val="Hyperlink"/>
                <w:noProof/>
              </w:rPr>
              <w:t>5.2.</w:t>
            </w:r>
            <w:r>
              <w:rPr>
                <w:rFonts w:eastAsiaTheme="minorEastAsia"/>
                <w:b w:val="0"/>
                <w:bCs w:val="0"/>
                <w:noProof/>
                <w:sz w:val="24"/>
                <w:szCs w:val="24"/>
                <w:lang w:val="en-NL" w:eastAsia="en-GB"/>
              </w:rPr>
              <w:tab/>
            </w:r>
            <w:r w:rsidRPr="005C12B3">
              <w:rPr>
                <w:rStyle w:val="Hyperlink"/>
                <w:noProof/>
              </w:rPr>
              <w:t>Data Exploration</w:t>
            </w:r>
            <w:r>
              <w:rPr>
                <w:noProof/>
                <w:webHidden/>
              </w:rPr>
              <w:tab/>
            </w:r>
            <w:r>
              <w:rPr>
                <w:noProof/>
                <w:webHidden/>
              </w:rPr>
              <w:fldChar w:fldCharType="begin"/>
            </w:r>
            <w:r>
              <w:rPr>
                <w:noProof/>
                <w:webHidden/>
              </w:rPr>
              <w:instrText xml:space="preserve"> PAGEREF _Toc197002970 \h </w:instrText>
            </w:r>
            <w:r>
              <w:rPr>
                <w:noProof/>
                <w:webHidden/>
              </w:rPr>
            </w:r>
            <w:r>
              <w:rPr>
                <w:noProof/>
                <w:webHidden/>
              </w:rPr>
              <w:fldChar w:fldCharType="separate"/>
            </w:r>
            <w:r>
              <w:rPr>
                <w:noProof/>
                <w:webHidden/>
              </w:rPr>
              <w:t>12</w:t>
            </w:r>
            <w:r>
              <w:rPr>
                <w:noProof/>
                <w:webHidden/>
              </w:rPr>
              <w:fldChar w:fldCharType="end"/>
            </w:r>
          </w:hyperlink>
        </w:p>
        <w:p w14:paraId="02C618AA" w14:textId="5AB86870" w:rsidR="00ED1DB5" w:rsidRDefault="00ED1DB5">
          <w:pPr>
            <w:pStyle w:val="TOC1"/>
            <w:tabs>
              <w:tab w:val="left" w:pos="480"/>
              <w:tab w:val="right" w:leader="dot" w:pos="9016"/>
            </w:tabs>
            <w:rPr>
              <w:rFonts w:eastAsiaTheme="minorEastAsia"/>
              <w:b w:val="0"/>
              <w:bCs w:val="0"/>
              <w:i w:val="0"/>
              <w:iCs w:val="0"/>
              <w:noProof/>
              <w:lang w:val="en-NL" w:eastAsia="en-GB"/>
            </w:rPr>
          </w:pPr>
          <w:hyperlink w:anchor="_Toc197002971" w:history="1">
            <w:r w:rsidRPr="005C12B3">
              <w:rPr>
                <w:rStyle w:val="Hyperlink"/>
                <w:noProof/>
              </w:rPr>
              <w:t>6.</w:t>
            </w:r>
            <w:r>
              <w:rPr>
                <w:rFonts w:eastAsiaTheme="minorEastAsia"/>
                <w:b w:val="0"/>
                <w:bCs w:val="0"/>
                <w:i w:val="0"/>
                <w:iCs w:val="0"/>
                <w:noProof/>
                <w:lang w:val="en-NL" w:eastAsia="en-GB"/>
              </w:rPr>
              <w:tab/>
            </w:r>
            <w:r w:rsidRPr="005C12B3">
              <w:rPr>
                <w:rStyle w:val="Hyperlink"/>
                <w:noProof/>
              </w:rPr>
              <w:t>Analysis</w:t>
            </w:r>
            <w:r>
              <w:rPr>
                <w:noProof/>
                <w:webHidden/>
              </w:rPr>
              <w:tab/>
            </w:r>
            <w:r>
              <w:rPr>
                <w:noProof/>
                <w:webHidden/>
              </w:rPr>
              <w:fldChar w:fldCharType="begin"/>
            </w:r>
            <w:r>
              <w:rPr>
                <w:noProof/>
                <w:webHidden/>
              </w:rPr>
              <w:instrText xml:space="preserve"> PAGEREF _Toc197002971 \h </w:instrText>
            </w:r>
            <w:r>
              <w:rPr>
                <w:noProof/>
                <w:webHidden/>
              </w:rPr>
            </w:r>
            <w:r>
              <w:rPr>
                <w:noProof/>
                <w:webHidden/>
              </w:rPr>
              <w:fldChar w:fldCharType="separate"/>
            </w:r>
            <w:r>
              <w:rPr>
                <w:noProof/>
                <w:webHidden/>
              </w:rPr>
              <w:t>13</w:t>
            </w:r>
            <w:r>
              <w:rPr>
                <w:noProof/>
                <w:webHidden/>
              </w:rPr>
              <w:fldChar w:fldCharType="end"/>
            </w:r>
          </w:hyperlink>
        </w:p>
        <w:p w14:paraId="04ACD461" w14:textId="51BA3B39" w:rsidR="00ED1DB5" w:rsidRDefault="00ED1DB5">
          <w:pPr>
            <w:pStyle w:val="TOC2"/>
            <w:tabs>
              <w:tab w:val="left" w:pos="960"/>
              <w:tab w:val="right" w:leader="dot" w:pos="9016"/>
            </w:tabs>
            <w:rPr>
              <w:rFonts w:eastAsiaTheme="minorEastAsia"/>
              <w:b w:val="0"/>
              <w:bCs w:val="0"/>
              <w:noProof/>
              <w:sz w:val="24"/>
              <w:szCs w:val="24"/>
              <w:lang w:val="en-NL" w:eastAsia="en-GB"/>
            </w:rPr>
          </w:pPr>
          <w:hyperlink w:anchor="_Toc197002972" w:history="1">
            <w:r w:rsidRPr="005C12B3">
              <w:rPr>
                <w:rStyle w:val="Hyperlink"/>
                <w:noProof/>
              </w:rPr>
              <w:t>6.1.</w:t>
            </w:r>
            <w:r>
              <w:rPr>
                <w:rFonts w:eastAsiaTheme="minorEastAsia"/>
                <w:b w:val="0"/>
                <w:bCs w:val="0"/>
                <w:noProof/>
                <w:sz w:val="24"/>
                <w:szCs w:val="24"/>
                <w:lang w:val="en-NL" w:eastAsia="en-GB"/>
              </w:rPr>
              <w:tab/>
            </w:r>
            <w:r w:rsidRPr="005C12B3">
              <w:rPr>
                <w:rStyle w:val="Hyperlink"/>
                <w:noProof/>
              </w:rPr>
              <w:t>The effect of flood risk, perception, experience, and awareness</w:t>
            </w:r>
            <w:r>
              <w:rPr>
                <w:noProof/>
                <w:webHidden/>
              </w:rPr>
              <w:tab/>
            </w:r>
            <w:r>
              <w:rPr>
                <w:noProof/>
                <w:webHidden/>
              </w:rPr>
              <w:fldChar w:fldCharType="begin"/>
            </w:r>
            <w:r>
              <w:rPr>
                <w:noProof/>
                <w:webHidden/>
              </w:rPr>
              <w:instrText xml:space="preserve"> PAGEREF _Toc197002972 \h </w:instrText>
            </w:r>
            <w:r>
              <w:rPr>
                <w:noProof/>
                <w:webHidden/>
              </w:rPr>
            </w:r>
            <w:r>
              <w:rPr>
                <w:noProof/>
                <w:webHidden/>
              </w:rPr>
              <w:fldChar w:fldCharType="separate"/>
            </w:r>
            <w:r>
              <w:rPr>
                <w:noProof/>
                <w:webHidden/>
              </w:rPr>
              <w:t>14</w:t>
            </w:r>
            <w:r>
              <w:rPr>
                <w:noProof/>
                <w:webHidden/>
              </w:rPr>
              <w:fldChar w:fldCharType="end"/>
            </w:r>
          </w:hyperlink>
        </w:p>
        <w:p w14:paraId="755C3D91" w14:textId="4B13318C" w:rsidR="00ED1DB5" w:rsidRDefault="00ED1DB5">
          <w:pPr>
            <w:pStyle w:val="TOC3"/>
            <w:tabs>
              <w:tab w:val="left" w:pos="1440"/>
              <w:tab w:val="right" w:leader="dot" w:pos="9016"/>
            </w:tabs>
            <w:rPr>
              <w:rFonts w:eastAsiaTheme="minorEastAsia"/>
              <w:noProof/>
              <w:sz w:val="24"/>
              <w:szCs w:val="24"/>
              <w:lang w:val="en-NL" w:eastAsia="en-GB"/>
            </w:rPr>
          </w:pPr>
          <w:hyperlink w:anchor="_Toc197002973" w:history="1">
            <w:r w:rsidRPr="005C12B3">
              <w:rPr>
                <w:rStyle w:val="Hyperlink"/>
                <w:noProof/>
              </w:rPr>
              <w:t>6.1.1.</w:t>
            </w:r>
            <w:r>
              <w:rPr>
                <w:rFonts w:eastAsiaTheme="minorEastAsia"/>
                <w:noProof/>
                <w:sz w:val="24"/>
                <w:szCs w:val="24"/>
                <w:lang w:val="en-NL" w:eastAsia="en-GB"/>
              </w:rPr>
              <w:tab/>
            </w:r>
            <w:r w:rsidRPr="005C12B3">
              <w:rPr>
                <w:rStyle w:val="Hyperlink"/>
                <w:noProof/>
              </w:rPr>
              <w:t>Univariate models</w:t>
            </w:r>
            <w:r>
              <w:rPr>
                <w:noProof/>
                <w:webHidden/>
              </w:rPr>
              <w:tab/>
            </w:r>
            <w:r>
              <w:rPr>
                <w:noProof/>
                <w:webHidden/>
              </w:rPr>
              <w:fldChar w:fldCharType="begin"/>
            </w:r>
            <w:r>
              <w:rPr>
                <w:noProof/>
                <w:webHidden/>
              </w:rPr>
              <w:instrText xml:space="preserve"> PAGEREF _Toc197002973 \h </w:instrText>
            </w:r>
            <w:r>
              <w:rPr>
                <w:noProof/>
                <w:webHidden/>
              </w:rPr>
            </w:r>
            <w:r>
              <w:rPr>
                <w:noProof/>
                <w:webHidden/>
              </w:rPr>
              <w:fldChar w:fldCharType="separate"/>
            </w:r>
            <w:r>
              <w:rPr>
                <w:noProof/>
                <w:webHidden/>
              </w:rPr>
              <w:t>15</w:t>
            </w:r>
            <w:r>
              <w:rPr>
                <w:noProof/>
                <w:webHidden/>
              </w:rPr>
              <w:fldChar w:fldCharType="end"/>
            </w:r>
          </w:hyperlink>
        </w:p>
        <w:p w14:paraId="6EB2DA94" w14:textId="0AE92A90" w:rsidR="00ED1DB5" w:rsidRDefault="00ED1DB5">
          <w:pPr>
            <w:pStyle w:val="TOC3"/>
            <w:tabs>
              <w:tab w:val="left" w:pos="1440"/>
              <w:tab w:val="right" w:leader="dot" w:pos="9016"/>
            </w:tabs>
            <w:rPr>
              <w:rFonts w:eastAsiaTheme="minorEastAsia"/>
              <w:noProof/>
              <w:sz w:val="24"/>
              <w:szCs w:val="24"/>
              <w:lang w:val="en-NL" w:eastAsia="en-GB"/>
            </w:rPr>
          </w:pPr>
          <w:hyperlink w:anchor="_Toc197002974" w:history="1">
            <w:r w:rsidRPr="005C12B3">
              <w:rPr>
                <w:rStyle w:val="Hyperlink"/>
                <w:noProof/>
              </w:rPr>
              <w:t>6.1.2.</w:t>
            </w:r>
            <w:r>
              <w:rPr>
                <w:rFonts w:eastAsiaTheme="minorEastAsia"/>
                <w:noProof/>
                <w:sz w:val="24"/>
                <w:szCs w:val="24"/>
                <w:lang w:val="en-NL" w:eastAsia="en-GB"/>
              </w:rPr>
              <w:tab/>
            </w:r>
            <w:r w:rsidRPr="005C12B3">
              <w:rPr>
                <w:rStyle w:val="Hyperlink"/>
                <w:noProof/>
              </w:rPr>
              <w:t>Predicting risk perception</w:t>
            </w:r>
            <w:r>
              <w:rPr>
                <w:noProof/>
                <w:webHidden/>
              </w:rPr>
              <w:tab/>
            </w:r>
            <w:r>
              <w:rPr>
                <w:noProof/>
                <w:webHidden/>
              </w:rPr>
              <w:fldChar w:fldCharType="begin"/>
            </w:r>
            <w:r>
              <w:rPr>
                <w:noProof/>
                <w:webHidden/>
              </w:rPr>
              <w:instrText xml:space="preserve"> PAGEREF _Toc197002974 \h </w:instrText>
            </w:r>
            <w:r>
              <w:rPr>
                <w:noProof/>
                <w:webHidden/>
              </w:rPr>
            </w:r>
            <w:r>
              <w:rPr>
                <w:noProof/>
                <w:webHidden/>
              </w:rPr>
              <w:fldChar w:fldCharType="separate"/>
            </w:r>
            <w:r>
              <w:rPr>
                <w:noProof/>
                <w:webHidden/>
              </w:rPr>
              <w:t>19</w:t>
            </w:r>
            <w:r>
              <w:rPr>
                <w:noProof/>
                <w:webHidden/>
              </w:rPr>
              <w:fldChar w:fldCharType="end"/>
            </w:r>
          </w:hyperlink>
        </w:p>
        <w:p w14:paraId="5E786284" w14:textId="22964725" w:rsidR="00ED1DB5" w:rsidRDefault="00ED1DB5">
          <w:pPr>
            <w:pStyle w:val="TOC3"/>
            <w:tabs>
              <w:tab w:val="left" w:pos="1440"/>
              <w:tab w:val="right" w:leader="dot" w:pos="9016"/>
            </w:tabs>
            <w:rPr>
              <w:rFonts w:eastAsiaTheme="minorEastAsia"/>
              <w:noProof/>
              <w:sz w:val="24"/>
              <w:szCs w:val="24"/>
              <w:lang w:val="en-NL" w:eastAsia="en-GB"/>
            </w:rPr>
          </w:pPr>
          <w:hyperlink w:anchor="_Toc197002975" w:history="1">
            <w:r w:rsidRPr="005C12B3">
              <w:rPr>
                <w:rStyle w:val="Hyperlink"/>
                <w:noProof/>
              </w:rPr>
              <w:t>6.1.3.</w:t>
            </w:r>
            <w:r>
              <w:rPr>
                <w:rFonts w:eastAsiaTheme="minorEastAsia"/>
                <w:noProof/>
                <w:sz w:val="24"/>
                <w:szCs w:val="24"/>
                <w:lang w:val="en-NL" w:eastAsia="en-GB"/>
              </w:rPr>
              <w:tab/>
            </w:r>
            <w:r w:rsidRPr="005C12B3">
              <w:rPr>
                <w:rStyle w:val="Hyperlink"/>
                <w:noProof/>
              </w:rPr>
              <w:t>A multivariate model</w:t>
            </w:r>
            <w:r>
              <w:rPr>
                <w:noProof/>
                <w:webHidden/>
              </w:rPr>
              <w:tab/>
            </w:r>
            <w:r>
              <w:rPr>
                <w:noProof/>
                <w:webHidden/>
              </w:rPr>
              <w:fldChar w:fldCharType="begin"/>
            </w:r>
            <w:r>
              <w:rPr>
                <w:noProof/>
                <w:webHidden/>
              </w:rPr>
              <w:instrText xml:space="preserve"> PAGEREF _Toc197002975 \h </w:instrText>
            </w:r>
            <w:r>
              <w:rPr>
                <w:noProof/>
                <w:webHidden/>
              </w:rPr>
            </w:r>
            <w:r>
              <w:rPr>
                <w:noProof/>
                <w:webHidden/>
              </w:rPr>
              <w:fldChar w:fldCharType="separate"/>
            </w:r>
            <w:r>
              <w:rPr>
                <w:noProof/>
                <w:webHidden/>
              </w:rPr>
              <w:t>20</w:t>
            </w:r>
            <w:r>
              <w:rPr>
                <w:noProof/>
                <w:webHidden/>
              </w:rPr>
              <w:fldChar w:fldCharType="end"/>
            </w:r>
          </w:hyperlink>
        </w:p>
        <w:p w14:paraId="4B683A71" w14:textId="46DF33B3" w:rsidR="00ED1DB5" w:rsidRDefault="00ED1DB5">
          <w:pPr>
            <w:pStyle w:val="TOC3"/>
            <w:tabs>
              <w:tab w:val="left" w:pos="1440"/>
              <w:tab w:val="right" w:leader="dot" w:pos="9016"/>
            </w:tabs>
            <w:rPr>
              <w:rFonts w:eastAsiaTheme="minorEastAsia"/>
              <w:noProof/>
              <w:sz w:val="24"/>
              <w:szCs w:val="24"/>
              <w:lang w:val="en-NL" w:eastAsia="en-GB"/>
            </w:rPr>
          </w:pPr>
          <w:hyperlink w:anchor="_Toc197002976" w:history="1">
            <w:r w:rsidRPr="005C12B3">
              <w:rPr>
                <w:rStyle w:val="Hyperlink"/>
                <w:noProof/>
              </w:rPr>
              <w:t>6.1.4.</w:t>
            </w:r>
            <w:r>
              <w:rPr>
                <w:rFonts w:eastAsiaTheme="minorEastAsia"/>
                <w:noProof/>
                <w:sz w:val="24"/>
                <w:szCs w:val="24"/>
                <w:lang w:val="en-NL" w:eastAsia="en-GB"/>
              </w:rPr>
              <w:tab/>
            </w:r>
            <w:r w:rsidRPr="005C12B3">
              <w:rPr>
                <w:rStyle w:val="Hyperlink"/>
                <w:noProof/>
              </w:rPr>
              <w:t>Robustness Checks</w:t>
            </w:r>
            <w:r>
              <w:rPr>
                <w:noProof/>
                <w:webHidden/>
              </w:rPr>
              <w:tab/>
            </w:r>
            <w:r>
              <w:rPr>
                <w:noProof/>
                <w:webHidden/>
              </w:rPr>
              <w:fldChar w:fldCharType="begin"/>
            </w:r>
            <w:r>
              <w:rPr>
                <w:noProof/>
                <w:webHidden/>
              </w:rPr>
              <w:instrText xml:space="preserve"> PAGEREF _Toc197002976 \h </w:instrText>
            </w:r>
            <w:r>
              <w:rPr>
                <w:noProof/>
                <w:webHidden/>
              </w:rPr>
            </w:r>
            <w:r>
              <w:rPr>
                <w:noProof/>
                <w:webHidden/>
              </w:rPr>
              <w:fldChar w:fldCharType="separate"/>
            </w:r>
            <w:r>
              <w:rPr>
                <w:noProof/>
                <w:webHidden/>
              </w:rPr>
              <w:t>21</w:t>
            </w:r>
            <w:r>
              <w:rPr>
                <w:noProof/>
                <w:webHidden/>
              </w:rPr>
              <w:fldChar w:fldCharType="end"/>
            </w:r>
          </w:hyperlink>
        </w:p>
        <w:p w14:paraId="7896EEBE" w14:textId="37349633" w:rsidR="00ED1DB5" w:rsidRDefault="00ED1DB5">
          <w:pPr>
            <w:pStyle w:val="TOC2"/>
            <w:tabs>
              <w:tab w:val="left" w:pos="960"/>
              <w:tab w:val="right" w:leader="dot" w:pos="9016"/>
            </w:tabs>
            <w:rPr>
              <w:rFonts w:eastAsiaTheme="minorEastAsia"/>
              <w:b w:val="0"/>
              <w:bCs w:val="0"/>
              <w:noProof/>
              <w:sz w:val="24"/>
              <w:szCs w:val="24"/>
              <w:lang w:val="en-NL" w:eastAsia="en-GB"/>
            </w:rPr>
          </w:pPr>
          <w:hyperlink w:anchor="_Toc197002977" w:history="1">
            <w:r w:rsidRPr="005C12B3">
              <w:rPr>
                <w:rStyle w:val="Hyperlink"/>
                <w:noProof/>
              </w:rPr>
              <w:t>6.2.</w:t>
            </w:r>
            <w:r>
              <w:rPr>
                <w:rFonts w:eastAsiaTheme="minorEastAsia"/>
                <w:b w:val="0"/>
                <w:bCs w:val="0"/>
                <w:noProof/>
                <w:sz w:val="24"/>
                <w:szCs w:val="24"/>
                <w:lang w:val="en-NL" w:eastAsia="en-GB"/>
              </w:rPr>
              <w:tab/>
            </w:r>
            <w:r w:rsidRPr="005C12B3">
              <w:rPr>
                <w:rStyle w:val="Hyperlink"/>
                <w:noProof/>
              </w:rPr>
              <w:t>Hypotheses from the literature</w:t>
            </w:r>
            <w:r>
              <w:rPr>
                <w:noProof/>
                <w:webHidden/>
              </w:rPr>
              <w:tab/>
            </w:r>
            <w:r>
              <w:rPr>
                <w:noProof/>
                <w:webHidden/>
              </w:rPr>
              <w:fldChar w:fldCharType="begin"/>
            </w:r>
            <w:r>
              <w:rPr>
                <w:noProof/>
                <w:webHidden/>
              </w:rPr>
              <w:instrText xml:space="preserve"> PAGEREF _Toc197002977 \h </w:instrText>
            </w:r>
            <w:r>
              <w:rPr>
                <w:noProof/>
                <w:webHidden/>
              </w:rPr>
            </w:r>
            <w:r>
              <w:rPr>
                <w:noProof/>
                <w:webHidden/>
              </w:rPr>
              <w:fldChar w:fldCharType="separate"/>
            </w:r>
            <w:r>
              <w:rPr>
                <w:noProof/>
                <w:webHidden/>
              </w:rPr>
              <w:t>22</w:t>
            </w:r>
            <w:r>
              <w:rPr>
                <w:noProof/>
                <w:webHidden/>
              </w:rPr>
              <w:fldChar w:fldCharType="end"/>
            </w:r>
          </w:hyperlink>
        </w:p>
        <w:p w14:paraId="5151EC3A" w14:textId="58FB154B" w:rsidR="00ED1DB5" w:rsidRDefault="00ED1DB5">
          <w:pPr>
            <w:pStyle w:val="TOC3"/>
            <w:tabs>
              <w:tab w:val="left" w:pos="1200"/>
              <w:tab w:val="right" w:leader="dot" w:pos="9016"/>
            </w:tabs>
            <w:rPr>
              <w:rFonts w:eastAsiaTheme="minorEastAsia"/>
              <w:noProof/>
              <w:sz w:val="24"/>
              <w:szCs w:val="24"/>
              <w:lang w:val="en-NL" w:eastAsia="en-GB"/>
            </w:rPr>
          </w:pPr>
          <w:hyperlink w:anchor="_Toc197002978" w:history="1">
            <w:r w:rsidRPr="005C12B3">
              <w:rPr>
                <w:rStyle w:val="Hyperlink"/>
                <w:noProof/>
              </w:rPr>
              <w:t>6.2.1.</w:t>
            </w:r>
            <w:r>
              <w:rPr>
                <w:rFonts w:eastAsiaTheme="minorEastAsia"/>
                <w:noProof/>
                <w:sz w:val="24"/>
                <w:szCs w:val="24"/>
                <w:lang w:val="en-NL" w:eastAsia="en-GB"/>
              </w:rPr>
              <w:tab/>
            </w:r>
            <w:r w:rsidRPr="005C12B3">
              <w:rPr>
                <w:rStyle w:val="Hyperlink"/>
                <w:noProof/>
              </w:rPr>
              <w:t>The effect of insurance on adaptation</w:t>
            </w:r>
            <w:r>
              <w:rPr>
                <w:noProof/>
                <w:webHidden/>
              </w:rPr>
              <w:tab/>
            </w:r>
            <w:r>
              <w:rPr>
                <w:noProof/>
                <w:webHidden/>
              </w:rPr>
              <w:fldChar w:fldCharType="begin"/>
            </w:r>
            <w:r>
              <w:rPr>
                <w:noProof/>
                <w:webHidden/>
              </w:rPr>
              <w:instrText xml:space="preserve"> PAGEREF _Toc197002978 \h </w:instrText>
            </w:r>
            <w:r>
              <w:rPr>
                <w:noProof/>
                <w:webHidden/>
              </w:rPr>
            </w:r>
            <w:r>
              <w:rPr>
                <w:noProof/>
                <w:webHidden/>
              </w:rPr>
              <w:fldChar w:fldCharType="separate"/>
            </w:r>
            <w:r>
              <w:rPr>
                <w:noProof/>
                <w:webHidden/>
              </w:rPr>
              <w:t>22</w:t>
            </w:r>
            <w:r>
              <w:rPr>
                <w:noProof/>
                <w:webHidden/>
              </w:rPr>
              <w:fldChar w:fldCharType="end"/>
            </w:r>
          </w:hyperlink>
        </w:p>
        <w:p w14:paraId="4EE05AFD" w14:textId="30342DAD" w:rsidR="00ED1DB5" w:rsidRDefault="00ED1DB5">
          <w:pPr>
            <w:pStyle w:val="TOC3"/>
            <w:tabs>
              <w:tab w:val="left" w:pos="1200"/>
              <w:tab w:val="right" w:leader="dot" w:pos="9016"/>
            </w:tabs>
            <w:rPr>
              <w:rFonts w:eastAsiaTheme="minorEastAsia"/>
              <w:noProof/>
              <w:sz w:val="24"/>
              <w:szCs w:val="24"/>
              <w:lang w:val="en-NL" w:eastAsia="en-GB"/>
            </w:rPr>
          </w:pPr>
          <w:hyperlink w:anchor="_Toc197002979" w:history="1">
            <w:r w:rsidRPr="005C12B3">
              <w:rPr>
                <w:rStyle w:val="Hyperlink"/>
                <w:noProof/>
              </w:rPr>
              <w:t>6.2.2.</w:t>
            </w:r>
            <w:r>
              <w:rPr>
                <w:rFonts w:eastAsiaTheme="minorEastAsia"/>
                <w:noProof/>
                <w:sz w:val="24"/>
                <w:szCs w:val="24"/>
                <w:lang w:val="en-NL" w:eastAsia="en-GB"/>
              </w:rPr>
              <w:tab/>
            </w:r>
            <w:r w:rsidRPr="005C12B3">
              <w:rPr>
                <w:rStyle w:val="Hyperlink"/>
                <w:noProof/>
              </w:rPr>
              <w:t>The effect of efficacy on adaptation</w:t>
            </w:r>
            <w:r>
              <w:rPr>
                <w:noProof/>
                <w:webHidden/>
              </w:rPr>
              <w:tab/>
            </w:r>
            <w:r>
              <w:rPr>
                <w:noProof/>
                <w:webHidden/>
              </w:rPr>
              <w:fldChar w:fldCharType="begin"/>
            </w:r>
            <w:r>
              <w:rPr>
                <w:noProof/>
                <w:webHidden/>
              </w:rPr>
              <w:instrText xml:space="preserve"> PAGEREF _Toc197002979 \h </w:instrText>
            </w:r>
            <w:r>
              <w:rPr>
                <w:noProof/>
                <w:webHidden/>
              </w:rPr>
            </w:r>
            <w:r>
              <w:rPr>
                <w:noProof/>
                <w:webHidden/>
              </w:rPr>
              <w:fldChar w:fldCharType="separate"/>
            </w:r>
            <w:r>
              <w:rPr>
                <w:noProof/>
                <w:webHidden/>
              </w:rPr>
              <w:t>22</w:t>
            </w:r>
            <w:r>
              <w:rPr>
                <w:noProof/>
                <w:webHidden/>
              </w:rPr>
              <w:fldChar w:fldCharType="end"/>
            </w:r>
          </w:hyperlink>
        </w:p>
        <w:p w14:paraId="100F87A9" w14:textId="03CA2897" w:rsidR="00ED1DB5" w:rsidRDefault="00ED1DB5">
          <w:pPr>
            <w:pStyle w:val="TOC3"/>
            <w:tabs>
              <w:tab w:val="left" w:pos="1200"/>
              <w:tab w:val="right" w:leader="dot" w:pos="9016"/>
            </w:tabs>
            <w:rPr>
              <w:rFonts w:eastAsiaTheme="minorEastAsia"/>
              <w:noProof/>
              <w:sz w:val="24"/>
              <w:szCs w:val="24"/>
              <w:lang w:val="en-NL" w:eastAsia="en-GB"/>
            </w:rPr>
          </w:pPr>
          <w:hyperlink w:anchor="_Toc197002980" w:history="1">
            <w:r w:rsidRPr="005C12B3">
              <w:rPr>
                <w:rStyle w:val="Hyperlink"/>
                <w:noProof/>
              </w:rPr>
              <w:t>6.2.3.</w:t>
            </w:r>
            <w:r>
              <w:rPr>
                <w:rFonts w:eastAsiaTheme="minorEastAsia"/>
                <w:noProof/>
                <w:sz w:val="24"/>
                <w:szCs w:val="24"/>
                <w:lang w:val="en-NL" w:eastAsia="en-GB"/>
              </w:rPr>
              <w:tab/>
            </w:r>
            <w:r w:rsidRPr="005C12B3">
              <w:rPr>
                <w:rStyle w:val="Hyperlink"/>
                <w:noProof/>
              </w:rPr>
              <w:t>The effect of socioeconomic determinants on adaptation</w:t>
            </w:r>
            <w:r>
              <w:rPr>
                <w:noProof/>
                <w:webHidden/>
              </w:rPr>
              <w:tab/>
            </w:r>
            <w:r>
              <w:rPr>
                <w:noProof/>
                <w:webHidden/>
              </w:rPr>
              <w:fldChar w:fldCharType="begin"/>
            </w:r>
            <w:r>
              <w:rPr>
                <w:noProof/>
                <w:webHidden/>
              </w:rPr>
              <w:instrText xml:space="preserve"> PAGEREF _Toc197002980 \h </w:instrText>
            </w:r>
            <w:r>
              <w:rPr>
                <w:noProof/>
                <w:webHidden/>
              </w:rPr>
            </w:r>
            <w:r>
              <w:rPr>
                <w:noProof/>
                <w:webHidden/>
              </w:rPr>
              <w:fldChar w:fldCharType="separate"/>
            </w:r>
            <w:r>
              <w:rPr>
                <w:noProof/>
                <w:webHidden/>
              </w:rPr>
              <w:t>23</w:t>
            </w:r>
            <w:r>
              <w:rPr>
                <w:noProof/>
                <w:webHidden/>
              </w:rPr>
              <w:fldChar w:fldCharType="end"/>
            </w:r>
          </w:hyperlink>
        </w:p>
        <w:p w14:paraId="3ED41983" w14:textId="6E29B44A" w:rsidR="00ED1DB5" w:rsidRDefault="00ED1DB5">
          <w:pPr>
            <w:pStyle w:val="TOC2"/>
            <w:tabs>
              <w:tab w:val="left" w:pos="960"/>
              <w:tab w:val="right" w:leader="dot" w:pos="9016"/>
            </w:tabs>
            <w:rPr>
              <w:rFonts w:eastAsiaTheme="minorEastAsia"/>
              <w:b w:val="0"/>
              <w:bCs w:val="0"/>
              <w:noProof/>
              <w:sz w:val="24"/>
              <w:szCs w:val="24"/>
              <w:lang w:val="en-NL" w:eastAsia="en-GB"/>
            </w:rPr>
          </w:pPr>
          <w:hyperlink w:anchor="_Toc197002981" w:history="1">
            <w:r w:rsidRPr="005C12B3">
              <w:rPr>
                <w:rStyle w:val="Hyperlink"/>
                <w:noProof/>
              </w:rPr>
              <w:t>6.3.</w:t>
            </w:r>
            <w:r>
              <w:rPr>
                <w:rFonts w:eastAsiaTheme="minorEastAsia"/>
                <w:b w:val="0"/>
                <w:bCs w:val="0"/>
                <w:noProof/>
                <w:sz w:val="24"/>
                <w:szCs w:val="24"/>
                <w:lang w:val="en-NL" w:eastAsia="en-GB"/>
              </w:rPr>
              <w:tab/>
            </w:r>
            <w:r w:rsidRPr="005C12B3">
              <w:rPr>
                <w:rStyle w:val="Hyperlink"/>
                <w:noProof/>
              </w:rPr>
              <w:t>Next analysis</w:t>
            </w:r>
            <w:r>
              <w:rPr>
                <w:noProof/>
                <w:webHidden/>
              </w:rPr>
              <w:tab/>
            </w:r>
            <w:r>
              <w:rPr>
                <w:noProof/>
                <w:webHidden/>
              </w:rPr>
              <w:fldChar w:fldCharType="begin"/>
            </w:r>
            <w:r>
              <w:rPr>
                <w:noProof/>
                <w:webHidden/>
              </w:rPr>
              <w:instrText xml:space="preserve"> PAGEREF _Toc197002981 \h </w:instrText>
            </w:r>
            <w:r>
              <w:rPr>
                <w:noProof/>
                <w:webHidden/>
              </w:rPr>
            </w:r>
            <w:r>
              <w:rPr>
                <w:noProof/>
                <w:webHidden/>
              </w:rPr>
              <w:fldChar w:fldCharType="separate"/>
            </w:r>
            <w:r>
              <w:rPr>
                <w:noProof/>
                <w:webHidden/>
              </w:rPr>
              <w:t>25</w:t>
            </w:r>
            <w:r>
              <w:rPr>
                <w:noProof/>
                <w:webHidden/>
              </w:rPr>
              <w:fldChar w:fldCharType="end"/>
            </w:r>
          </w:hyperlink>
        </w:p>
        <w:p w14:paraId="69E39C7D" w14:textId="37FF97F6" w:rsidR="00ED1DB5" w:rsidRDefault="00ED1DB5">
          <w:pPr>
            <w:pStyle w:val="TOC1"/>
            <w:tabs>
              <w:tab w:val="right" w:leader="dot" w:pos="9016"/>
            </w:tabs>
            <w:rPr>
              <w:rFonts w:eastAsiaTheme="minorEastAsia"/>
              <w:b w:val="0"/>
              <w:bCs w:val="0"/>
              <w:i w:val="0"/>
              <w:iCs w:val="0"/>
              <w:noProof/>
              <w:lang w:val="en-NL" w:eastAsia="en-GB"/>
            </w:rPr>
          </w:pPr>
          <w:hyperlink w:anchor="_Toc197002982" w:history="1">
            <w:r w:rsidRPr="005C12B3">
              <w:rPr>
                <w:rStyle w:val="Hyperlink"/>
                <w:noProof/>
              </w:rPr>
              <w:t>Bibliography</w:t>
            </w:r>
            <w:r>
              <w:rPr>
                <w:noProof/>
                <w:webHidden/>
              </w:rPr>
              <w:tab/>
            </w:r>
            <w:r>
              <w:rPr>
                <w:noProof/>
                <w:webHidden/>
              </w:rPr>
              <w:fldChar w:fldCharType="begin"/>
            </w:r>
            <w:r>
              <w:rPr>
                <w:noProof/>
                <w:webHidden/>
              </w:rPr>
              <w:instrText xml:space="preserve"> PAGEREF _Toc197002982 \h </w:instrText>
            </w:r>
            <w:r>
              <w:rPr>
                <w:noProof/>
                <w:webHidden/>
              </w:rPr>
            </w:r>
            <w:r>
              <w:rPr>
                <w:noProof/>
                <w:webHidden/>
              </w:rPr>
              <w:fldChar w:fldCharType="separate"/>
            </w:r>
            <w:r>
              <w:rPr>
                <w:noProof/>
                <w:webHidden/>
              </w:rPr>
              <w:t>26</w:t>
            </w:r>
            <w:r>
              <w:rPr>
                <w:noProof/>
                <w:webHidden/>
              </w:rPr>
              <w:fldChar w:fldCharType="end"/>
            </w:r>
          </w:hyperlink>
        </w:p>
        <w:p w14:paraId="5BF768CF" w14:textId="2D154896" w:rsidR="00ED1DB5" w:rsidRDefault="00ED1DB5">
          <w:pPr>
            <w:pStyle w:val="TOC1"/>
            <w:tabs>
              <w:tab w:val="right" w:leader="dot" w:pos="9016"/>
            </w:tabs>
            <w:rPr>
              <w:rFonts w:eastAsiaTheme="minorEastAsia"/>
              <w:b w:val="0"/>
              <w:bCs w:val="0"/>
              <w:i w:val="0"/>
              <w:iCs w:val="0"/>
              <w:noProof/>
              <w:lang w:val="en-NL" w:eastAsia="en-GB"/>
            </w:rPr>
          </w:pPr>
          <w:hyperlink w:anchor="_Toc197002983" w:history="1">
            <w:r w:rsidRPr="005C12B3">
              <w:rPr>
                <w:rStyle w:val="Hyperlink"/>
                <w:noProof/>
              </w:rPr>
              <w:t>Appendix</w:t>
            </w:r>
            <w:r>
              <w:rPr>
                <w:noProof/>
                <w:webHidden/>
              </w:rPr>
              <w:tab/>
            </w:r>
            <w:r>
              <w:rPr>
                <w:noProof/>
                <w:webHidden/>
              </w:rPr>
              <w:fldChar w:fldCharType="begin"/>
            </w:r>
            <w:r>
              <w:rPr>
                <w:noProof/>
                <w:webHidden/>
              </w:rPr>
              <w:instrText xml:space="preserve"> PAGEREF _Toc197002983 \h </w:instrText>
            </w:r>
            <w:r>
              <w:rPr>
                <w:noProof/>
                <w:webHidden/>
              </w:rPr>
            </w:r>
            <w:r>
              <w:rPr>
                <w:noProof/>
                <w:webHidden/>
              </w:rPr>
              <w:fldChar w:fldCharType="separate"/>
            </w:r>
            <w:r>
              <w:rPr>
                <w:noProof/>
                <w:webHidden/>
              </w:rPr>
              <w:t>29</w:t>
            </w:r>
            <w:r>
              <w:rPr>
                <w:noProof/>
                <w:webHidden/>
              </w:rPr>
              <w:fldChar w:fldCharType="end"/>
            </w:r>
          </w:hyperlink>
        </w:p>
        <w:p w14:paraId="3D7CC1A3" w14:textId="7CBC1307" w:rsidR="00ED1DB5" w:rsidRDefault="00ED1DB5">
          <w:pPr>
            <w:pStyle w:val="TOC2"/>
            <w:tabs>
              <w:tab w:val="right" w:leader="dot" w:pos="9016"/>
            </w:tabs>
            <w:rPr>
              <w:rFonts w:eastAsiaTheme="minorEastAsia"/>
              <w:b w:val="0"/>
              <w:bCs w:val="0"/>
              <w:noProof/>
              <w:sz w:val="24"/>
              <w:szCs w:val="24"/>
              <w:lang w:val="en-NL" w:eastAsia="en-GB"/>
            </w:rPr>
          </w:pPr>
          <w:hyperlink w:anchor="_Toc197002984" w:history="1">
            <w:r w:rsidRPr="005C12B3">
              <w:rPr>
                <w:rStyle w:val="Hyperlink"/>
                <w:noProof/>
              </w:rPr>
              <w:t>Appendix 3</w:t>
            </w:r>
            <w:r>
              <w:rPr>
                <w:noProof/>
                <w:webHidden/>
              </w:rPr>
              <w:tab/>
            </w:r>
            <w:r>
              <w:rPr>
                <w:noProof/>
                <w:webHidden/>
              </w:rPr>
              <w:fldChar w:fldCharType="begin"/>
            </w:r>
            <w:r>
              <w:rPr>
                <w:noProof/>
                <w:webHidden/>
              </w:rPr>
              <w:instrText xml:space="preserve"> PAGEREF _Toc197002984 \h </w:instrText>
            </w:r>
            <w:r>
              <w:rPr>
                <w:noProof/>
                <w:webHidden/>
              </w:rPr>
            </w:r>
            <w:r>
              <w:rPr>
                <w:noProof/>
                <w:webHidden/>
              </w:rPr>
              <w:fldChar w:fldCharType="separate"/>
            </w:r>
            <w:r>
              <w:rPr>
                <w:noProof/>
                <w:webHidden/>
              </w:rPr>
              <w:t>29</w:t>
            </w:r>
            <w:r>
              <w:rPr>
                <w:noProof/>
                <w:webHidden/>
              </w:rPr>
              <w:fldChar w:fldCharType="end"/>
            </w:r>
          </w:hyperlink>
        </w:p>
        <w:p w14:paraId="761D6E64" w14:textId="289A3BC6" w:rsidR="00ED1DB5" w:rsidRDefault="00ED1DB5">
          <w:pPr>
            <w:pStyle w:val="TOC2"/>
            <w:tabs>
              <w:tab w:val="right" w:leader="dot" w:pos="9016"/>
            </w:tabs>
            <w:rPr>
              <w:rFonts w:eastAsiaTheme="minorEastAsia"/>
              <w:b w:val="0"/>
              <w:bCs w:val="0"/>
              <w:noProof/>
              <w:sz w:val="24"/>
              <w:szCs w:val="24"/>
              <w:lang w:val="en-NL" w:eastAsia="en-GB"/>
            </w:rPr>
          </w:pPr>
          <w:hyperlink w:anchor="_Toc197002985" w:history="1">
            <w:r w:rsidRPr="005C12B3">
              <w:rPr>
                <w:rStyle w:val="Hyperlink"/>
                <w:noProof/>
              </w:rPr>
              <w:t>Appendix 5.2</w:t>
            </w:r>
            <w:r>
              <w:rPr>
                <w:noProof/>
                <w:webHidden/>
              </w:rPr>
              <w:tab/>
            </w:r>
            <w:r>
              <w:rPr>
                <w:noProof/>
                <w:webHidden/>
              </w:rPr>
              <w:fldChar w:fldCharType="begin"/>
            </w:r>
            <w:r>
              <w:rPr>
                <w:noProof/>
                <w:webHidden/>
              </w:rPr>
              <w:instrText xml:space="preserve"> PAGEREF _Toc197002985 \h </w:instrText>
            </w:r>
            <w:r>
              <w:rPr>
                <w:noProof/>
                <w:webHidden/>
              </w:rPr>
            </w:r>
            <w:r>
              <w:rPr>
                <w:noProof/>
                <w:webHidden/>
              </w:rPr>
              <w:fldChar w:fldCharType="separate"/>
            </w:r>
            <w:r>
              <w:rPr>
                <w:noProof/>
                <w:webHidden/>
              </w:rPr>
              <w:t>31</w:t>
            </w:r>
            <w:r>
              <w:rPr>
                <w:noProof/>
                <w:webHidden/>
              </w:rPr>
              <w:fldChar w:fldCharType="end"/>
            </w:r>
          </w:hyperlink>
        </w:p>
        <w:p w14:paraId="6220ECE9" w14:textId="5BCB66D1" w:rsidR="00ED1DB5" w:rsidRDefault="00ED1DB5">
          <w:pPr>
            <w:pStyle w:val="TOC2"/>
            <w:tabs>
              <w:tab w:val="right" w:leader="dot" w:pos="9016"/>
            </w:tabs>
            <w:rPr>
              <w:rFonts w:eastAsiaTheme="minorEastAsia"/>
              <w:b w:val="0"/>
              <w:bCs w:val="0"/>
              <w:noProof/>
              <w:sz w:val="24"/>
              <w:szCs w:val="24"/>
              <w:lang w:val="en-NL" w:eastAsia="en-GB"/>
            </w:rPr>
          </w:pPr>
          <w:hyperlink w:anchor="_Toc197002986" w:history="1">
            <w:r w:rsidRPr="005C12B3">
              <w:rPr>
                <w:rStyle w:val="Hyperlink"/>
                <w:noProof/>
              </w:rPr>
              <w:t>Appendix 6</w:t>
            </w:r>
            <w:r>
              <w:rPr>
                <w:noProof/>
                <w:webHidden/>
              </w:rPr>
              <w:tab/>
            </w:r>
            <w:r>
              <w:rPr>
                <w:noProof/>
                <w:webHidden/>
              </w:rPr>
              <w:fldChar w:fldCharType="begin"/>
            </w:r>
            <w:r>
              <w:rPr>
                <w:noProof/>
                <w:webHidden/>
              </w:rPr>
              <w:instrText xml:space="preserve"> PAGEREF _Toc197002986 \h </w:instrText>
            </w:r>
            <w:r>
              <w:rPr>
                <w:noProof/>
                <w:webHidden/>
              </w:rPr>
            </w:r>
            <w:r>
              <w:rPr>
                <w:noProof/>
                <w:webHidden/>
              </w:rPr>
              <w:fldChar w:fldCharType="separate"/>
            </w:r>
            <w:r>
              <w:rPr>
                <w:noProof/>
                <w:webHidden/>
              </w:rPr>
              <w:t>35</w:t>
            </w:r>
            <w:r>
              <w:rPr>
                <w:noProof/>
                <w:webHidden/>
              </w:rPr>
              <w:fldChar w:fldCharType="end"/>
            </w:r>
          </w:hyperlink>
        </w:p>
        <w:p w14:paraId="2E6FDAF4" w14:textId="242D86C8" w:rsidR="0008477B" w:rsidRDefault="0008477B">
          <w:r>
            <w:rPr>
              <w:b/>
              <w:bCs/>
              <w:noProof/>
            </w:rPr>
            <w:fldChar w:fldCharType="end"/>
          </w:r>
        </w:p>
      </w:sdtContent>
    </w:sdt>
    <w:p w14:paraId="04C0D426" w14:textId="625DC932" w:rsidR="006F77F0" w:rsidRDefault="006F77F0" w:rsidP="006F77F0"/>
    <w:p w14:paraId="6C10040C" w14:textId="43D35091" w:rsidR="006F77F0" w:rsidRPr="004F6AAC" w:rsidRDefault="006F77F0" w:rsidP="006F77F0">
      <w:pPr>
        <w:rPr>
          <w:b/>
          <w:bCs/>
        </w:rPr>
      </w:pPr>
      <w:r w:rsidRPr="004F6AAC">
        <w:rPr>
          <w:b/>
          <w:bCs/>
        </w:rPr>
        <w:t xml:space="preserve">Alternative Table of Contents: </w:t>
      </w:r>
    </w:p>
    <w:p w14:paraId="0BB08CFB" w14:textId="4AAEAF0F" w:rsidR="006F77F0" w:rsidRDefault="006F77F0" w:rsidP="006F77F0">
      <w:pPr>
        <w:pStyle w:val="ListParagraph"/>
        <w:numPr>
          <w:ilvl w:val="0"/>
          <w:numId w:val="17"/>
        </w:numPr>
      </w:pPr>
      <w:r>
        <w:t xml:space="preserve">Introduction </w:t>
      </w:r>
    </w:p>
    <w:p w14:paraId="5AB54CC2" w14:textId="7F4ED400" w:rsidR="006F77F0" w:rsidRDefault="006F77F0" w:rsidP="006F77F0">
      <w:pPr>
        <w:pStyle w:val="ListParagraph"/>
        <w:numPr>
          <w:ilvl w:val="0"/>
          <w:numId w:val="17"/>
        </w:numPr>
      </w:pPr>
      <w:r>
        <w:t xml:space="preserve">A simple Model </w:t>
      </w:r>
    </w:p>
    <w:p w14:paraId="30F0E828" w14:textId="2AD6CD41" w:rsidR="006F77F0" w:rsidRDefault="006F77F0" w:rsidP="006F77F0">
      <w:pPr>
        <w:pStyle w:val="ListParagraph"/>
        <w:numPr>
          <w:ilvl w:val="0"/>
          <w:numId w:val="17"/>
        </w:numPr>
      </w:pPr>
      <w:r>
        <w:t>Determinant 1</w:t>
      </w:r>
    </w:p>
    <w:p w14:paraId="24C9E94C" w14:textId="412966C6" w:rsidR="006F77F0" w:rsidRDefault="006F77F0" w:rsidP="006F77F0">
      <w:pPr>
        <w:pStyle w:val="ListParagraph"/>
        <w:numPr>
          <w:ilvl w:val="1"/>
          <w:numId w:val="17"/>
        </w:numPr>
      </w:pPr>
      <w:r>
        <w:t xml:space="preserve">The literature </w:t>
      </w:r>
    </w:p>
    <w:p w14:paraId="1B553352" w14:textId="7E27E6F6" w:rsidR="006F77F0" w:rsidRDefault="006F77F0" w:rsidP="006F77F0">
      <w:pPr>
        <w:pStyle w:val="ListParagraph"/>
        <w:numPr>
          <w:ilvl w:val="1"/>
          <w:numId w:val="17"/>
        </w:numPr>
      </w:pPr>
      <w:r>
        <w:t xml:space="preserve">Study results </w:t>
      </w:r>
    </w:p>
    <w:p w14:paraId="7513C276" w14:textId="2DEE9AF6" w:rsidR="006F77F0" w:rsidRDefault="006F77F0" w:rsidP="006F77F0">
      <w:pPr>
        <w:pStyle w:val="ListParagraph"/>
        <w:numPr>
          <w:ilvl w:val="0"/>
          <w:numId w:val="17"/>
        </w:numPr>
      </w:pPr>
      <w:r>
        <w:t>Determinant 2</w:t>
      </w:r>
    </w:p>
    <w:p w14:paraId="7BF3B707" w14:textId="1CA7280F" w:rsidR="006F77F0" w:rsidRDefault="006F77F0" w:rsidP="006F77F0">
      <w:pPr>
        <w:pStyle w:val="ListParagraph"/>
        <w:numPr>
          <w:ilvl w:val="1"/>
          <w:numId w:val="17"/>
        </w:numPr>
      </w:pPr>
      <w:r>
        <w:t xml:space="preserve">The literature </w:t>
      </w:r>
    </w:p>
    <w:p w14:paraId="6E307207" w14:textId="04FA61FF" w:rsidR="006F77F0" w:rsidRDefault="006F77F0" w:rsidP="00890ADC">
      <w:pPr>
        <w:pStyle w:val="ListParagraph"/>
        <w:numPr>
          <w:ilvl w:val="1"/>
          <w:numId w:val="17"/>
        </w:numPr>
      </w:pPr>
      <w:r>
        <w:t>Study results</w:t>
      </w:r>
    </w:p>
    <w:p w14:paraId="2B854076" w14:textId="47876352" w:rsidR="004F6AAC" w:rsidRDefault="004F6AAC" w:rsidP="004F6AAC">
      <w:r>
        <w:t>…</w:t>
      </w:r>
    </w:p>
    <w:p w14:paraId="5717BEFC" w14:textId="77777777" w:rsidR="006F77F0" w:rsidRDefault="006F77F0" w:rsidP="00890ADC">
      <w:pPr>
        <w:pStyle w:val="Heading1"/>
      </w:pPr>
    </w:p>
    <w:p w14:paraId="1EB6FEF4" w14:textId="53935B05" w:rsidR="0017733D" w:rsidRDefault="00890ADC" w:rsidP="00890ADC">
      <w:pPr>
        <w:pStyle w:val="Heading1"/>
      </w:pPr>
      <w:bookmarkStart w:id="2" w:name="_Toc197002958"/>
      <w:r>
        <w:t>List of Tables</w:t>
      </w:r>
      <w:bookmarkEnd w:id="2"/>
    </w:p>
    <w:p w14:paraId="06AF9089" w14:textId="77777777" w:rsidR="0017733D" w:rsidRDefault="0017733D" w:rsidP="00632EA6"/>
    <w:p w14:paraId="4BDD989A" w14:textId="2BE1752C" w:rsidR="00C00E66" w:rsidRDefault="00890ADC">
      <w:pPr>
        <w:pStyle w:val="TableofFigures"/>
        <w:tabs>
          <w:tab w:val="right" w:leader="dot" w:pos="9016"/>
        </w:tabs>
        <w:rPr>
          <w:rFonts w:eastAsiaTheme="minorEastAsia"/>
          <w:noProof/>
          <w:lang w:val="en-NL" w:eastAsia="en-GB"/>
        </w:rPr>
      </w:pPr>
      <w:r>
        <w:fldChar w:fldCharType="begin"/>
      </w:r>
      <w:r>
        <w:instrText xml:space="preserve"> TOC \h \z \c "Table" </w:instrText>
      </w:r>
      <w:r>
        <w:fldChar w:fldCharType="separate"/>
      </w:r>
      <w:hyperlink w:anchor="_Toc194329526" w:history="1">
        <w:r w:rsidR="00C00E66" w:rsidRPr="00F235AD">
          <w:rPr>
            <w:rStyle w:val="Hyperlink"/>
            <w:noProof/>
          </w:rPr>
          <w:t>Table 1: Adaptation measures and corresponding survey variables</w:t>
        </w:r>
        <w:r w:rsidR="00C00E66">
          <w:rPr>
            <w:noProof/>
            <w:webHidden/>
          </w:rPr>
          <w:tab/>
        </w:r>
        <w:r w:rsidR="00C00E66">
          <w:rPr>
            <w:noProof/>
            <w:webHidden/>
          </w:rPr>
          <w:fldChar w:fldCharType="begin"/>
        </w:r>
        <w:r w:rsidR="00C00E66">
          <w:rPr>
            <w:noProof/>
            <w:webHidden/>
          </w:rPr>
          <w:instrText xml:space="preserve"> PAGEREF _Toc194329526 \h </w:instrText>
        </w:r>
        <w:r w:rsidR="00C00E66">
          <w:rPr>
            <w:noProof/>
            <w:webHidden/>
          </w:rPr>
        </w:r>
        <w:r w:rsidR="00C00E66">
          <w:rPr>
            <w:noProof/>
            <w:webHidden/>
          </w:rPr>
          <w:fldChar w:fldCharType="separate"/>
        </w:r>
        <w:r w:rsidR="00C25E49">
          <w:rPr>
            <w:noProof/>
            <w:webHidden/>
          </w:rPr>
          <w:t>11</w:t>
        </w:r>
        <w:r w:rsidR="00C00E66">
          <w:rPr>
            <w:noProof/>
            <w:webHidden/>
          </w:rPr>
          <w:fldChar w:fldCharType="end"/>
        </w:r>
      </w:hyperlink>
    </w:p>
    <w:p w14:paraId="0F3424F7" w14:textId="06C45631" w:rsidR="00C00E66" w:rsidRDefault="00C00E66">
      <w:pPr>
        <w:pStyle w:val="TableofFigures"/>
        <w:tabs>
          <w:tab w:val="right" w:leader="dot" w:pos="9016"/>
        </w:tabs>
        <w:rPr>
          <w:rFonts w:eastAsiaTheme="minorEastAsia"/>
          <w:noProof/>
          <w:lang w:val="en-NL" w:eastAsia="en-GB"/>
        </w:rPr>
      </w:pPr>
      <w:hyperlink w:anchor="_Toc194329527" w:history="1">
        <w:r w:rsidRPr="00F235AD">
          <w:rPr>
            <w:rStyle w:val="Hyperlink"/>
            <w:noProof/>
          </w:rPr>
          <w:t>Table 2: Determinants of preparedness. Selected variables from Koerth et al. (2017)</w:t>
        </w:r>
        <w:r>
          <w:rPr>
            <w:noProof/>
            <w:webHidden/>
          </w:rPr>
          <w:tab/>
        </w:r>
        <w:r>
          <w:rPr>
            <w:noProof/>
            <w:webHidden/>
          </w:rPr>
          <w:fldChar w:fldCharType="begin"/>
        </w:r>
        <w:r>
          <w:rPr>
            <w:noProof/>
            <w:webHidden/>
          </w:rPr>
          <w:instrText xml:space="preserve"> PAGEREF _Toc194329527 \h </w:instrText>
        </w:r>
        <w:r>
          <w:rPr>
            <w:noProof/>
            <w:webHidden/>
          </w:rPr>
        </w:r>
        <w:r>
          <w:rPr>
            <w:noProof/>
            <w:webHidden/>
          </w:rPr>
          <w:fldChar w:fldCharType="separate"/>
        </w:r>
        <w:r w:rsidR="00C25E49">
          <w:rPr>
            <w:noProof/>
            <w:webHidden/>
          </w:rPr>
          <w:t>7</w:t>
        </w:r>
        <w:r>
          <w:rPr>
            <w:noProof/>
            <w:webHidden/>
          </w:rPr>
          <w:fldChar w:fldCharType="end"/>
        </w:r>
      </w:hyperlink>
    </w:p>
    <w:p w14:paraId="5E7AC31D" w14:textId="5611D835" w:rsidR="00C00E66" w:rsidRDefault="00C00E66">
      <w:pPr>
        <w:pStyle w:val="TableofFigures"/>
        <w:tabs>
          <w:tab w:val="right" w:leader="dot" w:pos="9016"/>
        </w:tabs>
        <w:rPr>
          <w:rFonts w:eastAsiaTheme="minorEastAsia"/>
          <w:noProof/>
          <w:lang w:val="en-NL" w:eastAsia="en-GB"/>
        </w:rPr>
      </w:pPr>
      <w:hyperlink w:anchor="_Toc194329528" w:history="1">
        <w:r w:rsidRPr="00F235AD">
          <w:rPr>
            <w:rStyle w:val="Hyperlink"/>
            <w:noProof/>
          </w:rPr>
          <w:t>Table 3: Selected Variables in "disaster preparedness dataset"</w:t>
        </w:r>
        <w:r>
          <w:rPr>
            <w:noProof/>
            <w:webHidden/>
          </w:rPr>
          <w:tab/>
        </w:r>
        <w:r>
          <w:rPr>
            <w:noProof/>
            <w:webHidden/>
          </w:rPr>
          <w:fldChar w:fldCharType="begin"/>
        </w:r>
        <w:r>
          <w:rPr>
            <w:noProof/>
            <w:webHidden/>
          </w:rPr>
          <w:instrText xml:space="preserve"> PAGEREF _Toc194329528 \h </w:instrText>
        </w:r>
        <w:r>
          <w:rPr>
            <w:noProof/>
            <w:webHidden/>
          </w:rPr>
        </w:r>
        <w:r>
          <w:rPr>
            <w:noProof/>
            <w:webHidden/>
          </w:rPr>
          <w:fldChar w:fldCharType="separate"/>
        </w:r>
        <w:r w:rsidR="00C25E49">
          <w:rPr>
            <w:noProof/>
            <w:webHidden/>
          </w:rPr>
          <w:t>21</w:t>
        </w:r>
        <w:r>
          <w:rPr>
            <w:noProof/>
            <w:webHidden/>
          </w:rPr>
          <w:fldChar w:fldCharType="end"/>
        </w:r>
      </w:hyperlink>
    </w:p>
    <w:p w14:paraId="335A72D1" w14:textId="269C0FE5" w:rsidR="0017733D" w:rsidRDefault="00890ADC" w:rsidP="00632EA6">
      <w:r>
        <w:fldChar w:fldCharType="end"/>
      </w:r>
    </w:p>
    <w:p w14:paraId="56F12952" w14:textId="77777777" w:rsidR="007D43C7" w:rsidRDefault="007D43C7" w:rsidP="00632EA6"/>
    <w:p w14:paraId="443E3D95" w14:textId="60F33E58" w:rsidR="00A82923" w:rsidRDefault="0069588F" w:rsidP="0069588F">
      <w:pPr>
        <w:pStyle w:val="Heading1"/>
      </w:pPr>
      <w:bookmarkStart w:id="3" w:name="_Toc197002959"/>
      <w:r>
        <w:t>List of Figures</w:t>
      </w:r>
      <w:bookmarkEnd w:id="3"/>
      <w:r>
        <w:t xml:space="preserve"> </w:t>
      </w:r>
    </w:p>
    <w:p w14:paraId="409649C5" w14:textId="6DB80715" w:rsidR="0094277E" w:rsidRDefault="0069588F">
      <w:pPr>
        <w:pStyle w:val="TableofFigures"/>
        <w:tabs>
          <w:tab w:val="right" w:leader="dot" w:pos="9016"/>
        </w:tabs>
        <w:rPr>
          <w:rFonts w:eastAsiaTheme="minorEastAsia"/>
          <w:noProof/>
          <w:lang w:val="en-NL" w:eastAsia="en-GB"/>
        </w:rPr>
      </w:pPr>
      <w:r>
        <w:fldChar w:fldCharType="begin"/>
      </w:r>
      <w:r>
        <w:instrText xml:space="preserve"> TOC \h \z \c "Figure" </w:instrText>
      </w:r>
      <w:r>
        <w:fldChar w:fldCharType="separate"/>
      </w:r>
      <w:hyperlink w:anchor="_Toc195623939" w:history="1">
        <w:r w:rsidR="0094277E" w:rsidRPr="00FC777C">
          <w:rPr>
            <w:rStyle w:val="Hyperlink"/>
            <w:noProof/>
          </w:rPr>
          <w:t>Figure 1: Effect of risk perception on adaptation; selected results from probit estimation</w:t>
        </w:r>
        <w:r w:rsidR="0094277E">
          <w:rPr>
            <w:noProof/>
            <w:webHidden/>
          </w:rPr>
          <w:tab/>
        </w:r>
        <w:r w:rsidR="0094277E">
          <w:rPr>
            <w:noProof/>
            <w:webHidden/>
          </w:rPr>
          <w:fldChar w:fldCharType="begin"/>
        </w:r>
        <w:r w:rsidR="0094277E">
          <w:rPr>
            <w:noProof/>
            <w:webHidden/>
          </w:rPr>
          <w:instrText xml:space="preserve"> PAGEREF _Toc195623939 \h </w:instrText>
        </w:r>
        <w:r w:rsidR="0094277E">
          <w:rPr>
            <w:noProof/>
            <w:webHidden/>
          </w:rPr>
        </w:r>
        <w:r w:rsidR="0094277E">
          <w:rPr>
            <w:noProof/>
            <w:webHidden/>
          </w:rPr>
          <w:fldChar w:fldCharType="separate"/>
        </w:r>
        <w:r w:rsidR="0094277E">
          <w:rPr>
            <w:noProof/>
            <w:webHidden/>
          </w:rPr>
          <w:t>14</w:t>
        </w:r>
        <w:r w:rsidR="0094277E">
          <w:rPr>
            <w:noProof/>
            <w:webHidden/>
          </w:rPr>
          <w:fldChar w:fldCharType="end"/>
        </w:r>
      </w:hyperlink>
    </w:p>
    <w:p w14:paraId="6098E740" w14:textId="34FACD23" w:rsidR="0094277E" w:rsidRDefault="0094277E">
      <w:pPr>
        <w:pStyle w:val="TableofFigures"/>
        <w:tabs>
          <w:tab w:val="right" w:leader="dot" w:pos="9016"/>
        </w:tabs>
        <w:rPr>
          <w:rFonts w:eastAsiaTheme="minorEastAsia"/>
          <w:noProof/>
          <w:lang w:val="en-NL" w:eastAsia="en-GB"/>
        </w:rPr>
      </w:pPr>
      <w:hyperlink w:anchor="_Toc195623940" w:history="1">
        <w:r w:rsidRPr="00FC777C">
          <w:rPr>
            <w:rStyle w:val="Hyperlink"/>
            <w:noProof/>
          </w:rPr>
          <w:t>Figure 2: Effect of experience on adaptation; selected results from probit estimation</w:t>
        </w:r>
        <w:r>
          <w:rPr>
            <w:noProof/>
            <w:webHidden/>
          </w:rPr>
          <w:tab/>
        </w:r>
        <w:r>
          <w:rPr>
            <w:noProof/>
            <w:webHidden/>
          </w:rPr>
          <w:fldChar w:fldCharType="begin"/>
        </w:r>
        <w:r>
          <w:rPr>
            <w:noProof/>
            <w:webHidden/>
          </w:rPr>
          <w:instrText xml:space="preserve"> PAGEREF _Toc195623940 \h </w:instrText>
        </w:r>
        <w:r>
          <w:rPr>
            <w:noProof/>
            <w:webHidden/>
          </w:rPr>
        </w:r>
        <w:r>
          <w:rPr>
            <w:noProof/>
            <w:webHidden/>
          </w:rPr>
          <w:fldChar w:fldCharType="separate"/>
        </w:r>
        <w:r>
          <w:rPr>
            <w:noProof/>
            <w:webHidden/>
          </w:rPr>
          <w:t>15</w:t>
        </w:r>
        <w:r>
          <w:rPr>
            <w:noProof/>
            <w:webHidden/>
          </w:rPr>
          <w:fldChar w:fldCharType="end"/>
        </w:r>
      </w:hyperlink>
    </w:p>
    <w:p w14:paraId="64EC7689" w14:textId="39F8FF1F" w:rsidR="0094277E" w:rsidRDefault="0094277E">
      <w:pPr>
        <w:pStyle w:val="TableofFigures"/>
        <w:tabs>
          <w:tab w:val="right" w:leader="dot" w:pos="9016"/>
        </w:tabs>
        <w:rPr>
          <w:rFonts w:eastAsiaTheme="minorEastAsia"/>
          <w:noProof/>
          <w:lang w:val="en-NL" w:eastAsia="en-GB"/>
        </w:rPr>
      </w:pPr>
      <w:hyperlink w:anchor="_Toc195623941" w:history="1">
        <w:r w:rsidRPr="00FC777C">
          <w:rPr>
            <w:rStyle w:val="Hyperlink"/>
            <w:noProof/>
          </w:rPr>
          <w:t>Figure 3:distribution of adaptation measures for large clean dataset</w:t>
        </w:r>
        <w:r>
          <w:rPr>
            <w:noProof/>
            <w:webHidden/>
          </w:rPr>
          <w:tab/>
        </w:r>
        <w:r>
          <w:rPr>
            <w:noProof/>
            <w:webHidden/>
          </w:rPr>
          <w:fldChar w:fldCharType="begin"/>
        </w:r>
        <w:r>
          <w:rPr>
            <w:noProof/>
            <w:webHidden/>
          </w:rPr>
          <w:instrText xml:space="preserve"> PAGEREF _Toc195623941 \h </w:instrText>
        </w:r>
        <w:r>
          <w:rPr>
            <w:noProof/>
            <w:webHidden/>
          </w:rPr>
        </w:r>
        <w:r>
          <w:rPr>
            <w:noProof/>
            <w:webHidden/>
          </w:rPr>
          <w:fldChar w:fldCharType="separate"/>
        </w:r>
        <w:r>
          <w:rPr>
            <w:noProof/>
            <w:webHidden/>
          </w:rPr>
          <w:t>23</w:t>
        </w:r>
        <w:r>
          <w:rPr>
            <w:noProof/>
            <w:webHidden/>
          </w:rPr>
          <w:fldChar w:fldCharType="end"/>
        </w:r>
      </w:hyperlink>
    </w:p>
    <w:p w14:paraId="5E8C6260" w14:textId="167442FD" w:rsidR="0094277E" w:rsidRDefault="0094277E">
      <w:pPr>
        <w:pStyle w:val="TableofFigures"/>
        <w:tabs>
          <w:tab w:val="right" w:leader="dot" w:pos="9016"/>
        </w:tabs>
        <w:rPr>
          <w:rFonts w:eastAsiaTheme="minorEastAsia"/>
          <w:noProof/>
          <w:lang w:val="en-NL" w:eastAsia="en-GB"/>
        </w:rPr>
      </w:pPr>
      <w:hyperlink w:anchor="_Toc195623942" w:history="1">
        <w:r w:rsidRPr="00FC777C">
          <w:rPr>
            <w:rStyle w:val="Hyperlink"/>
            <w:noProof/>
          </w:rPr>
          <w:t>Figure 4:distribution of adaptation measures for small clean dataset</w:t>
        </w:r>
        <w:r>
          <w:rPr>
            <w:noProof/>
            <w:webHidden/>
          </w:rPr>
          <w:tab/>
        </w:r>
        <w:r>
          <w:rPr>
            <w:noProof/>
            <w:webHidden/>
          </w:rPr>
          <w:fldChar w:fldCharType="begin"/>
        </w:r>
        <w:r>
          <w:rPr>
            <w:noProof/>
            <w:webHidden/>
          </w:rPr>
          <w:instrText xml:space="preserve"> PAGEREF _Toc195623942 \h </w:instrText>
        </w:r>
        <w:r>
          <w:rPr>
            <w:noProof/>
            <w:webHidden/>
          </w:rPr>
        </w:r>
        <w:r>
          <w:rPr>
            <w:noProof/>
            <w:webHidden/>
          </w:rPr>
          <w:fldChar w:fldCharType="separate"/>
        </w:r>
        <w:r>
          <w:rPr>
            <w:noProof/>
            <w:webHidden/>
          </w:rPr>
          <w:t>23</w:t>
        </w:r>
        <w:r>
          <w:rPr>
            <w:noProof/>
            <w:webHidden/>
          </w:rPr>
          <w:fldChar w:fldCharType="end"/>
        </w:r>
      </w:hyperlink>
    </w:p>
    <w:p w14:paraId="4AA6D956" w14:textId="7454A815" w:rsidR="0094277E" w:rsidRDefault="0094277E">
      <w:pPr>
        <w:pStyle w:val="TableofFigures"/>
        <w:tabs>
          <w:tab w:val="right" w:leader="dot" w:pos="9016"/>
        </w:tabs>
        <w:rPr>
          <w:rFonts w:eastAsiaTheme="minorEastAsia"/>
          <w:noProof/>
          <w:lang w:val="en-NL" w:eastAsia="en-GB"/>
        </w:rPr>
      </w:pPr>
      <w:hyperlink w:anchor="_Toc195623943" w:history="1">
        <w:r w:rsidRPr="00FC777C">
          <w:rPr>
            <w:rStyle w:val="Hyperlink"/>
            <w:noProof/>
          </w:rPr>
          <w:t>Figure 5: Distribution of adaptations per region for large clean dataset</w:t>
        </w:r>
        <w:r>
          <w:rPr>
            <w:noProof/>
            <w:webHidden/>
          </w:rPr>
          <w:tab/>
        </w:r>
        <w:r>
          <w:rPr>
            <w:noProof/>
            <w:webHidden/>
          </w:rPr>
          <w:fldChar w:fldCharType="begin"/>
        </w:r>
        <w:r>
          <w:rPr>
            <w:noProof/>
            <w:webHidden/>
          </w:rPr>
          <w:instrText xml:space="preserve"> PAGEREF _Toc195623943 \h </w:instrText>
        </w:r>
        <w:r>
          <w:rPr>
            <w:noProof/>
            <w:webHidden/>
          </w:rPr>
        </w:r>
        <w:r>
          <w:rPr>
            <w:noProof/>
            <w:webHidden/>
          </w:rPr>
          <w:fldChar w:fldCharType="separate"/>
        </w:r>
        <w:r>
          <w:rPr>
            <w:noProof/>
            <w:webHidden/>
          </w:rPr>
          <w:t>23</w:t>
        </w:r>
        <w:r>
          <w:rPr>
            <w:noProof/>
            <w:webHidden/>
          </w:rPr>
          <w:fldChar w:fldCharType="end"/>
        </w:r>
      </w:hyperlink>
    </w:p>
    <w:p w14:paraId="7DEC979F" w14:textId="397C1A7C" w:rsidR="0094277E" w:rsidRDefault="0094277E">
      <w:pPr>
        <w:pStyle w:val="TableofFigures"/>
        <w:tabs>
          <w:tab w:val="right" w:leader="dot" w:pos="9016"/>
        </w:tabs>
        <w:rPr>
          <w:rFonts w:eastAsiaTheme="minorEastAsia"/>
          <w:noProof/>
          <w:lang w:val="en-NL" w:eastAsia="en-GB"/>
        </w:rPr>
      </w:pPr>
      <w:hyperlink w:anchor="_Toc195623944" w:history="1">
        <w:r w:rsidRPr="00FC777C">
          <w:rPr>
            <w:rStyle w:val="Hyperlink"/>
            <w:noProof/>
          </w:rPr>
          <w:t>Figure 6: Distribution of adaptations per region for small clean dataset</w:t>
        </w:r>
        <w:r>
          <w:rPr>
            <w:noProof/>
            <w:webHidden/>
          </w:rPr>
          <w:tab/>
        </w:r>
        <w:r>
          <w:rPr>
            <w:noProof/>
            <w:webHidden/>
          </w:rPr>
          <w:fldChar w:fldCharType="begin"/>
        </w:r>
        <w:r>
          <w:rPr>
            <w:noProof/>
            <w:webHidden/>
          </w:rPr>
          <w:instrText xml:space="preserve"> PAGEREF _Toc195623944 \h </w:instrText>
        </w:r>
        <w:r>
          <w:rPr>
            <w:noProof/>
            <w:webHidden/>
          </w:rPr>
        </w:r>
        <w:r>
          <w:rPr>
            <w:noProof/>
            <w:webHidden/>
          </w:rPr>
          <w:fldChar w:fldCharType="separate"/>
        </w:r>
        <w:r>
          <w:rPr>
            <w:noProof/>
            <w:webHidden/>
          </w:rPr>
          <w:t>24</w:t>
        </w:r>
        <w:r>
          <w:rPr>
            <w:noProof/>
            <w:webHidden/>
          </w:rPr>
          <w:fldChar w:fldCharType="end"/>
        </w:r>
      </w:hyperlink>
    </w:p>
    <w:p w14:paraId="7881B7BA" w14:textId="128AA25E" w:rsidR="0094277E" w:rsidRDefault="0094277E">
      <w:pPr>
        <w:pStyle w:val="TableofFigures"/>
        <w:tabs>
          <w:tab w:val="right" w:leader="dot" w:pos="9016"/>
        </w:tabs>
        <w:rPr>
          <w:rFonts w:eastAsiaTheme="minorEastAsia"/>
          <w:noProof/>
          <w:lang w:val="en-NL" w:eastAsia="en-GB"/>
        </w:rPr>
      </w:pPr>
      <w:hyperlink w:anchor="_Toc195623945" w:history="1">
        <w:r w:rsidRPr="00FC777C">
          <w:rPr>
            <w:rStyle w:val="Hyperlink"/>
            <w:noProof/>
          </w:rPr>
          <w:t>Figure 7: share of missing observations per variable</w:t>
        </w:r>
        <w:r>
          <w:rPr>
            <w:noProof/>
            <w:webHidden/>
          </w:rPr>
          <w:tab/>
        </w:r>
        <w:r>
          <w:rPr>
            <w:noProof/>
            <w:webHidden/>
          </w:rPr>
          <w:fldChar w:fldCharType="begin"/>
        </w:r>
        <w:r>
          <w:rPr>
            <w:noProof/>
            <w:webHidden/>
          </w:rPr>
          <w:instrText xml:space="preserve"> PAGEREF _Toc195623945 \h </w:instrText>
        </w:r>
        <w:r>
          <w:rPr>
            <w:noProof/>
            <w:webHidden/>
          </w:rPr>
        </w:r>
        <w:r>
          <w:rPr>
            <w:noProof/>
            <w:webHidden/>
          </w:rPr>
          <w:fldChar w:fldCharType="separate"/>
        </w:r>
        <w:r>
          <w:rPr>
            <w:noProof/>
            <w:webHidden/>
          </w:rPr>
          <w:t>24</w:t>
        </w:r>
        <w:r>
          <w:rPr>
            <w:noProof/>
            <w:webHidden/>
          </w:rPr>
          <w:fldChar w:fldCharType="end"/>
        </w:r>
      </w:hyperlink>
    </w:p>
    <w:p w14:paraId="23725C46" w14:textId="49B735C8" w:rsidR="0094277E" w:rsidRDefault="0094277E">
      <w:pPr>
        <w:pStyle w:val="TableofFigures"/>
        <w:tabs>
          <w:tab w:val="right" w:leader="dot" w:pos="9016"/>
        </w:tabs>
        <w:rPr>
          <w:rFonts w:eastAsiaTheme="minorEastAsia"/>
          <w:noProof/>
          <w:lang w:val="en-NL" w:eastAsia="en-GB"/>
        </w:rPr>
      </w:pPr>
      <w:hyperlink w:anchor="_Toc195623946" w:history="1">
        <w:r w:rsidRPr="00FC777C">
          <w:rPr>
            <w:rStyle w:val="Hyperlink"/>
            <w:noProof/>
          </w:rPr>
          <w:t>Figure 8: Spatial distribution of observations</w:t>
        </w:r>
        <w:r>
          <w:rPr>
            <w:noProof/>
            <w:webHidden/>
          </w:rPr>
          <w:tab/>
        </w:r>
        <w:r>
          <w:rPr>
            <w:noProof/>
            <w:webHidden/>
          </w:rPr>
          <w:fldChar w:fldCharType="begin"/>
        </w:r>
        <w:r>
          <w:rPr>
            <w:noProof/>
            <w:webHidden/>
          </w:rPr>
          <w:instrText xml:space="preserve"> PAGEREF _Toc195623946 \h </w:instrText>
        </w:r>
        <w:r>
          <w:rPr>
            <w:noProof/>
            <w:webHidden/>
          </w:rPr>
        </w:r>
        <w:r>
          <w:rPr>
            <w:noProof/>
            <w:webHidden/>
          </w:rPr>
          <w:fldChar w:fldCharType="separate"/>
        </w:r>
        <w:r>
          <w:rPr>
            <w:noProof/>
            <w:webHidden/>
          </w:rPr>
          <w:t>25</w:t>
        </w:r>
        <w:r>
          <w:rPr>
            <w:noProof/>
            <w:webHidden/>
          </w:rPr>
          <w:fldChar w:fldCharType="end"/>
        </w:r>
      </w:hyperlink>
    </w:p>
    <w:p w14:paraId="754AAD16" w14:textId="06B8D2F4" w:rsidR="0094277E" w:rsidRDefault="0094277E">
      <w:pPr>
        <w:pStyle w:val="TableofFigures"/>
        <w:tabs>
          <w:tab w:val="right" w:leader="dot" w:pos="9016"/>
        </w:tabs>
        <w:rPr>
          <w:rFonts w:eastAsiaTheme="minorEastAsia"/>
          <w:noProof/>
          <w:lang w:val="en-NL" w:eastAsia="en-GB"/>
        </w:rPr>
      </w:pPr>
      <w:hyperlink w:anchor="_Toc195623947" w:history="1">
        <w:r w:rsidRPr="00FC777C">
          <w:rPr>
            <w:rStyle w:val="Hyperlink"/>
            <w:noProof/>
          </w:rPr>
          <w:t>Figure 9: Spearman Rank correlation of determinants</w:t>
        </w:r>
        <w:r>
          <w:rPr>
            <w:noProof/>
            <w:webHidden/>
          </w:rPr>
          <w:tab/>
        </w:r>
        <w:r>
          <w:rPr>
            <w:noProof/>
            <w:webHidden/>
          </w:rPr>
          <w:fldChar w:fldCharType="begin"/>
        </w:r>
        <w:r>
          <w:rPr>
            <w:noProof/>
            <w:webHidden/>
          </w:rPr>
          <w:instrText xml:space="preserve"> PAGEREF _Toc195623947 \h </w:instrText>
        </w:r>
        <w:r>
          <w:rPr>
            <w:noProof/>
            <w:webHidden/>
          </w:rPr>
        </w:r>
        <w:r>
          <w:rPr>
            <w:noProof/>
            <w:webHidden/>
          </w:rPr>
          <w:fldChar w:fldCharType="separate"/>
        </w:r>
        <w:r>
          <w:rPr>
            <w:noProof/>
            <w:webHidden/>
          </w:rPr>
          <w:t>25</w:t>
        </w:r>
        <w:r>
          <w:rPr>
            <w:noProof/>
            <w:webHidden/>
          </w:rPr>
          <w:fldChar w:fldCharType="end"/>
        </w:r>
      </w:hyperlink>
    </w:p>
    <w:p w14:paraId="4CDF2605" w14:textId="204C4D8A" w:rsidR="0094277E" w:rsidRDefault="0094277E">
      <w:pPr>
        <w:pStyle w:val="TableofFigures"/>
        <w:tabs>
          <w:tab w:val="right" w:leader="dot" w:pos="9016"/>
        </w:tabs>
        <w:rPr>
          <w:rFonts w:eastAsiaTheme="minorEastAsia"/>
          <w:noProof/>
          <w:lang w:val="en-NL" w:eastAsia="en-GB"/>
        </w:rPr>
      </w:pPr>
      <w:hyperlink w:anchor="_Toc195623948" w:history="1">
        <w:r w:rsidRPr="00FC777C">
          <w:rPr>
            <w:rStyle w:val="Hyperlink"/>
            <w:noProof/>
          </w:rPr>
          <w:t>Figure 10: Spearman rank correlation of socioeconomic determinants</w:t>
        </w:r>
        <w:r>
          <w:rPr>
            <w:noProof/>
            <w:webHidden/>
          </w:rPr>
          <w:tab/>
        </w:r>
        <w:r>
          <w:rPr>
            <w:noProof/>
            <w:webHidden/>
          </w:rPr>
          <w:fldChar w:fldCharType="begin"/>
        </w:r>
        <w:r>
          <w:rPr>
            <w:noProof/>
            <w:webHidden/>
          </w:rPr>
          <w:instrText xml:space="preserve"> PAGEREF _Toc195623948 \h </w:instrText>
        </w:r>
        <w:r>
          <w:rPr>
            <w:noProof/>
            <w:webHidden/>
          </w:rPr>
        </w:r>
        <w:r>
          <w:rPr>
            <w:noProof/>
            <w:webHidden/>
          </w:rPr>
          <w:fldChar w:fldCharType="separate"/>
        </w:r>
        <w:r>
          <w:rPr>
            <w:noProof/>
            <w:webHidden/>
          </w:rPr>
          <w:t>26</w:t>
        </w:r>
        <w:r>
          <w:rPr>
            <w:noProof/>
            <w:webHidden/>
          </w:rPr>
          <w:fldChar w:fldCharType="end"/>
        </w:r>
      </w:hyperlink>
    </w:p>
    <w:p w14:paraId="547C83AB" w14:textId="27C25F6A" w:rsidR="0069588F" w:rsidRPr="0069588F" w:rsidRDefault="0069588F" w:rsidP="0069588F">
      <w:r>
        <w:fldChar w:fldCharType="end"/>
      </w:r>
    </w:p>
    <w:p w14:paraId="471A47BC" w14:textId="6F079734" w:rsidR="0008477B" w:rsidRDefault="0008477B" w:rsidP="0008477B">
      <w:pPr>
        <w:pStyle w:val="Heading1"/>
        <w:numPr>
          <w:ilvl w:val="0"/>
          <w:numId w:val="6"/>
        </w:numPr>
      </w:pPr>
      <w:bookmarkStart w:id="4" w:name="_Toc197002960"/>
      <w:r>
        <w:t>I</w:t>
      </w:r>
      <w:r w:rsidR="00A82923">
        <w:t>ntroduction</w:t>
      </w:r>
      <w:bookmarkEnd w:id="4"/>
      <w:r w:rsidR="00A82923">
        <w:t xml:space="preserve"> </w:t>
      </w:r>
    </w:p>
    <w:p w14:paraId="278D26A4" w14:textId="2529D960" w:rsidR="00E45628" w:rsidRDefault="00E45628" w:rsidP="00E45628">
      <w:pPr>
        <w:jc w:val="both"/>
      </w:pPr>
      <w:r>
        <w:t>&lt;shift from mitigation to adaptation&gt;</w:t>
      </w:r>
    </w:p>
    <w:p w14:paraId="76FD228F" w14:textId="26C2C5D9" w:rsidR="00E45628" w:rsidRDefault="0008477B" w:rsidP="00E45628">
      <w:pPr>
        <w:jc w:val="both"/>
      </w:pPr>
      <w:r>
        <w:t xml:space="preserve">Global climate change is systematically driving scale and frequency of natural disasters </w:t>
      </w:r>
      <w:r w:rsidR="00942D8F">
        <w:fldChar w:fldCharType="begin"/>
      </w:r>
      <w:r w:rsidR="00942D8F">
        <w:instrText xml:space="preserve"> ADDIN ZOTERO_ITEM CSL_CITATION {"citationID":"nlaRQmK8","properties":{"formattedCitation":"(Coronese et al., 2019)","plainCitation":"(Coronese et al., 2019)","noteIndex":0},"citationItems":[{"id":1120,"uris":["http://zotero.org/users/10735550/items/A68ZHCQM"],"itemData":{"id":1120,"type":"article-journal","abstract":"Climate change has increased the frequency and intensity of natural disasters. Does this translate into increased economic damages? To date, empirical assessments of damage trends have been inconclusive. Our study demonstrates a temporal increase in extreme damages, after controlling for a number of factors. We analyze event-level data using quantile regressions to capture patterns in the damage distribution (not just its mean) and find strong evidence of progressive rightward skewing and tail-fattening over time. While the effect of time on averages is hard to detect, effects on extreme damages are large, statistically significant, and growing with increasing percentiles. Our results are consistent with an upwardly curved, convex damage function, which is commonly assumed in climate-economics models. They are also robust to different specifications of control variables and time range considered and indicate that the risk of extreme damages has increased more in temperate areas than in tropical ones. We use simulations to show that underreporting bias in the data does not weaken our inferences; in fact, it may make them overly conservative.","container-title":"Proceedings of the National Academy of Sciences","DOI":"10.1073/pnas.1907826116","ISSN":"0027-8424, 1091-6490","issue":"43","journalAbbreviation":"Proc. Natl. Acad. Sci. U.S.A.","language":"en","page":"21450-21455","source":"DOI.org (Crossref)","title":"Evidence for sharp increase in the economic damages of extreme natural disasters","volume":"116","author":[{"family":"Coronese","given":"Matteo"},{"family":"Lamperti","given":"Francesco"},{"family":"Keller","given":"Klaus"},{"family":"Chiaromonte","given":"Francesca"},{"family":"Roventini","given":"Andrea"}],"issued":{"date-parts":[["2019",10,22]]}}}],"schema":"https://github.com/citation-style-language/schema/raw/master/csl-citation.json"} </w:instrText>
      </w:r>
      <w:r w:rsidR="00942D8F">
        <w:fldChar w:fldCharType="separate"/>
      </w:r>
      <w:r w:rsidR="00942D8F">
        <w:rPr>
          <w:noProof/>
        </w:rPr>
        <w:t>(Coronese et al., 2019)</w:t>
      </w:r>
      <w:r w:rsidR="00942D8F">
        <w:fldChar w:fldCharType="end"/>
      </w:r>
      <w:r>
        <w:t xml:space="preserve">. Coastal regions around the world are bracing for a new wave of storm surges </w:t>
      </w:r>
      <w:r w:rsidR="00942D8F">
        <w:fldChar w:fldCharType="begin"/>
      </w:r>
      <w:r w:rsidR="009F601A">
        <w:instrText xml:space="preserve"> ADDIN ZOTERO_ITEM CSL_CITATION {"citationID":"5d7uwnrZ","properties":{"formattedCitation":"(Sauerborn &amp; Ebi, 2012)","plainCitation":"(Sauerborn &amp; Ebi, 2012)","noteIndex":0},"citationItems":[{"id":1122,"uris":["http://zotero.org/users/10735550/items/CXW3WXJ6"],"itemData":{"id":1122,"type":"article-journal","abstract":"Background: Hydro-meteorological disasters are the focus of this paper. The authors examine, to which extent climate change increases their frequency and intensity.\nMethods: Review of IPCC-projections of climate-change related extreme weather events and related literature on health effects.\nResults: Projections show that climate change is likely to increase the frequency, intensity, duration, and spatial distribution of a range of extreme weather events over coming decades.\nConclusions: There is a need for strengthened collaboration between climate scientists, the health researchers and policy-makers as well as the disaster community to jointly develop adaptation strategies to protect human.","container-title":"Global Health Action","DOI":"10.3402/gha.v5i0.19295","ISSN":"1654-9716, 1654-9880","issue":"1","journalAbbreviation":"Global Health Action","language":"en","page":"19295","source":"DOI.org (Crossref)","title":"Climate change and natural disasters – integrating science and practice to protect health","volume":"5","author":[{"family":"Sauerborn","given":"Rainer"},{"family":"Ebi","given":"Kristie"}],"issued":{"date-parts":[["2012",12]]}}}],"schema":"https://github.com/citation-style-language/schema/raw/master/csl-citation.json"} </w:instrText>
      </w:r>
      <w:r w:rsidR="00942D8F">
        <w:fldChar w:fldCharType="separate"/>
      </w:r>
      <w:r w:rsidR="009F601A">
        <w:rPr>
          <w:noProof/>
        </w:rPr>
        <w:t>(Sauerborn &amp; Ebi, 2012)</w:t>
      </w:r>
      <w:r w:rsidR="00942D8F">
        <w:fldChar w:fldCharType="end"/>
      </w:r>
      <w:r>
        <w:t>. With rising sea levels, efforts to mitigate floodings are proving evermore challenging</w:t>
      </w:r>
      <w:r w:rsidR="009F601A">
        <w:t xml:space="preserve"> </w:t>
      </w:r>
      <w:r w:rsidR="009F601A">
        <w:fldChar w:fldCharType="begin"/>
      </w:r>
      <w:r w:rsidR="009F601A">
        <w:instrText xml:space="preserve"> ADDIN ZOTERO_ITEM CSL_CITATION {"citationID":"RSg2jxH6","properties":{"formattedCitation":"(Haggag et al., 2021)","plainCitation":"(Haggag et al., 2021)","noteIndex":0},"citationItems":[{"id":1124,"uris":["http://zotero.org/users/10735550/items/FC234Z8E"],"itemData":{"id":1124,"type":"article-journal","abstract":"The increased severity and frequency of Climate-Induced Disasters (CID) including those attributed to hydrological, meteorological, and climatological effects have been testing the resilience of cities worldwide. The World Economic Forum highlighted—in its 2020 Global Risk Report—that from 2018 to 2020, three of the top five risks with respect to likelihood and impact are climate related with extreme weather events being the highest ranked risk in terms of likelihood. To alleviate the adverse impacts of CID on cities, this paper aims at predicting the occurrence of CID by linking different climate change indices to historical disaster records. In this respect, a deep learning model was developed for spatial–temporal disaster occurrence prediction. To demonstrate its application, flood disaster data from the Canadian Disaster Database was linked to climate change indices data in Ontario in order to train, test and validate the developed model. The results of the demonstration application showed that the model was able to predict flood disasters with an accuracy of around 96%. In addition to its association with precipitation indices, the study results affirm that flood disasters are closely linked to temperature-related features including the daily temperature gradient, and the number of days with minimum temperature below zero. This work introduces a new perspective in CID prediction, based on historical disaster data, global climate models, and climate change metrics, in an attempt to enhance urban resilience and mitigate CID risks on cities worldwide.","container-title":"Natural Hazards","DOI":"10.1007/s11069-021-04620-0","ISSN":"0921-030X, 1573-0840","issue":"1","journalAbbreviation":"Nat Hazards","language":"en","page":"1009-1034","source":"DOI.org (Crossref)","title":"A deep learning model for predicting climate-induced disasters","volume":"107","author":[{"family":"Haggag","given":"May"},{"family":"Siam","given":"Ahmad S."},{"family":"El-Dakhakhni","given":"Wael"},{"family":"Coulibaly","given":"Paulin"},{"family":"Hassini","given":"Elkafi"}],"issued":{"date-parts":[["2021",5]]}}}],"schema":"https://github.com/citation-style-language/schema/raw/master/csl-citation.json"} </w:instrText>
      </w:r>
      <w:r w:rsidR="009F601A">
        <w:fldChar w:fldCharType="separate"/>
      </w:r>
      <w:r w:rsidR="009F601A">
        <w:rPr>
          <w:noProof/>
        </w:rPr>
        <w:t>(Haggag et al., 2021)</w:t>
      </w:r>
      <w:r w:rsidR="009F601A">
        <w:fldChar w:fldCharType="end"/>
      </w:r>
      <w:r w:rsidR="009F601A">
        <w:t xml:space="preserve">. </w:t>
      </w:r>
      <w:r w:rsidR="00FC4D06">
        <w:t>Going forward, p</w:t>
      </w:r>
      <w:r w:rsidR="00E45628">
        <w:t xml:space="preserve">ure flood prevention </w:t>
      </w:r>
      <w:r w:rsidR="00B96B6D">
        <w:t xml:space="preserve">strategies </w:t>
      </w:r>
      <w:r w:rsidR="00E45628">
        <w:t>through large-scale infrastructure</w:t>
      </w:r>
      <w:r w:rsidR="00B96B6D">
        <w:t xml:space="preserve"> projects </w:t>
      </w:r>
      <w:r w:rsidR="00E45628">
        <w:t xml:space="preserve">will not </w:t>
      </w:r>
      <w:r w:rsidR="00B96B6D">
        <w:t>suffice</w:t>
      </w:r>
      <w:r w:rsidR="00E45628">
        <w:t xml:space="preserve">. </w:t>
      </w:r>
      <w:r>
        <w:t xml:space="preserve">The global change community is shifting focus </w:t>
      </w:r>
      <w:r w:rsidR="001632D8">
        <w:t xml:space="preserve">from mitigation </w:t>
      </w:r>
      <w:r>
        <w:t>to adaptation</w:t>
      </w:r>
      <w:r w:rsidR="009F601A">
        <w:t xml:space="preserve"> </w:t>
      </w:r>
      <w:r w:rsidR="009F601A">
        <w:fldChar w:fldCharType="begin"/>
      </w:r>
      <w:r w:rsidR="003865C7">
        <w:instrText xml:space="preserve"> ADDIN ZOTERO_ITEM CSL_CITATION {"citationID":"PHFxmDI1","properties":{"formattedCitation":"(Botzen &amp; Van den Bergh, 2009; Wilby &amp; Keenan, 2012)","plainCitation":"(Botzen &amp; Van den Bergh, 2009; Wilby &amp; Keenan, 2012)","noteIndex":0},"citationItems":[{"id":1125,"uris":["http://zotero.org/users/10735550/items/MJAB2G74"],"itemData":{"id":1125,"type":"article-journal","abstract":"Natural disasters have increased in frequency and severity during the last few decades, causing considerable economic damage and loss of life. A combination of climate and socio-economic change is likely to augment disaster loss trends in the future, creating the need for more sophisticated disaster risk management. A resilient risk management strategy for uncertain low-probability, high-impact risks comprises a package of measures focused on disaster risk prevention, damage mitigation and arrangements for efficient risk sharing. Possible implications of climate change on future risks and risk management policies are outlined. It is argued that financial arrangements such as insurance can play an important role in an adaptation strategy aimed at limiting and ameliorating socio-economic impacts of natural disasters.","container-title":"Environmental Hazards","DOI":"10.3763/ehaz.2009.0023","ISSN":"1747-7891","issue":"3","note":"publisher: Taylor &amp; Francis\n_eprint: https://www.tandfonline.com/doi/pdf/10.3763/ehaz.2009.0023","page":"209-225","source":"Taylor and Francis+NEJM","title":"Managing natural disaster risks in a changing climate","volume":"8","author":[{"family":"Botzen","given":"W. J. W."},{"family":"Van den Bergh","given":"J. C. J. M."}],"issued":{"date-parts":[["2009",1,1]]}}},{"id":1117,"uris":["http://zotero.org/users/10735550/items/YQGZV7P6"],"itemData":{"id":1117,"type":"article-journal","abstract":"Flooding is the most common natural hazard and third most damaging globally after storms and earthquakes. Anthropogenic climate change is expected to increase flood risk through more frequent heavy precipitation, increased catchment wetness and sea level rise. This paper reviews steps being taken by actors at international, national, regional and community levels to adapt to flood risk from tidal, fluvial, surface and groundwater sources. We refer to existing inventories, national and sectoral adaptation plans, flood inquiries, building and planning codes, city plans, research literature and international policy reviews. We distinguish between the enabling environment for adaptation and specific implementing measures to manage flood risk. Enabling includes routine monitoring, flood forecasting, data exchange, institutional reform, bridging organizations, contingency planning for disasters, insurance and legal incentives to reduce vulnerability. All such activities are ‘low regret’ in that they yield benefits regardless of the climate scenario but are not cost-free. Implementing includes climate safety factors for new build, upgrading resistance and resilience of existing infrastructure, modifying operating rules, development control, flood forecasting, temporary and permanent retreat from hazardous areas, periodic review and adaptive management. We identify evidence of both types of adaptation following the catastrophic 2010/11 flooding in Victoria, Australia. However, significant challenges remain for managing transboundary flood risk (at all scales), protecting existing property at risk from flooding, and ensuring equitable outcomes in terms of risk reduction for all. Adaptive management also raises questions about the wider preparedness of society to systematically monitor and respond to evolving flood risks and vulnerabilities.","container-title":"Progress in Physical Geography: Earth and Environment","DOI":"10.1177/0309133312438908","ISSN":"0309-1333, 1477-0296","issue":"3","journalAbbreviation":"Progress in Physical Geography: Earth and Environment","language":"en","page":"348-378","source":"DOI.org (Crossref)","title":"Adapting to flood risk under climate change","volume":"36","author":[{"family":"Wilby","given":"Robert L."},{"family":"Keenan","given":"Rod"}],"issued":{"date-parts":[["2012",6]]}}}],"schema":"https://github.com/citation-style-language/schema/raw/master/csl-citation.json"} </w:instrText>
      </w:r>
      <w:r w:rsidR="009F601A">
        <w:fldChar w:fldCharType="separate"/>
      </w:r>
      <w:r w:rsidR="003865C7">
        <w:rPr>
          <w:noProof/>
        </w:rPr>
        <w:t>(Botzen &amp; Van den Bergh, 2009; Wilby &amp; Keenan, 2012)</w:t>
      </w:r>
      <w:r w:rsidR="009F601A">
        <w:fldChar w:fldCharType="end"/>
      </w:r>
      <w:r w:rsidR="006152DF">
        <w:t>.</w:t>
      </w:r>
      <w:r w:rsidR="00763BC3">
        <w:t xml:space="preserve"> </w:t>
      </w:r>
      <w:r w:rsidR="00FC4D06">
        <w:t xml:space="preserve">In wake of a systemic uptick in flood risk, societies will have to learn to prepare for rising tides. </w:t>
      </w:r>
    </w:p>
    <w:p w14:paraId="429D9729" w14:textId="77777777" w:rsidR="00E45628" w:rsidRDefault="00E45628" w:rsidP="00E45628">
      <w:pPr>
        <w:jc w:val="both"/>
      </w:pPr>
    </w:p>
    <w:p w14:paraId="3C7DD779" w14:textId="2F19C32A" w:rsidR="00E45628" w:rsidRDefault="00E45628" w:rsidP="00E45628">
      <w:pPr>
        <w:jc w:val="both"/>
      </w:pPr>
      <w:r>
        <w:t>&lt;household level adapta</w:t>
      </w:r>
      <w:r w:rsidR="00797964">
        <w:t>t</w:t>
      </w:r>
      <w:r>
        <w:t>ion&gt;</w:t>
      </w:r>
    </w:p>
    <w:p w14:paraId="1A733DA2" w14:textId="1F5ABF97" w:rsidR="00921E14" w:rsidRDefault="00FC4D06" w:rsidP="00FC62C4">
      <w:pPr>
        <w:jc w:val="both"/>
      </w:pPr>
      <w:r>
        <w:t>With a shift from mitigation to adaptation comes a shift from the state to the</w:t>
      </w:r>
      <w:r w:rsidR="00B96B6D">
        <w:t xml:space="preserve"> individual</w:t>
      </w:r>
      <w:r>
        <w:t xml:space="preserve">. When a flood disaster hits and mitigation fails, households will experience the adverse effects – and burden </w:t>
      </w:r>
      <w:r w:rsidR="00797964">
        <w:t xml:space="preserve">at least some of </w:t>
      </w:r>
      <w:r>
        <w:t>the damage.</w:t>
      </w:r>
      <w:r w:rsidR="00797964">
        <w:t xml:space="preserve"> Hence, individual disaster preparedness is key. Future climate adaption policy hinges on our understanding of individual preparedness and its determinants. </w:t>
      </w:r>
    </w:p>
    <w:p w14:paraId="6CFB6786" w14:textId="77777777" w:rsidR="00305F9E" w:rsidRDefault="00305F9E" w:rsidP="00FC62C4">
      <w:pPr>
        <w:jc w:val="both"/>
      </w:pPr>
    </w:p>
    <w:p w14:paraId="2BC908F1" w14:textId="77777777" w:rsidR="00305F9E" w:rsidRDefault="00305F9E" w:rsidP="00FC62C4">
      <w:pPr>
        <w:jc w:val="both"/>
      </w:pPr>
    </w:p>
    <w:p w14:paraId="7CA96683" w14:textId="04424E6A" w:rsidR="00E45628" w:rsidRDefault="00305F9E" w:rsidP="00FC62C4">
      <w:pPr>
        <w:jc w:val="both"/>
      </w:pPr>
      <w:r>
        <w:t>&lt;determinants of preparedness&gt;</w:t>
      </w:r>
    </w:p>
    <w:p w14:paraId="668773D9" w14:textId="2AA1F28E" w:rsidR="00577DF0" w:rsidRDefault="00057B16" w:rsidP="00F752C3">
      <w:pPr>
        <w:jc w:val="both"/>
      </w:pPr>
      <w:r>
        <w:t xml:space="preserve">Multiple </w:t>
      </w:r>
      <w:r w:rsidR="00305F9E">
        <w:t>determinants</w:t>
      </w:r>
      <w:r>
        <w:t xml:space="preserve"> are possible: Firstly, we expect </w:t>
      </w:r>
      <w:r w:rsidR="00536AE7">
        <w:t xml:space="preserve">flood </w:t>
      </w:r>
      <w:r w:rsidR="003226E0">
        <w:t>experience</w:t>
      </w:r>
      <w:r w:rsidR="00536AE7">
        <w:t xml:space="preserve"> </w:t>
      </w:r>
      <w:r w:rsidR="0065203B">
        <w:t xml:space="preserve">to </w:t>
      </w:r>
      <w:r w:rsidR="009178E0">
        <w:t>heighten individual flood</w:t>
      </w:r>
      <w:r w:rsidR="00536AE7">
        <w:t xml:space="preserve"> risk perception and awareness, leading to </w:t>
      </w:r>
      <w:r w:rsidR="0065203B">
        <w:t>a</w:t>
      </w:r>
      <w:r w:rsidR="00536AE7">
        <w:t xml:space="preserve">n </w:t>
      </w:r>
      <w:r w:rsidR="0065203B">
        <w:t>uptick in household-level adaptation</w:t>
      </w:r>
      <w:r w:rsidR="00D064BD">
        <w:t xml:space="preserve"> </w:t>
      </w:r>
      <w:r w:rsidR="00D064BD">
        <w:fldChar w:fldCharType="begin"/>
      </w:r>
      <w:r w:rsidR="00D064BD">
        <w:instrText xml:space="preserve"> ADDIN ZOTERO_ITEM CSL_CITATION {"citationID":"62cnrJOv","properties":{"formattedCitation":"(Pasquier et al., 2020)","plainCitation":"(Pasquier et al., 2020)","noteIndex":0},"citationItems":[{"id":1133,"uris":["http://zotero.org/users/10735550/items/P3NKGPKV"],"itemData":{"id":1133,"type":"article-journal","abstract":"Decision-makers face a particular challenge in planning for climate adaptation. The complexity of climate change's likely impacts, such as increased ﬂooding, has widened the scope of information necessary to take action. This is particularly the case in valuable low-lying coastal regions, which host many competing interests, and where there is a growing need to draw from varied ﬁelds in the risk-based management of ﬂooding. The rising scrutiny over science's ability to match expectations of policy actors has called for the integration of stakeholder and scientiﬁc knowledge domains. Focusing on the Broads — the United Kingdom's largest protected wetland — this study looked to assess future ﬂood risk and consider potential adaptation responses in a collaborative approach. Interviews and surveys with local stakeholders accompanied the development of a hydraulic model in an iterative participatory design, centred on a scientist-stakeholder workshop. Knowledge and perspectives were shared on processes driving risk in the Broads, as well as on the implications of adaptation measures, allowing for their prioritisation. The research outcomes highlight not only the challenges that scientist-stakeholder integrated assessments of future ﬂood risk face, but also their potential to lead to the production of useful information for decision-making.","container-title":"Environmental Science &amp; Policy","DOI":"10.1016/j.envsci.2019.10.016","ISSN":"14629011","journalAbbreviation":"Environmental Science &amp; Policy","language":"en","page":"50-57","source":"DOI.org (Crossref)","title":"“We can’t do it on our own!”—Integrating stakeholder and scientific knowledge of future flood risk to inform climate change adaptation planning in a coastal region","volume":"103","author":[{"family":"Pasquier","given":"Ulysse"},{"family":"Few","given":"Roger"},{"family":"Goulden","given":"Marisa C."},{"family":"Hooton","given":"Simon"},{"family":"He","given":"Yi"},{"family":"Hiscock","given":"Kevin M."}],"issued":{"date-parts":[["2020",1]]}}}],"schema":"https://github.com/citation-style-language/schema/raw/master/csl-citation.json"} </w:instrText>
      </w:r>
      <w:r w:rsidR="00D064BD">
        <w:fldChar w:fldCharType="separate"/>
      </w:r>
      <w:r w:rsidR="00D064BD">
        <w:rPr>
          <w:noProof/>
        </w:rPr>
        <w:t>(Pasquier et al., 2020)</w:t>
      </w:r>
      <w:r w:rsidR="00D064BD">
        <w:fldChar w:fldCharType="end"/>
      </w:r>
      <w:r w:rsidR="0065203B">
        <w:t xml:space="preserve">. Secondly, we expect </w:t>
      </w:r>
      <w:r w:rsidR="00536AE7">
        <w:t xml:space="preserve">psychological mechanisms like </w:t>
      </w:r>
      <w:r w:rsidR="0065203B">
        <w:t xml:space="preserve">adaptation fatigue </w:t>
      </w:r>
      <w:r w:rsidR="00536AE7">
        <w:t>and learned helplessness to have a</w:t>
      </w:r>
      <w:r w:rsidR="001632D8">
        <w:t xml:space="preserve">n offsetting </w:t>
      </w:r>
      <w:r w:rsidR="00536AE7">
        <w:t>effect on household-level adaptation</w:t>
      </w:r>
      <w:r w:rsidR="00716F31">
        <w:t xml:space="preserve"> </w:t>
      </w:r>
      <w:r w:rsidR="00716F31">
        <w:fldChar w:fldCharType="begin"/>
      </w:r>
      <w:r w:rsidR="00716F31">
        <w:instrText xml:space="preserve"> ADDIN ZOTERO_ITEM CSL_CITATION {"citationID":"T0OhtCyg","properties":{"formattedCitation":"(Harries &amp; Penning-Rowsell, 2011)","plainCitation":"(Harries &amp; Penning-Rowsell, 2011)","noteIndex":0},"citationItems":[{"id":1131,"uris":["http://zotero.org/users/10735550/items/8IFVYZBD"],"itemData":{"id":1131,"type":"article-journal","abstract":"Interviews were conducted with risk managers in a case-study area in England to determine the factors inﬂuencing the choice between more traditional, engineering based, adaptation to ﬂood risk and those focussing on vulnerability reduction. The ﬁndings of in-depth analysis of these interviews have implications for climate change adaptation as a whole. They suggest that government policies to implement a broader range of adaptation measures might be hampered by institutional cultures formed when structural, engineered approaches were the norm. Political decentralisation and the fashion for public consultation exacerbate this effect, leaving decision-makers more responsive to the inﬂuence of those directly affected by natural hazards than they are to the needs of the wider population or to policy pronouncements by government.","container-title":"Global Environmental Change","DOI":"10.1016/j.gloenvcha.2010.09.002","ISSN":"09593780","issue":"1","journalAbbreviation":"Global Environmental Change","language":"en","license":"https://www.elsevier.com/tdm/userlicense/1.0/","page":"188-197","source":"DOI.org (Crossref)","title":"Victim pressure, institutional inertia and climate change adaptation: The case of flood risk","title-short":"Victim pressure, institutional inertia and climate change adaptation","volume":"21","author":[{"family":"Harries","given":"Tim"},{"family":"Penning-Rowsell","given":"Edmund"}],"issued":{"date-parts":[["2011",2]]}}}],"schema":"https://github.com/citation-style-language/schema/raw/master/csl-citation.json"} </w:instrText>
      </w:r>
      <w:r w:rsidR="00716F31">
        <w:fldChar w:fldCharType="separate"/>
      </w:r>
      <w:r w:rsidR="00716F31">
        <w:rPr>
          <w:noProof/>
        </w:rPr>
        <w:t>(Harries &amp; Penning-Rowsell, 2011)</w:t>
      </w:r>
      <w:r w:rsidR="00716F31">
        <w:fldChar w:fldCharType="end"/>
      </w:r>
      <w:r w:rsidR="00536AE7">
        <w:t xml:space="preserve">. Thirdly, we expect </w:t>
      </w:r>
      <w:commentRangeStart w:id="5"/>
      <w:r w:rsidR="00536AE7">
        <w:t>community-level spillover</w:t>
      </w:r>
      <w:r w:rsidR="009178E0">
        <w:t>s</w:t>
      </w:r>
      <w:commentRangeEnd w:id="5"/>
      <w:r w:rsidR="00B96B6D">
        <w:rPr>
          <w:rStyle w:val="CommentReference"/>
        </w:rPr>
        <w:commentReference w:id="5"/>
      </w:r>
      <w:r w:rsidR="009178E0">
        <w:t xml:space="preserve"> </w:t>
      </w:r>
      <w:r w:rsidR="00536AE7">
        <w:t>to affect household-level decision making.</w:t>
      </w:r>
      <w:r w:rsidR="009178E0">
        <w:t xml:space="preserve"> </w:t>
      </w:r>
      <w:r w:rsidR="00F752C3">
        <w:t>A household</w:t>
      </w:r>
      <w:r w:rsidR="009178E0">
        <w:t xml:space="preserve"> should be more likely to opt for </w:t>
      </w:r>
      <w:r w:rsidR="00F752C3">
        <w:t xml:space="preserve">a certain </w:t>
      </w:r>
      <w:r w:rsidR="009178E0">
        <w:t>adaptation measur</w:t>
      </w:r>
      <w:r w:rsidR="00F752C3">
        <w:t>e</w:t>
      </w:r>
      <w:r w:rsidR="009178E0">
        <w:t xml:space="preserve"> if </w:t>
      </w:r>
      <w:r w:rsidR="00F752C3">
        <w:t xml:space="preserve">that measure is widespread in the household’s neighborhood. Vice versa, adaptation measures should be less likely in neighborhoods with low </w:t>
      </w:r>
      <w:r w:rsidR="001632D8">
        <w:t>initial adaptation levels</w:t>
      </w:r>
      <w:r w:rsidR="00F752C3">
        <w:t xml:space="preserve"> </w:t>
      </w:r>
      <w:r w:rsidR="00971D1B">
        <w:fldChar w:fldCharType="begin"/>
      </w:r>
      <w:r w:rsidR="00971D1B">
        <w:instrText xml:space="preserve"> ADDIN ZOTERO_ITEM CSL_CITATION {"citationID":"iiEJyCjs","properties":{"formattedCitation":"(Wilby &amp; Keenan, 2012)","plainCitation":"(Wilby &amp; Keenan, 2012)","noteIndex":0},"citationItems":[{"id":1117,"uris":["http://zotero.org/users/10735550/items/YQGZV7P6"],"itemData":{"id":1117,"type":"article-journal","abstract":"Flooding is the most common natural hazard and third most damaging globally after storms and earthquakes. Anthropogenic climate change is expected to increase flood risk through more frequent heavy precipitation, increased catchment wetness and sea level rise. This paper reviews steps being taken by actors at international, national, regional and community levels to adapt to flood risk from tidal, fluvial, surface and groundwater sources. We refer to existing inventories, national and sectoral adaptation plans, flood inquiries, building and planning codes, city plans, research literature and international policy reviews. We distinguish between the enabling environment for adaptation and specific implementing measures to manage flood risk. Enabling includes routine monitoring, flood forecasting, data exchange, institutional reform, bridging organizations, contingency planning for disasters, insurance and legal incentives to reduce vulnerability. All such activities are ‘low regret’ in that they yield benefits regardless of the climate scenario but are not cost-free. Implementing includes climate safety factors for new build, upgrading resistance and resilience of existing infrastructure, modifying operating rules, development control, flood forecasting, temporary and permanent retreat from hazardous areas, periodic review and adaptive management. We identify evidence of both types of adaptation following the catastrophic 2010/11 flooding in Victoria, Australia. However, significant challenges remain for managing transboundary flood risk (at all scales), protecting existing property at risk from flooding, and ensuring equitable outcomes in terms of risk reduction for all. Adaptive management also raises questions about the wider preparedness of society to systematically monitor and respond to evolving flood risks and vulnerabilities.","container-title":"Progress in Physical Geography: Earth and Environment","DOI":"10.1177/0309133312438908","ISSN":"0309-1333, 1477-0296","issue":"3","journalAbbreviation":"Progress in Physical Geography: Earth and Environment","language":"en","page":"348-378","source":"DOI.org (Crossref)","title":"Adapting to flood risk under climate change","volume":"36","author":[{"family":"Wilby","given":"Robert L."},{"family":"Keenan","given":"Rod"}],"issued":{"date-parts":[["2012",6]]}}}],"schema":"https://github.com/citation-style-language/schema/raw/master/csl-citation.json"} </w:instrText>
      </w:r>
      <w:r w:rsidR="00971D1B">
        <w:fldChar w:fldCharType="separate"/>
      </w:r>
      <w:r w:rsidR="00971D1B">
        <w:rPr>
          <w:noProof/>
        </w:rPr>
        <w:t>(Wilby &amp; Keenan, 2012)</w:t>
      </w:r>
      <w:r w:rsidR="00971D1B">
        <w:fldChar w:fldCharType="end"/>
      </w:r>
      <w:r w:rsidR="009178E0">
        <w:t xml:space="preserve">. Finally, we expect financial constraints and socioeconomic </w:t>
      </w:r>
      <w:r w:rsidR="00B96B6D">
        <w:t>realities</w:t>
      </w:r>
      <w:r w:rsidR="009178E0">
        <w:t xml:space="preserve"> to play a role in adaptation outcomes</w:t>
      </w:r>
      <w:r w:rsidR="00D064BD">
        <w:t xml:space="preserve"> </w:t>
      </w:r>
      <w:r w:rsidR="00D064BD">
        <w:fldChar w:fldCharType="begin"/>
      </w:r>
      <w:r w:rsidR="00D064BD">
        <w:instrText xml:space="preserve"> ADDIN ZOTERO_ITEM CSL_CITATION {"citationID":"THUY5S3G","properties":{"formattedCitation":"(Storbj\\uc0\\u246{}rk, 2007)","plainCitation":"(Storbjörk, 2007)","noteIndex":0},"citationItems":[{"id":1132,"uris":["http://zotero.org/users/10735550/items/WUU5J9IV"],"itemData":{"id":1132,"type":"article-journal","abstract":"This paper directs attention to conditions for climate adaptation as an important part of governing climate change in the local arena. Empirical focus is put on attempts to manage ﬂood risks by means of risk management and planning in two Swedish municipalities. Following the need to widen our understanding of how, when and under what conditions climate adaptation occurs, three challenges are particularly emphasized from the case studies: facing the safety vs. scenery conﬂict where political priorities and reducing societal vulnerabilities prove difﬁcult; the process of deciding what to adapt to, in which the troublesome role of knowledge is striking; and ﬁnally, taking responsibility for measures of ﬂood protection. At the end of the paper, analytical generalizations illustrate the need to give increased attention to institutional challenges and challenges emanating from the science–policy interface in order to come to terms with the implementation deﬁcit in governing climate change in the local arena.","container-title":"Local Environment","DOI":"10.1080/13549830701656960","ISSN":"1354-9839, 1469-6711","issue":"5","journalAbbreviation":"Local Environment","language":"en","page":"457-469","source":"DOI.org (Crossref)","title":"Governing Climate Adaptation in the Local Arena: Challenges of Risk Management and Planning in Sweden","title-short":"Governing Climate Adaptation in the Local Arena","volume":"12","author":[{"family":"Storbjörk","given":"Sofie"}],"issued":{"date-parts":[["2007",10]]}}}],"schema":"https://github.com/citation-style-language/schema/raw/master/csl-citation.json"} </w:instrText>
      </w:r>
      <w:r w:rsidR="00D064BD">
        <w:fldChar w:fldCharType="separate"/>
      </w:r>
      <w:r w:rsidR="00D064BD" w:rsidRPr="00D064BD">
        <w:rPr>
          <w:rFonts w:ascii="Aptos" w:cs="Times New Roman"/>
          <w:kern w:val="0"/>
          <w:lang w:val="en-GB"/>
        </w:rPr>
        <w:t>(Storbjörk, 2007)</w:t>
      </w:r>
      <w:r w:rsidR="00D064BD">
        <w:fldChar w:fldCharType="end"/>
      </w:r>
      <w:r w:rsidR="009178E0">
        <w:t>.</w:t>
      </w:r>
      <w:r w:rsidR="007F4049">
        <w:t xml:space="preserve"> </w:t>
      </w:r>
    </w:p>
    <w:p w14:paraId="38617F01" w14:textId="77777777" w:rsidR="0008477B" w:rsidRDefault="0008477B" w:rsidP="00FC62C4">
      <w:pPr>
        <w:jc w:val="both"/>
      </w:pPr>
    </w:p>
    <w:p w14:paraId="16C4620D" w14:textId="77777777" w:rsidR="00CB27AC" w:rsidRDefault="00CB27AC" w:rsidP="00FC62C4">
      <w:pPr>
        <w:jc w:val="both"/>
      </w:pPr>
    </w:p>
    <w:p w14:paraId="2AF57AE6" w14:textId="77777777" w:rsidR="00CB27AC" w:rsidRDefault="00CB27AC" w:rsidP="00CB27AC">
      <w:pPr>
        <w:jc w:val="both"/>
      </w:pPr>
      <w:r>
        <w:t>&lt;Research Gap&gt;</w:t>
      </w:r>
    </w:p>
    <w:p w14:paraId="26788AE5" w14:textId="77777777" w:rsidR="00CB27AC" w:rsidRDefault="00CB27AC" w:rsidP="00CB27AC">
      <w:pPr>
        <w:jc w:val="both"/>
      </w:pPr>
      <w:r>
        <w:t xml:space="preserve">Various determinants of household-level flood adaptation exist. Their effect direction and size seem to be dependent on regionality and other case-specific, non-individual factors. Interdependencies between determinants are possible. The literature on these determinants is still sparse. We recognize that personal experience of past floodings as a determinant for flood adaptation has not been studied yet – neither in the US nor elsewhere. We thus derive the following research question: </w:t>
      </w:r>
    </w:p>
    <w:p w14:paraId="797535A6" w14:textId="77777777" w:rsidR="00CB27AC" w:rsidRDefault="00CB27AC" w:rsidP="00CB27AC">
      <w:pPr>
        <w:jc w:val="both"/>
      </w:pPr>
    </w:p>
    <w:p w14:paraId="209825EE" w14:textId="77777777" w:rsidR="00CB27AC" w:rsidRDefault="00CB27AC" w:rsidP="00CB27AC">
      <w:pPr>
        <w:jc w:val="center"/>
        <w:rPr>
          <w:b/>
          <w:bCs/>
        </w:rPr>
      </w:pPr>
      <w:commentRangeStart w:id="6"/>
      <w:r w:rsidRPr="00AD24BC">
        <w:rPr>
          <w:b/>
          <w:bCs/>
        </w:rPr>
        <w:t xml:space="preserve">What is the effect of flood </w:t>
      </w:r>
      <w:r>
        <w:rPr>
          <w:b/>
          <w:bCs/>
        </w:rPr>
        <w:t>experience</w:t>
      </w:r>
      <w:r w:rsidRPr="00AD24BC">
        <w:rPr>
          <w:b/>
          <w:bCs/>
        </w:rPr>
        <w:t xml:space="preserve"> on household-level </w:t>
      </w:r>
      <w:r>
        <w:rPr>
          <w:b/>
          <w:bCs/>
        </w:rPr>
        <w:t xml:space="preserve">flood </w:t>
      </w:r>
      <w:r w:rsidRPr="00AD24BC">
        <w:rPr>
          <w:b/>
          <w:bCs/>
        </w:rPr>
        <w:t>adaptation</w:t>
      </w:r>
      <w:r>
        <w:rPr>
          <w:b/>
          <w:bCs/>
        </w:rPr>
        <w:t>?</w:t>
      </w:r>
      <w:commentRangeEnd w:id="6"/>
      <w:r w:rsidR="00595732">
        <w:rPr>
          <w:rStyle w:val="CommentReference"/>
        </w:rPr>
        <w:commentReference w:id="6"/>
      </w:r>
    </w:p>
    <w:p w14:paraId="4FA5D3F0" w14:textId="77777777" w:rsidR="003A0719" w:rsidRDefault="003A0719" w:rsidP="00CB27AC">
      <w:pPr>
        <w:jc w:val="center"/>
        <w:rPr>
          <w:b/>
          <w:bCs/>
        </w:rPr>
      </w:pPr>
    </w:p>
    <w:p w14:paraId="56044D28" w14:textId="77777777" w:rsidR="003A0719" w:rsidRDefault="003A0719" w:rsidP="003A0719">
      <w:pPr>
        <w:pStyle w:val="Heading1"/>
        <w:numPr>
          <w:ilvl w:val="0"/>
          <w:numId w:val="6"/>
        </w:numPr>
      </w:pPr>
      <w:bookmarkStart w:id="7" w:name="_Toc197002961"/>
      <w:r>
        <w:t>A simple adaptation decision model</w:t>
      </w:r>
      <w:bookmarkEnd w:id="7"/>
      <w:r>
        <w:t xml:space="preserve"> </w:t>
      </w:r>
    </w:p>
    <w:p w14:paraId="699A3449" w14:textId="2EF4DF73" w:rsidR="00B6289D" w:rsidRPr="00D1349B" w:rsidRDefault="00595732" w:rsidP="00B6289D">
      <w:pPr>
        <w:jc w:val="both"/>
      </w:pPr>
      <w:r>
        <w:t xml:space="preserve">To explore the determinants of disaster preparedness, we hypothesize a simple adaptation model. A rational agent </w:t>
      </w:r>
      <w:r w:rsidR="00B6289D">
        <w:t>will</w:t>
      </w:r>
      <w:r>
        <w:t xml:space="preserve"> prepare for disaster if he perceives the benefits of </w:t>
      </w:r>
      <w:r w:rsidRPr="00D1349B">
        <w:t>adaptation to outweigh the cost of disaster. Adaptation cost is known to the agent upfront.</w:t>
      </w:r>
      <w:r w:rsidR="00B6289D" w:rsidRPr="00D1349B">
        <w:t xml:space="preserve"> Flood damage to property such as house and car can be assumed very large. Hence, the agent can gauge the cost factors reasonably well. He will conclude that in the case of disaster the benefits of adaptation outweigh the cost of adaptation. In the case of no disaster, however, adaptation costs will outweigh the benefits. His decision to adapt thus largely hinges on his</w:t>
      </w:r>
      <w:r w:rsidR="00D1349B" w:rsidRPr="00D1349B">
        <w:t xml:space="preserve"> perceived probability of disaster</w:t>
      </w:r>
      <w:r w:rsidR="00B6289D" w:rsidRPr="00D1349B">
        <w:t xml:space="preserve">. </w:t>
      </w:r>
      <w:r w:rsidR="00D1349B" w:rsidRPr="00D1349B">
        <w:t>We model his adaptation decision in Equation 1.</w:t>
      </w:r>
    </w:p>
    <w:p w14:paraId="685A7C5B" w14:textId="77777777" w:rsidR="00D1349B" w:rsidRPr="00D1349B" w:rsidRDefault="00D1349B" w:rsidP="003A0719">
      <w:pPr>
        <w:rPr>
          <w:rFonts w:eastAsiaTheme="minorEastAsia"/>
        </w:rPr>
      </w:pPr>
    </w:p>
    <w:p w14:paraId="602EC50B" w14:textId="0A1BD22B" w:rsidR="003A0719" w:rsidRPr="00D1349B" w:rsidRDefault="00D1349B" w:rsidP="003A0719">
      <w:pPr>
        <w:rPr>
          <w:rFonts w:eastAsiaTheme="minorEastAsia"/>
        </w:rPr>
      </w:pPr>
      <w:r w:rsidRPr="00D1349B">
        <w:rPr>
          <w:rFonts w:eastAsiaTheme="minorEastAsia"/>
        </w:rPr>
        <w:t xml:space="preserve">Eq1: </w:t>
      </w:r>
      <m:oMath>
        <m:r>
          <m:rPr>
            <m:sty m:val="p"/>
          </m:rPr>
          <w:rPr>
            <w:rFonts w:ascii="Cambria Math" w:eastAsiaTheme="minorEastAsia" w:hAnsi="Cambria Math"/>
          </w:rPr>
          <m:t>α</m:t>
        </m:r>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α</m:t>
            </m:r>
          </m:sub>
        </m:sSub>
        <m:r>
          <w:rPr>
            <w:rFonts w:ascii="Cambria Math" w:eastAsiaTheme="minorEastAsia" w:hAnsi="Cambria Math"/>
          </w:rPr>
          <m:t>)</m:t>
        </m:r>
      </m:oMath>
    </w:p>
    <w:p w14:paraId="28317327" w14:textId="77777777" w:rsidR="00D1349B" w:rsidRPr="00D1349B" w:rsidRDefault="00D1349B" w:rsidP="00D1349B">
      <w:pPr>
        <w:jc w:val="both"/>
        <w:rPr>
          <w:rFonts w:eastAsiaTheme="minorEastAsia"/>
        </w:rPr>
      </w:pPr>
    </w:p>
    <w:p w14:paraId="4913DD41" w14:textId="58C6CEA8" w:rsidR="00D1349B" w:rsidRPr="00CF41B0" w:rsidRDefault="00D1349B" w:rsidP="00CF41B0">
      <w:pPr>
        <w:jc w:val="both"/>
        <w:rPr>
          <w:rFonts w:eastAsiaTheme="minorEastAsia"/>
        </w:rPr>
      </w:pPr>
      <w:r w:rsidRPr="00D1349B">
        <w:rPr>
          <w:rFonts w:ascii="Aptos" w:eastAsiaTheme="minorEastAsia" w:hAnsi="Aptos"/>
        </w:rPr>
        <w:t xml:space="preserve">Here, </w:t>
      </w:r>
      <m:oMath>
        <m:r>
          <w:rPr>
            <w:rFonts w:ascii="Cambria Math" w:eastAsiaTheme="minorEastAsia" w:hAnsi="Cambria Math"/>
          </w:rPr>
          <m:t>α</m:t>
        </m:r>
      </m:oMath>
      <w:r w:rsidR="00CF41B0">
        <w:rPr>
          <w:rFonts w:ascii="Aptos" w:eastAsiaTheme="minorEastAsia" w:hAnsi="Aptos"/>
        </w:rPr>
        <w:t xml:space="preserve">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Pr="00D1349B">
        <w:rPr>
          <w:rFonts w:ascii="Aptos" w:eastAsiaTheme="minorEastAsia" w:hAnsi="Aptos"/>
        </w:rPr>
        <w:t xml:space="preserve"> denotes</w:t>
      </w:r>
      <w:r w:rsidRPr="00D1349B">
        <w:rPr>
          <w:rFonts w:ascii="Aptos" w:eastAsiaTheme="minorEastAsia" w:hAnsi="Aptos"/>
        </w:rPr>
        <w:t xml:space="preserve"> probability of </w:t>
      </w:r>
      <w:r w:rsidRPr="00D1349B">
        <w:rPr>
          <w:rFonts w:ascii="Aptos" w:eastAsiaTheme="minorEastAsia" w:hAnsi="Aptos"/>
        </w:rPr>
        <w:t xml:space="preserve">the agent deciding to prepare for a flood. </w:t>
      </w:r>
      <w:r w:rsidRPr="00D1349B">
        <w:rPr>
          <w:rFonts w:ascii="Aptos" w:eastAsiaTheme="minorEastAsia" w:hAnsi="Aptos"/>
        </w:rPr>
        <w:t xml:space="preserve"> </w:t>
      </w:r>
      <m:oMath>
        <m:r>
          <w:rPr>
            <w:rFonts w:ascii="Cambria Math" w:eastAsiaTheme="minorEastAsia" w:hAnsi="Cambria Math"/>
          </w:rPr>
          <m:t>π</m:t>
        </m:r>
        <m:r>
          <w:rPr>
            <w:rFonts w:ascii="Cambria Math" w:eastAsiaTheme="minorEastAsia" w:hAnsi="Cambria Math"/>
          </w:rPr>
          <m:t xml:space="preserve"> </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Pr="00D1349B">
        <w:rPr>
          <w:rFonts w:ascii="Aptos" w:eastAsiaTheme="minorEastAsia" w:hAnsi="Aptos"/>
        </w:rPr>
        <w:t xml:space="preserve"> denotes his subjective </w:t>
      </w:r>
      <w:r w:rsidRPr="00D1349B">
        <w:rPr>
          <w:rFonts w:ascii="Aptos" w:eastAsiaTheme="minorEastAsia" w:hAnsi="Aptos"/>
        </w:rPr>
        <w:t>flood risk perception</w:t>
      </w:r>
      <w:r w:rsidRPr="00D1349B">
        <w:rPr>
          <w:rFonts w:ascii="Aptos" w:eastAsiaTheme="minorEastAsia" w:hAnsi="Aptos"/>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0, ∞</m:t>
            </m:r>
          </m:e>
        </m:d>
      </m:oMath>
      <w:r w:rsidRPr="00D1349B">
        <w:rPr>
          <w:rFonts w:ascii="Aptos" w:eastAsiaTheme="minorEastAsia" w:hAnsi="Aptos"/>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α</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0, ∞</m:t>
            </m:r>
          </m:e>
        </m:d>
      </m:oMath>
      <w:r w:rsidRPr="00D1349B">
        <w:rPr>
          <w:rFonts w:ascii="Aptos" w:eastAsiaTheme="minorEastAsia" w:hAnsi="Aptos"/>
        </w:rPr>
        <w:t xml:space="preserve"> </w:t>
      </w:r>
      <w:r w:rsidRPr="00D1349B">
        <w:rPr>
          <w:rFonts w:ascii="Aptos" w:eastAsiaTheme="minorEastAsia" w:hAnsi="Aptos"/>
        </w:rPr>
        <w:t xml:space="preserve">denote the </w:t>
      </w:r>
      <w:r w:rsidRPr="00D1349B">
        <w:rPr>
          <w:rFonts w:ascii="Aptos" w:eastAsiaTheme="minorEastAsia" w:hAnsi="Aptos"/>
        </w:rPr>
        <w:t xml:space="preserve">cost of </w:t>
      </w:r>
      <w:r w:rsidRPr="00D1349B">
        <w:rPr>
          <w:rFonts w:ascii="Aptos" w:eastAsiaTheme="minorEastAsia" w:hAnsi="Aptos"/>
        </w:rPr>
        <w:t xml:space="preserve">flood damage and the cost of adaptation, respectively. </w:t>
      </w:r>
      <w:r w:rsidR="00CF41B0">
        <w:rPr>
          <w:rFonts w:ascii="Aptos" w:eastAsiaTheme="minorEastAsia" w:hAnsi="Aptos"/>
        </w:rPr>
        <w:t xml:space="preserve">The probability to adapt is thus driven by risk perception, expected damage and preparation cost. </w:t>
      </w:r>
      <w:r w:rsidRPr="00D1349B">
        <w:rPr>
          <w:rFonts w:ascii="Aptos" w:eastAsiaTheme="minorEastAsia" w:hAnsi="Aptos"/>
        </w:rPr>
        <w:t xml:space="preserve">As argued, a rational agent will assume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α</m:t>
            </m:r>
          </m:sub>
        </m:sSub>
        <m:r>
          <w:rPr>
            <w:rFonts w:ascii="Cambria Math" w:eastAsiaTheme="minorEastAsia" w:hAnsi="Cambria Math"/>
          </w:rPr>
          <m:t>)</m:t>
        </m:r>
        <m:r>
          <w:rPr>
            <w:rFonts w:ascii="Cambria Math" w:eastAsiaTheme="minorEastAsia" w:hAnsi="Cambria Math"/>
          </w:rPr>
          <m:t>&gt;0</m:t>
        </m:r>
      </m:oMath>
      <w:r w:rsidRPr="00D1349B">
        <w:rPr>
          <w:rFonts w:ascii="Aptos" w:eastAsiaTheme="minorEastAsia" w:hAnsi="Aptos"/>
        </w:rPr>
        <w:t>.</w:t>
      </w:r>
      <w:r>
        <w:rPr>
          <w:rFonts w:ascii="Aptos" w:eastAsiaTheme="minorEastAsia" w:hAnsi="Aptos"/>
        </w:rPr>
        <w:t xml:space="preserve"> To predict household-level adaptation decisions, we thus want to understand the determinants of subjective risk perception.</w:t>
      </w:r>
      <w:r w:rsidR="00CF41B0">
        <w:rPr>
          <w:rFonts w:ascii="Aptos" w:eastAsiaTheme="minorEastAsia" w:hAnsi="Aptos"/>
        </w:rPr>
        <w:t xml:space="preserve"> </w:t>
      </w:r>
      <w:r w:rsidR="00CF41B0">
        <w:rPr>
          <w:rFonts w:ascii="Aptos" w:eastAsiaTheme="minorEastAsia" w:hAnsi="Aptos"/>
        </w:rPr>
        <w:t>For now, we assume that risk perception is a function of real underlying flood risk, agents’ prior flood experience, and their awareness of the risks</w:t>
      </w:r>
      <w:r w:rsidR="00CF41B0">
        <w:rPr>
          <w:rFonts w:ascii="Aptos" w:eastAsiaTheme="minorEastAsia" w:hAnsi="Aptos"/>
        </w:rPr>
        <w:t>, as shown in Equation 2.</w:t>
      </w:r>
    </w:p>
    <w:p w14:paraId="1E1FBBC2" w14:textId="77777777" w:rsidR="003A0719" w:rsidRPr="00D1349B" w:rsidRDefault="003A0719" w:rsidP="003A0719">
      <w:pPr>
        <w:rPr>
          <w:rFonts w:eastAsiaTheme="minorEastAsia"/>
        </w:rPr>
      </w:pPr>
    </w:p>
    <w:p w14:paraId="4272CF54" w14:textId="434B54E6" w:rsidR="003A0719" w:rsidRPr="00CF41B0" w:rsidRDefault="00CF41B0" w:rsidP="003A0719">
      <w:pPr>
        <w:rPr>
          <w:rFonts w:eastAsiaTheme="minorEastAsia"/>
        </w:rPr>
      </w:pPr>
      <w:r>
        <w:rPr>
          <w:rFonts w:eastAsiaTheme="minorEastAsia"/>
        </w:rPr>
        <w:t xml:space="preserve">Eq2: </w:t>
      </w:r>
      <m:oMath>
        <m:r>
          <w:rPr>
            <w:rFonts w:ascii="Cambria Math" w:eastAsiaTheme="minorEastAsia" w:hAnsi="Cambria Math"/>
          </w:rPr>
          <m:t>π=</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f+e+a</m:t>
                </m:r>
              </m:e>
            </m:d>
          </m:num>
          <m:den>
            <m:r>
              <w:rPr>
                <w:rFonts w:ascii="Cambria Math" w:eastAsiaTheme="minorEastAsia" w:hAnsi="Cambria Math"/>
              </w:rPr>
              <m:t>3</m:t>
            </m:r>
          </m:den>
        </m:f>
      </m:oMath>
    </w:p>
    <w:p w14:paraId="20C05243" w14:textId="77777777" w:rsidR="00CF41B0" w:rsidRDefault="00CF41B0" w:rsidP="003A0719">
      <w:pPr>
        <w:rPr>
          <w:rFonts w:ascii="Aptos" w:eastAsiaTheme="minorEastAsia" w:hAnsi="Aptos"/>
        </w:rPr>
      </w:pPr>
    </w:p>
    <w:p w14:paraId="6641E69D" w14:textId="12A87D29" w:rsidR="002B1D52" w:rsidRDefault="00CF41B0" w:rsidP="003A77BC">
      <w:pPr>
        <w:jc w:val="both"/>
        <w:rPr>
          <w:rFonts w:eastAsiaTheme="minorEastAsia"/>
        </w:rPr>
      </w:pPr>
      <w:r w:rsidRPr="00D2138F">
        <w:rPr>
          <w:rFonts w:eastAsiaTheme="minorEastAsia"/>
        </w:rPr>
        <w:t xml:space="preserve">Here,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0,1</m:t>
            </m:r>
          </m:e>
        </m:d>
      </m:oMath>
      <w:r w:rsidRPr="00D2138F">
        <w:rPr>
          <w:rFonts w:eastAsiaTheme="minorEastAsia"/>
        </w:rPr>
        <w:t xml:space="preserve"> denotes the unknown real probability of </w:t>
      </w:r>
      <w:r w:rsidR="00D2138F" w:rsidRPr="00D2138F">
        <w:rPr>
          <w:rFonts w:eastAsiaTheme="minorEastAsia"/>
        </w:rPr>
        <w:t xml:space="preserve">a flood disaster hitting the household. </w:t>
      </w:r>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0,1</m:t>
            </m:r>
          </m:e>
        </m:d>
      </m:oMath>
      <w:r w:rsidR="00D2138F" w:rsidRPr="00D2138F">
        <w:rPr>
          <w:rFonts w:eastAsiaTheme="minorEastAsia"/>
        </w:rPr>
        <w:t xml:space="preserve"> captures whether the household has been hit by a flood before, and </w:t>
      </w:r>
      <m:oMath>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0,1</m:t>
            </m:r>
          </m:e>
        </m:d>
      </m:oMath>
      <w:r w:rsidR="00D2138F" w:rsidRPr="00D2138F">
        <w:rPr>
          <w:rFonts w:eastAsiaTheme="minorEastAsia"/>
        </w:rPr>
        <w:t xml:space="preserve"> whether</w:t>
      </w:r>
      <w:r w:rsidR="00D2138F">
        <w:rPr>
          <w:rFonts w:eastAsiaTheme="minorEastAsia"/>
        </w:rPr>
        <w:t xml:space="preserve"> </w:t>
      </w:r>
      <w:r w:rsidR="00D2138F" w:rsidRPr="00D2138F">
        <w:rPr>
          <w:rFonts w:eastAsiaTheme="minorEastAsia"/>
        </w:rPr>
        <w:t xml:space="preserve">the </w:t>
      </w:r>
      <w:r w:rsidR="00157FA0">
        <w:rPr>
          <w:rFonts w:eastAsiaTheme="minorEastAsia"/>
        </w:rPr>
        <w:t>agent</w:t>
      </w:r>
      <w:r w:rsidR="00D2138F" w:rsidRPr="00D2138F">
        <w:rPr>
          <w:rFonts w:eastAsiaTheme="minorEastAsia"/>
        </w:rPr>
        <w:t xml:space="preserve"> has been consuming information on flood risk and</w:t>
      </w:r>
      <w:r w:rsidR="00D2138F">
        <w:rPr>
          <w:rFonts w:eastAsiaTheme="minorEastAsia"/>
        </w:rPr>
        <w:t xml:space="preserve"> adaptation techniques. </w:t>
      </w:r>
      <w:r w:rsidR="00D2138F" w:rsidRPr="00D2138F">
        <w:rPr>
          <w:rFonts w:eastAsiaTheme="minorEastAsia"/>
        </w:rPr>
        <w:t xml:space="preserve"> </w:t>
      </w:r>
      <w:r w:rsidR="00C25ACA">
        <w:rPr>
          <w:rFonts w:eastAsiaTheme="minorEastAsia"/>
        </w:rPr>
        <w:t xml:space="preserve">Note that by including prior experience and </w:t>
      </w:r>
      <w:r w:rsidR="00157FA0">
        <w:rPr>
          <w:rFonts w:eastAsiaTheme="minorEastAsia"/>
        </w:rPr>
        <w:t xml:space="preserve">risk </w:t>
      </w:r>
      <w:r w:rsidR="00C25ACA">
        <w:rPr>
          <w:rFonts w:eastAsiaTheme="minorEastAsia"/>
        </w:rPr>
        <w:t>awareness, we are relaxing the rational agent assumption</w:t>
      </w:r>
      <w:r w:rsidR="00157FA0">
        <w:rPr>
          <w:rFonts w:eastAsiaTheme="minorEastAsia"/>
        </w:rPr>
        <w:t xml:space="preserve">. </w:t>
      </w:r>
    </w:p>
    <w:p w14:paraId="6CF970BD" w14:textId="2AF35660" w:rsidR="00A96E5E" w:rsidRDefault="00A96E5E" w:rsidP="003A77BC">
      <w:pPr>
        <w:jc w:val="both"/>
        <w:rPr>
          <w:b/>
          <w:bCs/>
        </w:rPr>
      </w:pPr>
    </w:p>
    <w:p w14:paraId="194FA092" w14:textId="54F393B0" w:rsidR="00A96E5E" w:rsidRPr="00A96E5E" w:rsidRDefault="00A96E5E" w:rsidP="003A77BC">
      <w:pPr>
        <w:jc w:val="both"/>
      </w:pPr>
      <w:r>
        <w:t xml:space="preserve">The cost of adaptation depends on the adaptation measure. Their scope and effectiveness differ too. The type of adaptation plays a role in the adaptation decision. To understand the determinants of adaptation, we thus first </w:t>
      </w:r>
      <w:proofErr w:type="gramStart"/>
      <w:r>
        <w:t>have to</w:t>
      </w:r>
      <w:proofErr w:type="gramEnd"/>
      <w:r>
        <w:t xml:space="preserve"> understand the types of adaptation that a household can choose from. In </w:t>
      </w:r>
      <w:commentRangeStart w:id="8"/>
      <w:r>
        <w:t xml:space="preserve">section three we will define relevant terms, discern between adaptation types, review the literature on determinants to adaptation and briefly touch on selected decision frameworks that have been put forward. </w:t>
      </w:r>
      <w:commentRangeEnd w:id="8"/>
      <w:r>
        <w:rPr>
          <w:rStyle w:val="CommentReference"/>
        </w:rPr>
        <w:commentReference w:id="8"/>
      </w:r>
    </w:p>
    <w:p w14:paraId="69280DEC" w14:textId="44B05206" w:rsidR="002B1D52" w:rsidRDefault="003A0719" w:rsidP="00D758BF">
      <w:pPr>
        <w:pStyle w:val="Heading1"/>
        <w:numPr>
          <w:ilvl w:val="0"/>
          <w:numId w:val="6"/>
        </w:numPr>
      </w:pPr>
      <w:bookmarkStart w:id="9" w:name="_Toc197002962"/>
      <w:r>
        <w:t>Climate Change Induced Flood Adaptation</w:t>
      </w:r>
      <w:bookmarkEnd w:id="9"/>
    </w:p>
    <w:p w14:paraId="5CBDC88C" w14:textId="77777777" w:rsidR="003A0719" w:rsidRDefault="003A0719" w:rsidP="003A0719">
      <w:r>
        <w:t>&lt;mitigation v adaptation&gt;</w:t>
      </w:r>
    </w:p>
    <w:p w14:paraId="3AB174CB" w14:textId="2DB59DA3" w:rsidR="00AB798B" w:rsidRDefault="0053424F" w:rsidP="00315DD6">
      <w:pPr>
        <w:jc w:val="both"/>
      </w:pPr>
      <w:r>
        <w:lastRenderedPageBreak/>
        <w:t xml:space="preserve">The climate change literature is </w:t>
      </w:r>
      <w:r w:rsidR="00315DD6">
        <w:t>discerning between adaptation and mitigation strategies</w:t>
      </w:r>
      <w:r w:rsidR="00C1456E">
        <w:t xml:space="preserve"> </w:t>
      </w:r>
      <w:r w:rsidR="00C1456E">
        <w:fldChar w:fldCharType="begin"/>
      </w:r>
      <w:r w:rsidR="00C1456E">
        <w:instrText xml:space="preserve"> ADDIN ZOTERO_ITEM CSL_CITATION {"citationID":"OIR7Ssyb","properties":{"formattedCitation":"(Fankhauser et al., 1999)","plainCitation":"(Fankhauser et al., 1999)","noteIndex":0},"citationItems":[{"id":1255,"uris":["http://zotero.org/users/10735550/items/Z4IAVPSD"],"itemData":{"id":1255,"type":"article-journal","abstract":"This paper discusses some of the elements that may characterise an efﬁcient strategy to adapt to a changing climate. Such a strategy will have to reﬂect the long time horizon of, and the prevailing uncertainties about, climate change. An intuitively appealing approach therefore seems to be to enhance the ﬂexibility and resilience of systems to react to and cope with climate shocks and extremes, as well as to improve information. In addition, in the case of quasi-irreversible investments with a long lifetime (e.g. infrastructure investments, development of coastal zones), precautionary adjustments may be called for to increase the robustness of structures, or to increase the rate of depreciation to allow for earlier replacement. Many of these measures may already have to be considered now, and could be worthwhile in their own right, independent of climate change considerations. © 1999 Elsevier Science B.V. All rights reserved.","container-title":"Ecological Economics","DOI":"10.1016/S0921-8009(98)00117-7","ISSN":"09218009","issue":"1","journalAbbreviation":"Ecological Economics","language":"en","license":"https://www.elsevier.com/tdm/userlicense/1.0/","page":"67-78","source":"DOI.org (Crossref)","title":"Weathering climate change: some simple rules to guide adaptation decisions","title-short":"Weathering climate change","volume":"30","author":[{"family":"Fankhauser","given":"Samuel"},{"family":"Smith","given":"Joel B."},{"family":"Tol","given":"Richard S.J."}],"issued":{"date-parts":[["1999",7]]}}}],"schema":"https://github.com/citation-style-language/schema/raw/master/csl-citation.json"} </w:instrText>
      </w:r>
      <w:r w:rsidR="00C1456E">
        <w:fldChar w:fldCharType="separate"/>
      </w:r>
      <w:r w:rsidR="00C1456E">
        <w:rPr>
          <w:noProof/>
        </w:rPr>
        <w:t>(Fankhauser et al., 1999)</w:t>
      </w:r>
      <w:r w:rsidR="00C1456E">
        <w:fldChar w:fldCharType="end"/>
      </w:r>
      <w:r w:rsidR="00315DD6">
        <w:t xml:space="preserve">. </w:t>
      </w:r>
      <w:r w:rsidR="00AB798B">
        <w:t>Climate mitigation refers to actions that reduce greenhouse gas emissions or enhance their removal from the atmosphere</w:t>
      </w:r>
      <w:r w:rsidR="00C1456E">
        <w:t xml:space="preserve"> </w:t>
      </w:r>
      <w:r w:rsidR="00AB798B">
        <w:fldChar w:fldCharType="begin"/>
      </w:r>
      <w:r w:rsidR="00C1456E">
        <w:instrText xml:space="preserve"> ADDIN ZOTERO_ITEM CSL_CITATION {"citationID":"aZgWhpex","properties":{"formattedCitation":"(Finlayson &amp; D\\uc0\\u8217{}Cruz, 2008)","plainCitation":"(Finlayson &amp; D’Cruz, 2008)","noteIndex":0},"citationItems":[{"id":1305,"uris":["http://zotero.org/users/10735550/items/Y3S9AFUF"],"itemData":{"id":1305,"type":"report","abstract":"Climate change is a fact of life. We need to act urgently if we are to avoid an irreversible build-up of greenhouse gases (GHGs) and global warming at a potentially huge cost to the economy and society worldwide. OECD analysis suggests that if we ...","language":"en","publisher":"OECD","title":"Climate Change Mitigation","URL":"https://www.oecd.org/en/publications/climate-change-mitigation_9789264059610-en.html","author":[{"family":"Finlayson","given":"Max C."},{"family":"D'Cruz","given":"Rebecca"}],"accessed":{"date-parts":[["2025",5,3]]},"issued":{"date-parts":[["2008",12,17]]}}}],"schema":"https://github.com/citation-style-language/schema/raw/master/csl-citation.json"} </w:instrText>
      </w:r>
      <w:r w:rsidR="00AB798B">
        <w:fldChar w:fldCharType="separate"/>
      </w:r>
      <w:r w:rsidR="00C1456E" w:rsidRPr="00C1456E">
        <w:rPr>
          <w:rFonts w:ascii="Aptos" w:cs="Times New Roman"/>
          <w:kern w:val="0"/>
          <w:lang w:val="en-GB"/>
        </w:rPr>
        <w:t>(Finlayson &amp; D’Cruz, 2008)</w:t>
      </w:r>
      <w:r w:rsidR="00AB798B">
        <w:fldChar w:fldCharType="end"/>
      </w:r>
      <w:r w:rsidR="00AB798B">
        <w:t>.</w:t>
      </w:r>
      <w:r w:rsidR="00C1456E">
        <w:t xml:space="preserve"> </w:t>
      </w:r>
      <w:r w:rsidR="00315DD6">
        <w:t xml:space="preserve">Climate change adaptation is the “process of adjustment to actual or expected climate and its effects, in order to moderate harm or exploit beneficial opportunities” </w:t>
      </w:r>
      <w:r w:rsidR="00535D44">
        <w:fldChar w:fldCharType="begin"/>
      </w:r>
      <w:r w:rsidR="00C1456E">
        <w:instrText xml:space="preserve"> ADDIN ZOTERO_ITEM CSL_CITATION {"citationID":"7pWB6ssR","properties":{"formattedCitation":"(Verschuuren, 2022)","plainCitation":"(Verschuuren, 2022)","dontUpdate":true,"noteIndex":0},"citationItems":[{"id":1303,"uris":["http://zotero.org/users/10735550/items/C94JEIJV"],"itemData":{"id":1303,"type":"chapter","container-title":"Research Handbook on Climate Change Adaptation Law, Chapter 1: Introduction to Climate Change Adaptation","ISBN":"978-1-80037-148-4","language":"en","source":"Zotero","author":[{"family":"Verschuuren","given":"Jonathan"}],"issued":{"date-parts":[["2022",6,14]]}}}],"schema":"https://github.com/citation-style-language/schema/raw/master/csl-citation.json"} </w:instrText>
      </w:r>
      <w:r w:rsidR="00535D44">
        <w:fldChar w:fldCharType="separate"/>
      </w:r>
      <w:r w:rsidR="00535D44">
        <w:rPr>
          <w:noProof/>
        </w:rPr>
        <w:t>(Verschuuren, 2022, p.1)</w:t>
      </w:r>
      <w:r w:rsidR="00535D44">
        <w:fldChar w:fldCharType="end"/>
      </w:r>
      <w:r w:rsidR="00FE66B7">
        <w:fldChar w:fldCharType="begin"/>
      </w:r>
      <w:r w:rsidR="00FE66B7">
        <w:instrText xml:space="preserve"> ADDIN ZOTERO_TEMP </w:instrText>
      </w:r>
      <w:r w:rsidR="00FE66B7">
        <w:fldChar w:fldCharType="separate"/>
      </w:r>
      <w:r w:rsidR="00FE66B7">
        <w:fldChar w:fldCharType="end"/>
      </w:r>
      <w:r w:rsidR="00315DD6">
        <w:t xml:space="preserve">. In </w:t>
      </w:r>
      <w:r w:rsidR="00535D44">
        <w:t xml:space="preserve">natural </w:t>
      </w:r>
      <w:r w:rsidR="00315DD6">
        <w:t xml:space="preserve">systems, it involves </w:t>
      </w:r>
      <w:r w:rsidR="00535D44">
        <w:t xml:space="preserve">making adjustments to the actual climate whereas in human systems it involves </w:t>
      </w:r>
      <w:r w:rsidR="00315DD6">
        <w:t>managing risk and vulnerability</w:t>
      </w:r>
      <w:r w:rsidR="00AB798B">
        <w:t xml:space="preserve"> </w:t>
      </w:r>
      <w:r w:rsidR="00AB798B">
        <w:fldChar w:fldCharType="begin"/>
      </w:r>
      <w:r w:rsidR="00C1456E">
        <w:instrText xml:space="preserve"> ADDIN ZOTERO_ITEM CSL_CITATION {"citationID":"bjl5MS2n","properties":{"formattedCitation":"(Verschuuren, 2022)","plainCitation":"(Verschuuren, 2022)","noteIndex":0},"citationItems":[{"id":1303,"uris":["http://zotero.org/users/10735550/items/C94JEIJV"],"itemData":{"id":1303,"type":"chapter","container-title":"Research Handbook on Climate Change Adaptation Law, Chapter 1: Introduction to Climate Change Adaptation","ISBN":"978-1-80037-148-4","language":"en","source":"Zotero","author":[{"family":"Verschuuren","given":"Jonathan"}],"issued":{"date-parts":[["2022",6,14]]}}}],"schema":"https://github.com/citation-style-language/schema/raw/master/csl-citation.json"} </w:instrText>
      </w:r>
      <w:r w:rsidR="00AB798B">
        <w:fldChar w:fldCharType="separate"/>
      </w:r>
      <w:r w:rsidR="00AB798B">
        <w:rPr>
          <w:noProof/>
        </w:rPr>
        <w:t>(Verschuuren, 2022)</w:t>
      </w:r>
      <w:r w:rsidR="00AB798B">
        <w:fldChar w:fldCharType="end"/>
      </w:r>
      <w:r w:rsidR="00535D44">
        <w:t>.</w:t>
      </w:r>
      <w:r w:rsidR="00C1456E">
        <w:t xml:space="preserve"> This thesis will focus exclusively on climate adaptation strategies, specifically flood adaptation.</w:t>
      </w:r>
    </w:p>
    <w:p w14:paraId="51F91C41" w14:textId="7EBB5F0F" w:rsidR="003A0719" w:rsidRDefault="003A0719" w:rsidP="005171C3"/>
    <w:p w14:paraId="35D25343" w14:textId="73336353" w:rsidR="005171C3" w:rsidRDefault="005171C3" w:rsidP="005171C3">
      <w:r>
        <w:t xml:space="preserve">In the following section we will introduce relevant </w:t>
      </w:r>
      <w:r w:rsidR="00A35F8D">
        <w:t>concepts</w:t>
      </w:r>
      <w:r>
        <w:t xml:space="preserve">, before </w:t>
      </w:r>
      <w:r w:rsidR="00B66365">
        <w:t xml:space="preserve">discussing adaptation strategies </w:t>
      </w:r>
      <w:r w:rsidR="00A35F8D">
        <w:t xml:space="preserve">and determinants of household-level adaptation </w:t>
      </w:r>
      <w:r w:rsidR="00B66365">
        <w:t xml:space="preserve">in more detail. </w:t>
      </w:r>
    </w:p>
    <w:p w14:paraId="2A02C95E" w14:textId="07F0737C" w:rsidR="00A35F8D" w:rsidRDefault="003A0719" w:rsidP="003A0719">
      <w:pPr>
        <w:pStyle w:val="Heading2"/>
        <w:numPr>
          <w:ilvl w:val="1"/>
          <w:numId w:val="6"/>
        </w:numPr>
      </w:pPr>
      <w:bookmarkStart w:id="10" w:name="_Toc197002963"/>
      <w:r>
        <w:t xml:space="preserve">Relevant </w:t>
      </w:r>
      <w:bookmarkEnd w:id="10"/>
      <w:r w:rsidR="00A35F8D">
        <w:t>Concepts</w:t>
      </w:r>
    </w:p>
    <w:p w14:paraId="72DCB8AB" w14:textId="77777777" w:rsidR="00A35F8D" w:rsidRDefault="00A35F8D" w:rsidP="00A35F8D">
      <w:pPr>
        <w:jc w:val="both"/>
      </w:pPr>
    </w:p>
    <w:p w14:paraId="400E4FF1" w14:textId="47F3E674" w:rsidR="003A0719" w:rsidRDefault="00A35F8D" w:rsidP="00A35F8D">
      <w:pPr>
        <w:jc w:val="both"/>
      </w:pPr>
      <w:r>
        <w:t>&lt;exposure and risk&gt;</w:t>
      </w:r>
    </w:p>
    <w:p w14:paraId="1324C861" w14:textId="27D89B7B" w:rsidR="00A35F8D" w:rsidRDefault="00A35F8D" w:rsidP="00A35F8D">
      <w:pPr>
        <w:jc w:val="both"/>
      </w:pPr>
      <w:r>
        <w:fldChar w:fldCharType="begin"/>
      </w:r>
      <w:r>
        <w:instrText xml:space="preserve"> ADDIN ZOTERO_ITEM CSL_CITATION {"citationID":"zBKYHAg8","properties":{"formattedCitation":"(Brooks, 2003)","plainCitation":"(Brooks, 2003)","noteIndex":0},"citationItems":[{"id":1066,"uris":["http://zotero.org/users/10735550/items/AIG7UY4Z"],"itemData":{"id":1066,"type":"article-journal","language":"en","source":"Zotero","title":"Vulnerability, risk and adaptation: A conceptual framework","author":[{"family":"Brooks","given":"Nick"}],"issued":{"date-parts":[["2003"]]}}}],"schema":"https://github.com/citation-style-language/schema/raw/master/csl-citation.json"} </w:instrText>
      </w:r>
      <w:r>
        <w:fldChar w:fldCharType="separate"/>
      </w:r>
      <w:r>
        <w:rPr>
          <w:noProof/>
        </w:rPr>
        <w:t xml:space="preserve">Brooks </w:t>
      </w:r>
      <w:r>
        <w:rPr>
          <w:noProof/>
        </w:rPr>
        <w:t>(</w:t>
      </w:r>
      <w:r>
        <w:rPr>
          <w:noProof/>
        </w:rPr>
        <w:t>2003)</w:t>
      </w:r>
      <w:r>
        <w:fldChar w:fldCharType="end"/>
      </w:r>
      <w:r>
        <w:t xml:space="preserve"> defines exposure as the presence of people, livelihoods or infrastructure that could be adversely affected by a disaster. By prohibiting construction in inundation areas, we thus adapt to climate changing by reducing exposure. Limited exposure reduces risk. Risk is commonly defined as a function of hazard exposure and the probability </w:t>
      </w:r>
      <w:r w:rsidR="009028C3">
        <w:t xml:space="preserve">its </w:t>
      </w:r>
      <w:r>
        <w:t xml:space="preserve"> occurrence </w:t>
      </w:r>
      <w:r>
        <w:fldChar w:fldCharType="begin"/>
      </w:r>
      <w:r>
        <w:instrText xml:space="preserve"> ADDIN ZOTERO_ITEM CSL_CITATION {"citationID":"7rCIftOd","properties":{"formattedCitation":"(Brooks et al., 2005)","plainCitation":"(Brooks et al., 2005)","noteIndex":0},"citationItems":[{"id":1072,"uris":["http://zotero.org/users/10735550/items/3GEMWP7E"],"itemData":{"id":1072,"type":"article-journal","abstract":"We present a set of indicators of vulnerability and capacity to adapt to climate variability, and by extension climate change, derived using a novel empirical analysis of data aggregated at the national level on a decadal timescale. The analysis is based on a conceptual framework in which risk is viewed in terms of outcome, and is a function of physically deﬁned climate hazards and socially constructed vulnerability. Climate outcomes are represented by mortality from climate-related disasters, using the emergency events database data set, statistical relationships between mortality and a shortlist of potential proxies for vulnerability are used to identify key vulnerability indicators. We ﬁnd that 11 key indicators exhibit a strong relationship with decadally aggregated mortality associated with climate-related disasters. Validation of indicators, relationships between vulnerability and adaptive capacity, and the sensitivity of subsequent vulnerability assessments to different sets of weightings are explored using expert judgement data, collected through a focus group exercise. The data are used to provide a robust assessment of vulnerability to climate-related mortality at the national level, and represent an entry point to more detailed explorations of vulnerability and adaptive capacity. They indicate that the most vulnerable nations are those situated in sub-Saharan Africa and those that have recently experienced conﬂict. Adaptive capacity—one element of vulnerability—is associated predominantly with governance, civil and political rights, and literacy.","container-title":"Global Environmental Change","DOI":"10.1016/j.gloenvcha.2004.12.006","ISSN":"09593780","issue":"2","journalAbbreviation":"Global Environmental Change","language":"en","license":"https://www.elsevier.com/tdm/userlicense/1.0/","page":"151-163","source":"DOI.org (Crossref)","title":"The determinants of vulnerability and adaptive capacity at the national level and the implications for adaptation","volume":"15","author":[{"family":"Brooks","given":"Nick"},{"family":"Neil Adger","given":"W."},{"family":"Mick Kelly","given":"P."}],"issued":{"date-parts":[["2005",7]]}}}],"schema":"https://github.com/citation-style-language/schema/raw/master/csl-citation.json"} </w:instrText>
      </w:r>
      <w:r>
        <w:fldChar w:fldCharType="separate"/>
      </w:r>
      <w:r>
        <w:rPr>
          <w:noProof/>
        </w:rPr>
        <w:t>(Brooks et al., 2005)</w:t>
      </w:r>
      <w:r>
        <w:fldChar w:fldCharType="end"/>
      </w:r>
      <w:r>
        <w:t>. Systematic changes in climate patterns</w:t>
      </w:r>
      <w:r w:rsidR="009C7482">
        <w:t xml:space="preserve"> mean that</w:t>
      </w:r>
      <w:r>
        <w:t xml:space="preserve"> the flood risk function</w:t>
      </w:r>
      <w:r w:rsidR="009028C3">
        <w:t xml:space="preserve"> in</w:t>
      </w:r>
      <w:r>
        <w:t xml:space="preserve"> </w:t>
      </w:r>
      <w:r w:rsidR="009C7482">
        <w:t>coastal region</w:t>
      </w:r>
      <w:r w:rsidR="009028C3">
        <w:t>s</w:t>
      </w:r>
      <w:r w:rsidR="009C7482">
        <w:t xml:space="preserve"> </w:t>
      </w:r>
      <w:r>
        <w:t xml:space="preserve">is </w:t>
      </w:r>
      <w:r w:rsidR="009C7482">
        <w:t xml:space="preserve">currently </w:t>
      </w:r>
      <w:r>
        <w:t>changing, resulting in a systematic uptick in</w:t>
      </w:r>
      <w:r w:rsidR="009C7482">
        <w:t xml:space="preserve"> observed flood disasters. </w:t>
      </w:r>
      <w:r>
        <w:t xml:space="preserve"> </w:t>
      </w:r>
    </w:p>
    <w:p w14:paraId="2AF74C1D" w14:textId="77777777" w:rsidR="00A35F8D" w:rsidRDefault="00A35F8D" w:rsidP="00A35F8D">
      <w:pPr>
        <w:jc w:val="both"/>
      </w:pPr>
    </w:p>
    <w:p w14:paraId="7E77E84A" w14:textId="7A5E62C3" w:rsidR="00A35F8D" w:rsidRDefault="00A35F8D" w:rsidP="00A35F8D">
      <w:pPr>
        <w:jc w:val="both"/>
      </w:pPr>
      <w:r>
        <w:t>&lt;vulnerability and social vulnerability&gt;</w:t>
      </w:r>
    </w:p>
    <w:p w14:paraId="4847927B" w14:textId="4C90638C" w:rsidR="001B78E0" w:rsidRDefault="001B78E0" w:rsidP="001B78E0">
      <w:pPr>
        <w:jc w:val="both"/>
      </w:pPr>
      <w:r>
        <w:t xml:space="preserve">Increasing flood risk leaves coastal population vulnerable. </w:t>
      </w:r>
      <w:r>
        <w:fldChar w:fldCharType="begin"/>
      </w:r>
      <w:r>
        <w:instrText xml:space="preserve"> ADDIN ZOTERO_ITEM CSL_CITATION {"citationID":"tChhUZI1","properties":{"formattedCitation":"(Adger, 2006)","plainCitation":"(Adger, 2006)","dontUpdate":true,"noteIndex":0},"citationItems":[{"id":1070,"uris":["http://zotero.org/users/10735550/items/UJBHUGHA"],"itemData":{"id":1070,"type":"article-journal","abstract":"This paper reviews research traditions of vulnerability to environmental change and the challenges for present vulnerability research in integrating with the domains of resilience and adaptation. Vulnerability is the state of susceptibility to harm from exposure to stresses associated with environmental and social change and from the absence of capacity to adapt. Antecedent traditions include theories of vulnerability as entitlement failure and theories of hazard. Each of these areas has contributed to present formulations of vulnerability to environmental change as a characteristic of social-ecological systems linked to resilience. Research on vulnerability to the impacts of climate change spans all the antecedent and successor traditions. The challenges for vulnerability research are to develop robust and credible measures, to incorporate diverse methods that include perceptions of risk and vulnerability, and to incorporate governance research on the mechanisms that mediate vulnerability and promote adaptive action and resilience. These challenges are common to the domains of vulnerability, adaptation and resilience and form common ground for consilience and integration.","container-title":"Global Environmental Change","DOI":"10.1016/j.gloenvcha.2006.02.006","ISSN":"09593780","issue":"3","journalAbbreviation":"Global Environmental Change","language":"en","page":"268-281","source":"DOI.org (Crossref)","title":"Vulnerability","volume":"16","author":[{"family":"Adger","given":"W. Neil"}],"issued":{"date-parts":[["2006",8]]}}}],"schema":"https://github.com/citation-style-language/schema/raw/master/csl-citation.json"} </w:instrText>
      </w:r>
      <w:r>
        <w:fldChar w:fldCharType="separate"/>
      </w:r>
      <w:r>
        <w:rPr>
          <w:noProof/>
        </w:rPr>
        <w:t xml:space="preserve">Adger </w:t>
      </w:r>
      <w:r>
        <w:rPr>
          <w:noProof/>
        </w:rPr>
        <w:t>(</w:t>
      </w:r>
      <w:r>
        <w:rPr>
          <w:noProof/>
        </w:rPr>
        <w:t>2006</w:t>
      </w:r>
      <w:r>
        <w:rPr>
          <w:noProof/>
        </w:rPr>
        <w:t>)</w:t>
      </w:r>
      <w:r>
        <w:fldChar w:fldCharType="end"/>
      </w:r>
      <w:r>
        <w:t xml:space="preserve"> defines vulnerability as “susceptibility to harm from exposure to stresses… and from the absence of capacity to adapt” (p.1). This “vulnerability to environmental hazards means the potential for loss” </w:t>
      </w:r>
      <w:r>
        <w:fldChar w:fldCharType="begin"/>
      </w:r>
      <w:r>
        <w:instrText xml:space="preserve"> ADDIN ZOTERO_ITEM CSL_CITATION {"citationID":"XJB06jT3","properties":{"formattedCitation":"(Cutter et al., 2003)","plainCitation":"(Cutter et al., 2003)","dontUpdate":true,"noteIndex":0},"citationItems":[{"id":1064,"uris":["http://zotero.org/users/10735550/items/KAEYI8TT"],"itemData":{"id":1064,"type":"article-journal","abstract":"Objective.\n              County</w:instrText>
      </w:r>
      <w:r>
        <w:rPr>
          <w:rFonts w:ascii="Cambria Math" w:hAnsi="Cambria Math" w:cs="Cambria Math"/>
        </w:rPr>
        <w:instrText>‐</w:instrText>
      </w:r>
      <w:r>
        <w:instrText xml:space="preserve">level socioeconomic and demographic data were used to construct an index of social vulnerability to environmental hazards, called the Social Vulnerability Index (SoVI) for the United States based on 1990 data.\n            \n            \n              Methods.\n              Using a factor analytic approach, 42 variables were reduced to 11 independent factors that accounted for about 76 percent of the variance. These factors were placed in an additive model to compute a summary score—the Social Vulnerability Index.\n            \n            \n              Results.\n              There are some distinct spatial patterns in the SoVI, with the most vulnerable counties clustered in metropolitan counties in the east, south Texas, and the Mississippi Delta region.\n            \n            \n              Conclusion.\n              Those factors that contribute to the overall score often are different for each county, underscoring the interactive nature of social vulnerability—some components increase vulnerability; others moderate the effects.","container-title":"Social Science Quarterly","DOI":"10.1111/1540-6237.8402002","ISSN":"0038-4941, 1540-6237","issue":"2","journalAbbreviation":"Social Science Quarterly","language":"en","license":"http://onlinelibrary.wiley.com/termsAndConditions#vor","page":"242-261","source":"DOI.org (Crossref)","title":"Social Vulnerability to Environmental Hazards&lt;sup&gt;*&lt;/sup&gt;","volume":"84","author":[{"family":"Cutter","given":"Susan L."},{"family":"Boruff","given":"Bryan J."},{"family":"Shirley","given":"W. Lynn"}],"issued":{"date-parts":[["2003",6]]}}}],"schema":"https://github.com/citation-style-language/schema/raw/master/csl-citation.json"} </w:instrText>
      </w:r>
      <w:r>
        <w:fldChar w:fldCharType="separate"/>
      </w:r>
      <w:r>
        <w:rPr>
          <w:noProof/>
        </w:rPr>
        <w:t>(Cutter et al., 2003, p.1)</w:t>
      </w:r>
      <w:r>
        <w:fldChar w:fldCharType="end"/>
      </w:r>
      <w:r>
        <w:t xml:space="preserve">. Social vulnerability captures the observation that the potential for loss oftentimes differs systematically across socioeconomic groups </w:t>
      </w:r>
      <w:r w:rsidR="0099590D">
        <w:t xml:space="preserve">through </w:t>
      </w:r>
      <w:r>
        <w:t xml:space="preserve">factors like poverty, inequality, and marginalization </w:t>
      </w:r>
      <w:r>
        <w:fldChar w:fldCharType="begin"/>
      </w:r>
      <w:r>
        <w:instrText xml:space="preserve"> ADDIN ZOTERO_ITEM CSL_CITATION {"citationID":"okHMIFRr","properties":{"formattedCitation":"(Cutter et al., 2003)","plainCitation":"(Cutter et al., 2003)","noteIndex":0},"citationItems":[{"id":1064,"uris":["http://zotero.org/users/10735550/items/KAEYI8TT"],"itemData":{"id":1064,"type":"article-journal","abstract":"Objective.\n              County</w:instrText>
      </w:r>
      <w:r>
        <w:rPr>
          <w:rFonts w:ascii="Cambria Math" w:hAnsi="Cambria Math" w:cs="Cambria Math"/>
        </w:rPr>
        <w:instrText>‐</w:instrText>
      </w:r>
      <w:r>
        <w:instrText xml:space="preserve">level socioeconomic and demographic data were used to construct an index of social vulnerability to environmental hazards, called the Social Vulnerability Index (SoVI) for the United States based on 1990 data.\n            \n            \n              Methods.\n              Using a factor analytic approach, 42 variables were reduced to 11 independent factors that accounted for about 76 percent of the variance. These factors were placed in an additive model to compute a summary score—the Social Vulnerability Index.\n            \n            \n              Results.\n              There are some distinct spatial patterns in the SoVI, with the most vulnerable counties clustered in metropolitan counties in the east, south Texas, and the Mississippi Delta region.\n            \n            \n              Conclusion.\n              Those factors that contribute to the overall score often are different for each county, underscoring the interactive nature of social vulnerability—some components increase vulnerability; others moderate the effects.","container-title":"Social Science Quarterly","DOI":"10.1111/1540-6237.8402002","ISSN":"0038-4941, 1540-6237","issue":"2","journalAbbreviation":"Social Science Quarterly","language":"en","license":"http://onlinelibrary.wiley.com/termsAndConditions#vor","page":"242-261","source":"DOI.org (Crossref)","title":"Social Vulnerability to Environmental Hazards&lt;sup&gt;*&lt;/sup&gt;","volume":"84","author":[{"family":"Cutter","given":"Susan L."},{"family":"Boruff","given":"Bryan J."},{"family":"Shirley","given":"W. Lynn"}],"issued":{"date-parts":[["2003",6]]}}}],"schema":"https://github.com/citation-style-language/schema/raw/master/csl-citation.json"} </w:instrText>
      </w:r>
      <w:r>
        <w:fldChar w:fldCharType="separate"/>
      </w:r>
      <w:r>
        <w:rPr>
          <w:noProof/>
        </w:rPr>
        <w:t>(Cutter et al., 2003)</w:t>
      </w:r>
      <w:r>
        <w:fldChar w:fldCharType="end"/>
      </w:r>
      <w:r>
        <w:t>.</w:t>
      </w:r>
    </w:p>
    <w:p w14:paraId="6B688203" w14:textId="77777777" w:rsidR="00A35F8D" w:rsidRDefault="00A35F8D" w:rsidP="00A35F8D">
      <w:pPr>
        <w:jc w:val="both"/>
      </w:pPr>
    </w:p>
    <w:p w14:paraId="773D14FC" w14:textId="37F29734" w:rsidR="00A35F8D" w:rsidRDefault="00A35F8D" w:rsidP="00A35F8D">
      <w:pPr>
        <w:jc w:val="both"/>
      </w:pPr>
      <w:r>
        <w:t>&lt;</w:t>
      </w:r>
      <w:r w:rsidR="009028C3">
        <w:t xml:space="preserve">adaptive capacity, </w:t>
      </w:r>
      <w:r>
        <w:t>preparedness and adaptation&gt;</w:t>
      </w:r>
    </w:p>
    <w:p w14:paraId="253E205A" w14:textId="5F79D090" w:rsidR="0099590D" w:rsidRDefault="0099590D" w:rsidP="00A35F8D">
      <w:pPr>
        <w:jc w:val="both"/>
      </w:pPr>
      <w:r>
        <w:t xml:space="preserve">Vulnerability is lower in systems with high adaptive capacity </w:t>
      </w:r>
      <w:r>
        <w:fldChar w:fldCharType="begin"/>
      </w:r>
      <w:r>
        <w:instrText xml:space="preserve"> ADDIN ZOTERO_ITEM CSL_CITATION {"citationID":"RvnMe4GV","properties":{"formattedCitation":"(Engle, 2011)","plainCitation":"(Engle, 2011)","noteIndex":0},"citationItems":[{"id":1060,"uris":["http://zotero.org/users/10735550/items/XH9NWLZN"],"itemData":{"id":1060,"type":"article-journal","abstract":"This paper reviews the concept of adaptive capacity and various approaches to assessing it, particularly with respect to climate variability and change. I ﬁnd that adaptive capacity is a relatively underresearched topic within the sustainability science and global change communities, particularly since it is uniquely positioned to improve linkages between vulnerability and resilience research. I identify opportunities for advancing the measurement and characterization of adaptive capacity by combining insights from both vulnerability and resilience frameworks, and I suggest several assessment approaches for possible future development that draw from both frameworks and focus on analyzing the governance, institutions, and management that have helped foster adaptive capacity in light of recent climatic events.","container-title":"Global Environmental Change","DOI":"10.1016/j.gloenvcha.2011.01.019","ISSN":"09593780","issue":"2","journalAbbreviation":"Global Environmental Change","language":"en","license":"https://www.elsevier.com/tdm/userlicense/1.0/","page":"647-656","source":"DOI.org (Crossref)","title":"Adaptive capacity and its assessment","volume":"21","author":[{"family":"Engle","given":"Nathan L."}],"issued":{"date-parts":[["2011",5]]}}}],"schema":"https://github.com/citation-style-language/schema/raw/master/csl-citation.json"} </w:instrText>
      </w:r>
      <w:r>
        <w:fldChar w:fldCharType="separate"/>
      </w:r>
      <w:r>
        <w:rPr>
          <w:noProof/>
        </w:rPr>
        <w:t>(Engle, 2011)</w:t>
      </w:r>
      <w:r>
        <w:fldChar w:fldCharType="end"/>
      </w:r>
      <w:r>
        <w:t xml:space="preserve">. Originating from ecology and since often used in the context of system dynamics and climate studies, adaptive capacity is describing a </w:t>
      </w:r>
      <w:r w:rsidR="009C00BA">
        <w:t>“</w:t>
      </w:r>
      <w:r>
        <w:t xml:space="preserve">system’s </w:t>
      </w:r>
      <w:r w:rsidR="009C00BA">
        <w:t>(</w:t>
      </w:r>
      <w:r>
        <w:t>culture’s</w:t>
      </w:r>
      <w:r w:rsidR="009C00BA">
        <w:t>)</w:t>
      </w:r>
      <w:r>
        <w:t xml:space="preserve"> ability to adapt fast and easily to exogenous change</w:t>
      </w:r>
      <w:r w:rsidR="009C00BA">
        <w:t xml:space="preserve"> </w:t>
      </w:r>
      <w:r w:rsidR="009C00BA">
        <w:fldChar w:fldCharType="begin"/>
      </w:r>
      <w:r w:rsidR="009C00BA">
        <w:instrText xml:space="preserve"> ADDIN ZOTERO_ITEM CSL_CITATION {"citationID":"JfVA71tw","properties":{"formattedCitation":"(Denevan, 1983)","plainCitation":"(Denevan, 1983)","noteIndex":0},"citationItems":[{"id":1101,"uris":["http://zotero.org/users/10735550/items/FGIZ5YT6"],"itemData":{"id":1101,"type":"article-journal","abstract":"Explanation in much of cultural geography has been historical, change being attributed to the availability of new ideas through innovation and diffusion. This approach, however, does not tell us why an idea is adopted. A potentially useful concept for cultural geography is that of adaptation, or strategy for survival, with attention to variation and its origins, the process of selection from variation, and either change or resilience in the face of environmental change.","container-title":"The Professional Geographer","DOI":"10.1111/j.0033-0124.1983.00399.x","ISSN":"0033-0124","issue":"4","note":"publisher: Routledge\n_eprint: https://doi.org/10.1111/j.0033-0124.1983.00399.x","page":"399-407","source":"Taylor and Francis+NEJM","title":"Adaptation, Variation, and Cultural Geography</w:instrText>
      </w:r>
      <w:r w:rsidR="009C00BA">
        <w:rPr>
          <w:rFonts w:ascii="Cambria Math" w:hAnsi="Cambria Math" w:cs="Cambria Math"/>
        </w:rPr>
        <w:instrText>∗</w:instrText>
      </w:r>
      <w:r w:rsidR="009C00BA">
        <w:instrText xml:space="preserve">","volume":"35","author":[{"family":"Denevan","given":"William M."}],"issued":{"date-parts":[["1983",11,1]]}}}],"schema":"https://github.com/citation-style-language/schema/raw/master/csl-citation.json"} </w:instrText>
      </w:r>
      <w:r w:rsidR="009C00BA">
        <w:fldChar w:fldCharType="separate"/>
      </w:r>
      <w:r w:rsidR="009C00BA">
        <w:rPr>
          <w:noProof/>
        </w:rPr>
        <w:t>(Denevan, 1983)</w:t>
      </w:r>
      <w:r w:rsidR="009C00BA">
        <w:fldChar w:fldCharType="end"/>
      </w:r>
      <w:r w:rsidR="009C00BA">
        <w:t>.</w:t>
      </w:r>
      <w:r w:rsidR="0001711D">
        <w:t xml:space="preserve"> </w:t>
      </w:r>
      <w:commentRangeStart w:id="11"/>
      <w:r w:rsidR="00FA5BC2">
        <w:t xml:space="preserve">The concept applies to environmental and social systems </w:t>
      </w:r>
      <w:r w:rsidR="009028C3">
        <w:t>alik</w:t>
      </w:r>
      <w:commentRangeEnd w:id="11"/>
      <w:r w:rsidR="009028C3">
        <w:rPr>
          <w:rStyle w:val="CommentReference"/>
        </w:rPr>
        <w:commentReference w:id="11"/>
      </w:r>
      <w:r w:rsidR="009028C3">
        <w:t>e</w:t>
      </w:r>
      <w:r w:rsidR="00FA5BC2">
        <w:t xml:space="preserve">. Adaptation itself constitutes “manifestations of adaptive capacity” </w:t>
      </w:r>
      <w:r w:rsidR="00FA5BC2">
        <w:fldChar w:fldCharType="begin"/>
      </w:r>
      <w:r w:rsidR="00FA5BC2">
        <w:instrText xml:space="preserve"> ADDIN ZOTERO_ITEM CSL_CITATION {"citationID":"HPDJMyaz","properties":{"formattedCitation":"(Smit &amp; Wandel, 2006)","plainCitation":"(Smit &amp; Wandel, 2006)","dontUpdate":true,"noteIndex":0},"citationItems":[{"id":1061,"uris":["http://zotero.org/users/10735550/items/NSGPJYLT"],"itemData":{"id":1061,"type":"article-journal","abstract":"This paper reviews the concept of adaptation of human communities to global changes, especially climate change, in the context of adaptive capacity and vulnerability. It focuses on scholarship that contributes to practical implementation of adaptations at the community scale. In numerous social science ﬁelds, adaptations are considered as responses to risks associated with the interaction of environmental hazards and human vulnerability or adaptive capacity. In the climate change ﬁeld, adaptation analyses have been undertaken for several distinct purposes. Impact assessments assume adaptations to estimate damages to longer term climate scenarios with and without adjustments. Evaluations of speciﬁed adaptation options aim to identify preferred measures. Vulnerability indices seek to provide relative vulnerability scores for countries, regions or communities. The main purpose of participatory vulnerability assessments is to identify adaptation strategies that are feasible and practical in communities. The distinctive features of adaptation analyses with this purpose are outlined, and common elements of this approach are described. Practical adaptation initiatives tend to focus on risks that are already problematic, climate is considered together with other environmental and social stresses, and adaptations are mostly integrated or mainstreamed into other resource management, disaster preparedness and sustainable development programs. r 2006 Elsevier Ltd. All rights reserved.","container-title":"Global Environmental Change","DOI":"10.1016/j.gloenvcha.2006.03.008","ISSN":"09593780","issue":"3","journalAbbreviation":"Global Environmental Change","language":"en","license":"https://www.elsevier.com/tdm/userlicense/1.0/","page":"282-292","source":"DOI.org (Crossref)","title":"Adaptation, adaptive capacity and vulnerability","volume":"16","author":[{"family":"Smit","given":"Barry"},{"family":"Wandel","given":"Johanna"}],"issued":{"date-parts":[["2006",8]]}}}],"schema":"https://github.com/citation-style-language/schema/raw/master/csl-citation.json"} </w:instrText>
      </w:r>
      <w:r w:rsidR="00FA5BC2">
        <w:fldChar w:fldCharType="separate"/>
      </w:r>
      <w:r w:rsidR="00FA5BC2">
        <w:rPr>
          <w:noProof/>
        </w:rPr>
        <w:t>(Smit &amp; Wandel, 2006, p.5)</w:t>
      </w:r>
      <w:r w:rsidR="00FA5BC2">
        <w:fldChar w:fldCharType="end"/>
      </w:r>
      <w:r w:rsidR="00FA5BC2">
        <w:t xml:space="preserve">. </w:t>
      </w:r>
      <w:r w:rsidR="00BB7903">
        <w:t xml:space="preserve">In disaster research – and in this thesis – the terms adaptation and preparedness are used interchangeably </w:t>
      </w:r>
      <w:r w:rsidR="00BB7903">
        <w:fldChar w:fldCharType="begin"/>
      </w:r>
      <w:r w:rsidR="00BB7903">
        <w:instrText xml:space="preserve"> ADDIN ZOTERO_ITEM CSL_CITATION {"citationID":"jxMQjUm7","properties":{"formattedCitation":"(Koerth et al., 2017)","plainCitation":"(Koerth et al., 2017)","noteIndex":0},"citationItems":[{"id":1114,"uris":["http://zotero.org/users/10735550/items/9RL9PA2B"],"itemData":{"id":1114,"type":"article-journal","abstract":"Evidence</w:instrText>
      </w:r>
      <w:r w:rsidR="00BB7903">
        <w:rPr>
          <w:rFonts w:ascii="Cambria Math" w:hAnsi="Cambria Math" w:cs="Cambria Math"/>
        </w:rPr>
        <w:instrText>‐</w:instrText>
      </w:r>
      <w:r w:rsidR="00BB7903">
        <w:instrText>based information on household</w:instrText>
      </w:r>
      <w:r w:rsidR="00BB7903">
        <w:rPr>
          <w:rFonts w:ascii="Cambria Math" w:hAnsi="Cambria Math" w:cs="Cambria Math"/>
        </w:rPr>
        <w:instrText>‐</w:instrText>
      </w:r>
      <w:r w:rsidR="00BB7903">
        <w:instrText>level adaptation is an important element of integrated management of vulnerable coastal regions. A growing number of empirical studies deal with household</w:instrText>
      </w:r>
      <w:r w:rsidR="00BB7903">
        <w:rPr>
          <w:rFonts w:ascii="Cambria Math" w:hAnsi="Cambria Math" w:cs="Cambria Math"/>
        </w:rPr>
        <w:instrText>‐</w:instrText>
      </w:r>
      <w:r w:rsidR="00BB7903">
        <w:instrText>level adaptation at the coast in different regions. This article provides a systematic review of these studies. We analyze studies according to how households in different parts of the world are currently adapting, or how they are intending to adapt, and identify explanatory factors for adaptation behavior and intention. We find that households implement a broad range of adaptation measures and that adaptation behavior is explained by individual factors such as socioeconomic and cognitive variables, experience, and perceived responsibilities. Nonpersonal characteristics have also been used to explain adaptation behavior and intention but have not been extensively investigated. Few studies employ qualitative research methods and use inductive approaches as well as models stemming from behavioral economics. Our findings suggest that coastal risk management policies should communicate the efficacy of household</w:instrText>
      </w:r>
      <w:r w:rsidR="00BB7903">
        <w:rPr>
          <w:rFonts w:ascii="Cambria Math" w:hAnsi="Cambria Math" w:cs="Cambria Math"/>
        </w:rPr>
        <w:instrText>‐</w:instrText>
      </w:r>
      <w:r w:rsidR="00BB7903">
        <w:instrText>level adaptation, in addition to information about flood risk, in order to encourage coastal households in their adaptation activities. In this context, we discuss the role of resources and responsibility of households for their adaptation behavior. We describe the lessons learnt and formulate a research agenda on household</w:instrText>
      </w:r>
      <w:r w:rsidR="00BB7903">
        <w:rPr>
          <w:rFonts w:ascii="Cambria Math" w:hAnsi="Cambria Math" w:cs="Cambria Math"/>
        </w:rPr>
        <w:instrText>‐</w:instrText>
      </w:r>
      <w:r w:rsidR="00BB7903">
        <w:instrText>level adaptation to coastal flood risk. In practice, coastal risk management policies should further promote individually driven adaptation by integrating it in adaptation strategies and processes.","container-title":"Risk Analysis","DOI":"10.1111/risa.12663","ISSN":"0272-4332, 1539-6924","issue":"4","journalAbbreviation":"Risk Analysis","language":"en","license":"http://onlinelibrary.wiley.com/termsAndConditions#vor","page":"629-646","source":"DOI.org (Crossref)","title":"Household</w:instrText>
      </w:r>
      <w:r w:rsidR="00BB7903">
        <w:rPr>
          <w:rFonts w:ascii="Cambria Math" w:hAnsi="Cambria Math" w:cs="Cambria Math"/>
        </w:rPr>
        <w:instrText>‐</w:instrText>
      </w:r>
      <w:r w:rsidR="00BB7903">
        <w:instrText>Level Coastal Adaptation and Its Drivers: A Systematic Case Study Review","title-short":"Household</w:instrText>
      </w:r>
      <w:r w:rsidR="00BB7903">
        <w:rPr>
          <w:rFonts w:ascii="Cambria Math" w:hAnsi="Cambria Math" w:cs="Cambria Math"/>
        </w:rPr>
        <w:instrText>‐</w:instrText>
      </w:r>
      <w:r w:rsidR="00BB7903">
        <w:instrText xml:space="preserve">Level Coastal Adaptation and Its Drivers","volume":"37","author":[{"family":"Koerth","given":"Jana"},{"family":"Vafeidis","given":"Athanasios T."},{"family":"Hinkel","given":"Jochen"}],"issued":{"date-parts":[["2017",4]]}}}],"schema":"https://github.com/citation-style-language/schema/raw/master/csl-citation.json"} </w:instrText>
      </w:r>
      <w:r w:rsidR="00BB7903">
        <w:fldChar w:fldCharType="separate"/>
      </w:r>
      <w:r w:rsidR="00BB7903">
        <w:rPr>
          <w:noProof/>
        </w:rPr>
        <w:t>(Koerth et al., 2017)</w:t>
      </w:r>
      <w:r w:rsidR="00BB7903">
        <w:fldChar w:fldCharType="end"/>
      </w:r>
      <w:r w:rsidR="00BB7903">
        <w:t>.</w:t>
      </w:r>
    </w:p>
    <w:p w14:paraId="7AD23094" w14:textId="38B75F54" w:rsidR="002060E3" w:rsidRDefault="002060E3" w:rsidP="00A35F8D">
      <w:pPr>
        <w:jc w:val="both"/>
      </w:pPr>
    </w:p>
    <w:p w14:paraId="400FC4F7" w14:textId="7DCBEC49" w:rsidR="00E6026C" w:rsidRDefault="002060E3" w:rsidP="00A35F8D">
      <w:pPr>
        <w:jc w:val="both"/>
      </w:pPr>
      <w:r>
        <w:t>Adaptation also constitutes a human response to risk. We often observe adaptation as a result of interaction between exogenous shocks such as flood event</w:t>
      </w:r>
      <w:r w:rsidR="00DF0697">
        <w:t>s</w:t>
      </w:r>
      <w:r>
        <w:t xml:space="preserve"> on one hand and human adaptive capacity and vulnerability on the other </w:t>
      </w:r>
      <w:r>
        <w:fldChar w:fldCharType="begin"/>
      </w:r>
      <w:r>
        <w:instrText xml:space="preserve"> ADDIN ZOTERO_ITEM CSL_CITATION {"citationID":"DtBiucpH","properties":{"formattedCitation":"(Smit &amp; Wandel, 2006)","plainCitation":"(Smit &amp; Wandel, 2006)","noteIndex":0},"citationItems":[{"id":1061,"uris":["http://zotero.org/users/10735550/items/NSGPJYLT"],"itemData":{"id":1061,"type":"article-journal","abstract":"This paper reviews the concept of adaptation of human communities to global changes, especially climate change, in the context of adaptive capacity and vulnerability. It focuses on scholarship that contributes to practical implementation of adaptations at the community scale. In numerous social science ﬁelds, adaptations are considered as responses to risks associated with the interaction of environmental hazards and human vulnerability or adaptive capacity. In the climate change ﬁeld, adaptation analyses have been undertaken for several distinct purposes. Impact assessments assume adaptations to estimate damages to longer term climate scenarios with and without adjustments. Evaluations of speciﬁed adaptation options aim to identify preferred measures. Vulnerability indices seek to provide relative vulnerability scores for countries, regions or communities. The main purpose of participatory vulnerability assessments is to identify adaptation strategies that are feasible and practical in communities. The distinctive features of adaptation analyses with this purpose are outlined, and common elements of this approach are described. Practical adaptation initiatives tend to focus on risks that are already problematic, climate is considered together with other environmental and social stresses, and adaptations are mostly integrated or mainstreamed into other resource management, disaster preparedness and sustainable development programs. r 2006 Elsevier Ltd. All rights reserved.","container-title":"Global Environmental Change","DOI":"10.1016/j.gloenvcha.2006.03.008","ISSN":"09593780","issue":"3","journalAbbreviation":"Global Environmental Change","language":"en","license":"https://www.elsevier.com/tdm/userlicense/1.0/","page":"282-292","source":"DOI.org (Crossref)","title":"Adaptation, adaptive capacity and vulnerability","volume":"16","author":[{"family":"Smit","given":"Barry"},{"family":"Wandel","given":"Johanna"}],"issued":{"date-parts":[["2006",8]]}}}],"schema":"https://github.com/citation-style-language/schema/raw/master/csl-citation.json"} </w:instrText>
      </w:r>
      <w:r>
        <w:fldChar w:fldCharType="separate"/>
      </w:r>
      <w:r>
        <w:rPr>
          <w:noProof/>
        </w:rPr>
        <w:t>(Smit &amp; Wandel, 2006)</w:t>
      </w:r>
      <w:r>
        <w:fldChar w:fldCharType="end"/>
      </w:r>
      <w:r>
        <w:t xml:space="preserve">. Whereas adaptive capacity describes the potential for adaptation, adaptation outcomes describe the consequences of adaptation. </w:t>
      </w:r>
      <w:r w:rsidR="00DF0697">
        <w:t xml:space="preserve">Specifically, adaptation outcomes describe the long-term effect of adaptation measures aimed at improving livelihood, for instance by </w:t>
      </w:r>
      <w:r w:rsidR="00DF0697">
        <w:lastRenderedPageBreak/>
        <w:t xml:space="preserve">reducing expected damage to assets </w:t>
      </w:r>
      <w:r w:rsidR="00DF0697">
        <w:fldChar w:fldCharType="begin"/>
      </w:r>
      <w:r w:rsidR="00DF0697">
        <w:instrText xml:space="preserve"> ADDIN ZOTERO_ITEM CSL_CITATION {"citationID":"Gd6XptLL","properties":{"formattedCitation":"(Donatti et al., 2020)","plainCitation":"(Donatti et al., 2020)","noteIndex":0},"citationItems":[{"id":1100,"uris":["http://zotero.org/users/10735550/items/HAJ8LVDZ"],"itemData":{"id":1100,"type":"article-journal","abstract":"Ecosystem-based adaptation (EbA) is the use of biodiversity and ecosystem services as part of a strategy to help people adapt to climate change. Despite the potential of EbA to provide adaptation benefits, there is a lack of consensus on how to measure the success of this approach. This paper reviews the intended adaptation outcomes and indicators used by ongoing and completed EbA projects and addresses the following questions: (a) where have EbA projects been implemented? (b) what activities have been conducted by EbA projects? (c) what adaptation outcomes are EbA projects seeking to achieve? (d) how have the impacts of EbA projects been measured and evaluated? and (e) what is the set of indicators that can capture the diversity of adaptation outcomes achieved by EbA? To identify the adaptation outcomes provided by EbA and the indicators that could be used to measure such outcomes, we reviewed 58 EbA projects implemented globally, and obtained recommendations from experts on what indicators should be measured. We identified 13 adaptation outcomes that could be achieved through EbA, such as reducing the loss of assets of coastal communities due to extreme events. We identified seven indicators to monitor the success of EbA in achieving adaptation outcomes. Our review suggests that there is a strong need to better articulate the adaptation outcomes that EbA projects seek to achieve, to use a common set of specific indicators to track these outcomes, and to fund the monitoring of long-term EbA projects.","container-title":"Climatic Change","DOI":"10.1007/s10584-019-02565-9","ISSN":"0165-0009, 1573-1480","issue":"3-4","journalAbbreviation":"Climatic Change","language":"en","page":"413-433","source":"DOI.org (Crossref)","title":"Indicators to measure the climate change adaptation outcomes of ecosystem-based adaptation","volume":"158","author":[{"family":"Donatti","given":"Camila I."},{"family":"Harvey","given":"Celia A."},{"family":"Hole","given":"David"},{"family":"Panfil","given":"Steven N."},{"family":"Schurman","given":"Hanna"}],"issued":{"date-parts":[["2020",2]]}}}],"schema":"https://github.com/citation-style-language/schema/raw/master/csl-citation.json"} </w:instrText>
      </w:r>
      <w:r w:rsidR="00DF0697">
        <w:fldChar w:fldCharType="separate"/>
      </w:r>
      <w:r w:rsidR="00DF0697">
        <w:rPr>
          <w:noProof/>
        </w:rPr>
        <w:t>(Donatti et al., 2020)</w:t>
      </w:r>
      <w:r w:rsidR="00DF0697">
        <w:fldChar w:fldCharType="end"/>
      </w:r>
      <w:r w:rsidR="00DF0697">
        <w:t xml:space="preserve">. </w:t>
      </w:r>
      <w:r w:rsidR="009028C3">
        <w:t>While adaptation is often referring to single instances of agent-level observations, the concepts of adaptive capacity and adaptation outcomes usually refer to system-level (e.g., macro level) phenomena</w:t>
      </w:r>
      <w:r w:rsidR="0065758F">
        <w:t>. As such, adaptation outcomes often emerge from individual adaptation.</w:t>
      </w:r>
    </w:p>
    <w:p w14:paraId="3E2C73F9" w14:textId="77777777" w:rsidR="00E6026C" w:rsidRDefault="00E6026C" w:rsidP="00A35F8D">
      <w:pPr>
        <w:jc w:val="both"/>
      </w:pPr>
    </w:p>
    <w:p w14:paraId="2B06CC39" w14:textId="3B455F61" w:rsidR="0065758F" w:rsidRDefault="0065758F" w:rsidP="00A35F8D">
      <w:pPr>
        <w:jc w:val="both"/>
      </w:pPr>
      <w:r>
        <w:t>&lt;emergence&gt;</w:t>
      </w:r>
    </w:p>
    <w:p w14:paraId="4C9A1F46" w14:textId="27CE27D3" w:rsidR="0065758F" w:rsidRDefault="0065758F" w:rsidP="00A35F8D">
      <w:pPr>
        <w:jc w:val="both"/>
      </w:pPr>
      <w:r>
        <w:t>Emergence</w:t>
      </w:r>
      <w:r w:rsidRPr="0065758F">
        <w:t xml:space="preserve"> denotes system</w:t>
      </w:r>
      <w:r w:rsidRPr="0065758F">
        <w:rPr>
          <w:rFonts w:ascii="Cambria Math" w:hAnsi="Cambria Math" w:cs="Cambria Math"/>
        </w:rPr>
        <w:t>‑</w:t>
      </w:r>
      <w:r w:rsidRPr="0065758F">
        <w:t xml:space="preserve">level regularities that “arise from </w:t>
      </w:r>
      <w:r w:rsidRPr="0065758F">
        <w:t>decentralized</w:t>
      </w:r>
      <w:r w:rsidRPr="0065758F">
        <w:t xml:space="preserve"> bilateral interactions”</w:t>
      </w:r>
      <w:r>
        <w:t xml:space="preserve"> (source)</w:t>
      </w:r>
      <w:r w:rsidRPr="0065758F">
        <w:t xml:space="preserve"> among boundedly rational agents</w:t>
      </w:r>
      <w:r>
        <w:t>. Prominent examples are Schelling segregations, flocking swarms or boom-bust cycles that materialize on the aggregate level without agentic intention or coordination. E</w:t>
      </w:r>
      <w:r w:rsidRPr="0065758F">
        <w:t xml:space="preserve">mergent </w:t>
      </w:r>
      <w:r w:rsidRPr="0065758F">
        <w:t>behavior</w:t>
      </w:r>
      <w:r w:rsidRPr="0065758F">
        <w:t xml:space="preserve"> is </w:t>
      </w:r>
      <w:r>
        <w:t xml:space="preserve">best understood as </w:t>
      </w:r>
      <w:r w:rsidRPr="0065758F">
        <w:t>an internal property of model structure rather than a</w:t>
      </w:r>
      <w:r w:rsidR="00564DFF">
        <w:t xml:space="preserve"> consequence </w:t>
      </w:r>
      <w:r w:rsidRPr="0065758F">
        <w:t>of external shocks.</w:t>
      </w:r>
      <w:r w:rsidR="00564DFF">
        <w:t xml:space="preserve"> </w:t>
      </w:r>
    </w:p>
    <w:p w14:paraId="2009D298" w14:textId="77777777" w:rsidR="00564DFF" w:rsidRDefault="00564DFF" w:rsidP="00A35F8D">
      <w:pPr>
        <w:jc w:val="both"/>
      </w:pPr>
    </w:p>
    <w:p w14:paraId="553F2049" w14:textId="567CC320" w:rsidR="00564DFF" w:rsidRDefault="00564DFF" w:rsidP="00A35F8D">
      <w:pPr>
        <w:jc w:val="both"/>
      </w:pPr>
      <w:r>
        <w:t>I</w:t>
      </w:r>
      <w:r w:rsidRPr="00564DFF">
        <w:t xml:space="preserve">n economics, emergence is </w:t>
      </w:r>
      <w:r w:rsidRPr="00564DFF">
        <w:t>epitomized</w:t>
      </w:r>
      <w:r w:rsidRPr="00564DFF">
        <w:t xml:space="preserve"> by Hayek’s </w:t>
      </w:r>
      <w:r>
        <w:t xml:space="preserve">(source) </w:t>
      </w:r>
      <w:r w:rsidRPr="00564DFF">
        <w:t xml:space="preserve">notion of spontaneous order, wherein markets, price systems and legal norms form as unintended outcomes of </w:t>
      </w:r>
      <w:r>
        <w:t xml:space="preserve">agent-level </w:t>
      </w:r>
      <w:r w:rsidRPr="00564DFF">
        <w:t xml:space="preserve">transactions that exceed </w:t>
      </w:r>
      <w:r>
        <w:t xml:space="preserve">policy maker’s </w:t>
      </w:r>
      <w:r w:rsidRPr="00564DFF">
        <w:t>design capacity.  Complexity economics formali</w:t>
      </w:r>
      <w:r>
        <w:t>z</w:t>
      </w:r>
      <w:r w:rsidRPr="00564DFF">
        <w:t xml:space="preserve">es this insight by treating the economy as a </w:t>
      </w:r>
      <w:r>
        <w:t>“</w:t>
      </w:r>
      <w:r w:rsidRPr="00564DFF">
        <w:t>nonequilibrium computational process</w:t>
      </w:r>
      <w:r>
        <w:t>” (source)</w:t>
      </w:r>
      <w:r w:rsidRPr="00564DFF">
        <w:t xml:space="preserve"> whose agents adapt to</w:t>
      </w:r>
      <w:r>
        <w:t xml:space="preserve"> – thereby simultaneously reshaping – the </w:t>
      </w:r>
      <w:r w:rsidRPr="00564DFF">
        <w:t>aggregate environment, so that “patterns emerge probabilistically, last for some time and dissipate”</w:t>
      </w:r>
      <w:r>
        <w:t xml:space="preserve"> (source).</w:t>
      </w:r>
      <w:r w:rsidRPr="00564DFF">
        <w:t xml:space="preserve">  </w:t>
      </w:r>
    </w:p>
    <w:p w14:paraId="3FF7A0DB" w14:textId="77777777" w:rsidR="0065758F" w:rsidRDefault="0065758F" w:rsidP="00A35F8D">
      <w:pPr>
        <w:jc w:val="both"/>
      </w:pPr>
    </w:p>
    <w:p w14:paraId="5F35CF22" w14:textId="565316AF" w:rsidR="00A35F8D" w:rsidRDefault="00A35F8D" w:rsidP="00A35F8D">
      <w:pPr>
        <w:jc w:val="both"/>
      </w:pPr>
      <w:r>
        <w:t>&lt;bounded rationality&gt;</w:t>
      </w:r>
    </w:p>
    <w:p w14:paraId="600385C2" w14:textId="022F50BA" w:rsidR="00564DFF" w:rsidRDefault="00E6026C" w:rsidP="00564DFF">
      <w:pPr>
        <w:jc w:val="both"/>
      </w:pPr>
      <w:r>
        <w:t>Emergent</w:t>
      </w:r>
      <w:r w:rsidR="00DB20E3">
        <w:t xml:space="preserve"> adaptation is often assumed to be subject to bounded rationality</w:t>
      </w:r>
      <w:r>
        <w:t xml:space="preserve"> (source)</w:t>
      </w:r>
      <w:r w:rsidR="00DB20E3">
        <w:t xml:space="preserve">. </w:t>
      </w:r>
      <w:r>
        <w:t xml:space="preserve">(Source) argues that a rational agent’s </w:t>
      </w:r>
      <w:r w:rsidR="00564DFF">
        <w:t>decision-making</w:t>
      </w:r>
      <w:r>
        <w:t xml:space="preserve"> process is limited by limited information available, limited </w:t>
      </w:r>
      <w:r w:rsidR="00564DFF">
        <w:t xml:space="preserve">decision </w:t>
      </w:r>
      <w:r>
        <w:t xml:space="preserve">time, and limited </w:t>
      </w:r>
      <w:commentRangeStart w:id="12"/>
      <w:r>
        <w:t>computed to make the decision</w:t>
      </w:r>
      <w:commentRangeEnd w:id="12"/>
      <w:r w:rsidR="00564DFF">
        <w:rPr>
          <w:rStyle w:val="CommentReference"/>
        </w:rPr>
        <w:commentReference w:id="12"/>
      </w:r>
      <w:r>
        <w:t xml:space="preserve">. The more limited either one of these three resources are in the </w:t>
      </w:r>
      <w:r w:rsidR="00564DFF">
        <w:t>decision-making</w:t>
      </w:r>
      <w:r>
        <w:t xml:space="preserve"> process, the more the agent relies on heuristics and the less optimal the decision</w:t>
      </w:r>
      <w:r w:rsidR="00066955">
        <w:t xml:space="preserve"> (source)</w:t>
      </w:r>
      <w:r>
        <w:t>.</w:t>
      </w:r>
      <w:r w:rsidR="00066955">
        <w:t xml:space="preserve"> </w:t>
      </w:r>
      <w:r w:rsidR="00564DFF">
        <w:t>Bounded rationality is key to understanding human adaptation behavior in disaster settings, as different types of adaptation are subject to more time constraint and heuristic decision making then others.</w:t>
      </w:r>
    </w:p>
    <w:p w14:paraId="52DCA028" w14:textId="77777777" w:rsidR="00564DFF" w:rsidRDefault="00564DFF" w:rsidP="00564DFF">
      <w:pPr>
        <w:jc w:val="both"/>
      </w:pPr>
    </w:p>
    <w:p w14:paraId="4A2AD675" w14:textId="35A3843B" w:rsidR="003B45FD" w:rsidRDefault="003B45FD" w:rsidP="003B45FD">
      <w:pPr>
        <w:pStyle w:val="Heading2"/>
        <w:numPr>
          <w:ilvl w:val="1"/>
          <w:numId w:val="6"/>
        </w:numPr>
      </w:pPr>
      <w:bookmarkStart w:id="13" w:name="_Toc197002964"/>
      <w:r>
        <w:t>Types of Adaptation</w:t>
      </w:r>
      <w:bookmarkEnd w:id="13"/>
      <w:r>
        <w:t xml:space="preserve"> </w:t>
      </w:r>
    </w:p>
    <w:p w14:paraId="64CFDDC0" w14:textId="77777777" w:rsidR="00E4436F" w:rsidRDefault="00E4436F" w:rsidP="00E4436F"/>
    <w:p w14:paraId="37B6A46B" w14:textId="06EA47C4" w:rsidR="00E4436F" w:rsidRDefault="00E4436F" w:rsidP="00E4436F">
      <w:r>
        <w:t>&lt;autonomous v planned&gt;</w:t>
      </w:r>
    </w:p>
    <w:p w14:paraId="3A5D0F9C" w14:textId="7B56D29E" w:rsidR="0083434B" w:rsidRDefault="00C57B36" w:rsidP="00202D66">
      <w:pPr>
        <w:jc w:val="both"/>
      </w:pPr>
      <w:r>
        <w:fldChar w:fldCharType="begin"/>
      </w:r>
      <w:r>
        <w:instrText xml:space="preserve"> ADDIN ZOTERO_ITEM CSL_CITATION {"citationID":"zglPw9Yu","properties":{"formattedCitation":"(Carter et al., 1994)","plainCitation":"(Carter et al., 1994)","noteIndex":0},"citationItems":[{"id":1307,"uris":["http://zotero.org/users/10735550/items/QIESXN8Y"],"itemData":{"id":1307,"type":"report","publisher":"Department of Gography, University College London","title":"IPCC Technical Guidelines for Assessing Climate Change Impacts and Adaptations — IPCC","URL":"https://www.ipcc.ch/report/ipcc-technical-guidelines-for-assessing-climate-change-impacts-and-adaptations-2/","author":[{"family":"Carter","given":"T.R."},{"family":"Parry","given":"M.L."},{"family":"Harasawa","given":"Nishioka","suffix":"S."},{"family":"Nishioka","given":"S."}],"accessed":{"date-parts":[["2025",5,4]]},"issued":{"date-parts":[["1994"]]}}}],"schema":"https://github.com/citation-style-language/schema/raw/master/csl-citation.json"} </w:instrText>
      </w:r>
      <w:r>
        <w:fldChar w:fldCharType="separate"/>
      </w:r>
      <w:r>
        <w:rPr>
          <w:noProof/>
        </w:rPr>
        <w:t>Carter et al. (1994)</w:t>
      </w:r>
      <w:r>
        <w:fldChar w:fldCharType="end"/>
      </w:r>
      <w:r>
        <w:t xml:space="preserve"> distinguish between planned and autonomous adaptation</w:t>
      </w:r>
      <w:r w:rsidR="00374278">
        <w:t xml:space="preserve">. </w:t>
      </w:r>
      <w:r w:rsidR="00280BB5">
        <w:t>P</w:t>
      </w:r>
      <w:r w:rsidR="0083434B">
        <w:t xml:space="preserve">lanned adaptation </w:t>
      </w:r>
      <w:r w:rsidR="008D244A">
        <w:t xml:space="preserve">carries an element of </w:t>
      </w:r>
      <w:r w:rsidR="0083434B">
        <w:t xml:space="preserve">analysis and </w:t>
      </w:r>
      <w:r w:rsidR="00564DFF">
        <w:t xml:space="preserve">is often implemented via </w:t>
      </w:r>
      <w:r w:rsidR="0083434B">
        <w:t>top-down policy intervention</w:t>
      </w:r>
      <w:r w:rsidR="00280BB5">
        <w:t>.</w:t>
      </w:r>
      <w:r w:rsidR="0083434B">
        <w:t xml:space="preserve"> </w:t>
      </w:r>
      <w:r w:rsidR="00280BB5">
        <w:t>A</w:t>
      </w:r>
      <w:r w:rsidR="0083434B">
        <w:t>utonomous adaptation</w:t>
      </w:r>
      <w:r w:rsidR="0083434B">
        <w:t>, defined as</w:t>
      </w:r>
      <w:r w:rsidR="0083434B">
        <w:t xml:space="preserve"> “spontaneous adjustments in the face of a changing climate” </w:t>
      </w:r>
      <w:r w:rsidR="0083434B">
        <w:fldChar w:fldCharType="begin"/>
      </w:r>
      <w:r w:rsidR="0083434B">
        <w:instrText xml:space="preserve"> ADDIN ZOTERO_ITEM CSL_CITATION {"citationID":"qK8RuNqq","properties":{"formattedCitation":"(Carter et al., 1994)","plainCitation":"(Carter et al., 1994)","noteIndex":0},"citationItems":[{"id":1307,"uris":["http://zotero.org/users/10735550/items/QIESXN8Y"],"itemData":{"id":1307,"type":"report","publisher":"Department of Gography, University College London","title":"IPCC Technical Guidelines for Assessing Climate Change Impacts and Adaptations — IPCC","URL":"https://www.ipcc.ch/report/ipcc-technical-guidelines-for-assessing-climate-change-impacts-and-adaptations-2/","author":[{"family":"Carter","given":"T.R."},{"family":"Parry","given":"M.L."},{"family":"Harasawa","given":"Nishioka","suffix":"S."},{"family":"Nishioka","given":"S."}],"accessed":{"date-parts":[["2025",5,4]]},"issued":{"date-parts":[["1994"]]}}}],"schema":"https://github.com/citation-style-language/schema/raw/master/csl-citation.json"} </w:instrText>
      </w:r>
      <w:r w:rsidR="0083434B">
        <w:fldChar w:fldCharType="separate"/>
      </w:r>
      <w:r w:rsidR="0083434B">
        <w:rPr>
          <w:noProof/>
        </w:rPr>
        <w:t>(Carter et al., 1994, p.32)</w:t>
      </w:r>
      <w:r w:rsidR="0083434B">
        <w:fldChar w:fldCharType="end"/>
      </w:r>
      <w:r w:rsidR="0083434B">
        <w:t xml:space="preserve">, </w:t>
      </w:r>
      <w:r w:rsidR="0083434B">
        <w:t xml:space="preserve">is typically emergent in nature and carries less certainty with regards to its exact manifestation and </w:t>
      </w:r>
      <w:r w:rsidR="008D244A">
        <w:t xml:space="preserve">total </w:t>
      </w:r>
      <w:r w:rsidR="0083434B">
        <w:t xml:space="preserve">associated cost. </w:t>
      </w:r>
      <w:r w:rsidR="00564DFF">
        <w:t xml:space="preserve">Note that planned adaptation often yields adaptation outcomes through central top-down planning, thus circumventing the uncertainties connected to emergent, autonomous adaptation. </w:t>
      </w:r>
    </w:p>
    <w:p w14:paraId="0F9C112E" w14:textId="77777777" w:rsidR="0083434B" w:rsidRDefault="0083434B" w:rsidP="00202D66">
      <w:pPr>
        <w:jc w:val="both"/>
      </w:pPr>
    </w:p>
    <w:p w14:paraId="5F44662F" w14:textId="2F17D7DF" w:rsidR="00E91DD7" w:rsidRDefault="00374278" w:rsidP="00202D66">
      <w:pPr>
        <w:jc w:val="both"/>
      </w:pPr>
      <w:r>
        <w:t xml:space="preserve">The differentiation is intuitive in theory but blurred in practice. </w:t>
      </w:r>
      <w:r w:rsidR="00280BB5">
        <w:t>H</w:t>
      </w:r>
      <w:r w:rsidR="00840E28">
        <w:t xml:space="preserve">olding fresh water supplies </w:t>
      </w:r>
      <w:r w:rsidR="00202D66">
        <w:t xml:space="preserve">at home </w:t>
      </w:r>
      <w:r w:rsidR="00840E28">
        <w:t>can be regarded as</w:t>
      </w:r>
      <w:r w:rsidR="00202D66">
        <w:t xml:space="preserve"> planned adaptation by the household and as </w:t>
      </w:r>
      <w:r w:rsidR="00840E28">
        <w:t>a</w:t>
      </w:r>
      <w:r>
        <w:t>utonomous adaptation</w:t>
      </w:r>
      <w:r w:rsidR="00840E28">
        <w:t xml:space="preserve"> from a government’s perspective. </w:t>
      </w:r>
      <w:r w:rsidR="00202D66">
        <w:t xml:space="preserve">In this thesis, we will focus on </w:t>
      </w:r>
      <w:r w:rsidR="00202D66">
        <w:lastRenderedPageBreak/>
        <w:t xml:space="preserve">agent-level adaptation that is spontaneous from a </w:t>
      </w:r>
      <w:r w:rsidR="008D244A">
        <w:t>system-level</w:t>
      </w:r>
      <w:r w:rsidR="00202D66">
        <w:t xml:space="preserve"> perspective</w:t>
      </w:r>
      <w:r w:rsidR="008D244A">
        <w:t xml:space="preserve"> but </w:t>
      </w:r>
      <w:commentRangeStart w:id="14"/>
      <w:r w:rsidR="008D244A">
        <w:t>planned from on agent-level perspective</w:t>
      </w:r>
      <w:commentRangeEnd w:id="14"/>
      <w:r w:rsidR="008D244A">
        <w:rPr>
          <w:rStyle w:val="CommentReference"/>
        </w:rPr>
        <w:commentReference w:id="14"/>
      </w:r>
      <w:r w:rsidR="00202D66">
        <w:t xml:space="preserve">. By understanding its determinants, we hope to identify levers to incentivize or steer adaptation behavior and its emergent impact on coastal communities. </w:t>
      </w:r>
    </w:p>
    <w:p w14:paraId="56645727" w14:textId="77777777" w:rsidR="008D244A" w:rsidRDefault="008D244A"/>
    <w:p w14:paraId="627066A1" w14:textId="77777777" w:rsidR="008D244A" w:rsidRDefault="008D244A" w:rsidP="008D244A">
      <w:pPr>
        <w:jc w:val="both"/>
      </w:pPr>
      <w:r>
        <w:t>&lt; reactive v anticipatory&gt;</w:t>
      </w:r>
    </w:p>
    <w:p w14:paraId="71760AD7" w14:textId="6747B9D1" w:rsidR="00BA1E18" w:rsidRDefault="008D244A" w:rsidP="008D244A">
      <w:pPr>
        <w:jc w:val="both"/>
      </w:pPr>
      <w:r>
        <w:t xml:space="preserve">The </w:t>
      </w:r>
      <w:r>
        <w:t>distinction between</w:t>
      </w:r>
      <w:r>
        <w:t xml:space="preserve"> planned and autonomous adaptation</w:t>
      </w:r>
      <w:r>
        <w:t xml:space="preserve"> allows us to more clearly distinguish between the behavior of an individuals and the </w:t>
      </w:r>
      <w:proofErr w:type="gramStart"/>
      <w:r>
        <w:t>system as a whole</w:t>
      </w:r>
      <w:proofErr w:type="gramEnd"/>
      <w:r>
        <w:t>.  Another useful distinction runs along the time axis</w:t>
      </w:r>
      <w:r>
        <w:t xml:space="preserve">. Adaptation can occur as a response to exogenous events, e.g., “reactive”, or in anticipation of a change in environment, e.g., “anticipatory” </w:t>
      </w:r>
      <w:r>
        <w:fldChar w:fldCharType="begin"/>
      </w:r>
      <w:r>
        <w:instrText xml:space="preserve"> ADDIN ZOTERO_ITEM CSL_CITATION {"citationID":"S9t9mLRE","properties":{"formattedCitation":"(IPCC, 2001)","plainCitation":"(IPCC, 2001)","noteIndex":0},"citationItems":[{"id":1068,"uris":["http://zotero.org/users/10735550/items/DY77KF7Q"],"itemData":{"id":1068,"type":"book","collection-number":"Working Group 2","collection-title":"Climate change 2001 : contribution of Working Group ... to the third assessment report of the Intergovernmental Panel on Climate Change","event-place":"Cambridge","ISBN":"978-0-521-80768-5","language":"en","number-of-pages":"1032","publisher":"Cambridge Univ. Press","publisher-place":"Cambridge","source":"K10plus ISBN","title":"Impacts, adaptation, and vulnerability","editor":[{"literal":"IPCC"}],"issued":{"date-parts":[["2001"]]}}}],"schema":"https://github.com/citation-style-language/schema/raw/master/csl-citation.json"} </w:instrText>
      </w:r>
      <w:r>
        <w:fldChar w:fldCharType="separate"/>
      </w:r>
      <w:r>
        <w:rPr>
          <w:noProof/>
        </w:rPr>
        <w:t>(IPCC, 2001)</w:t>
      </w:r>
      <w:r>
        <w:fldChar w:fldCharType="end"/>
      </w:r>
      <w:r>
        <w:t>. However, like with the distinction between autonomous and planned adaptation, the lines between reactive and anticipatory adaptation are blurred</w:t>
      </w:r>
      <w:r w:rsidR="00BA1E18">
        <w:t xml:space="preserve"> as well.</w:t>
      </w:r>
      <w:r>
        <w:t xml:space="preserve"> We will show that personal disaster experience has a positive impact on adaptation.</w:t>
      </w:r>
      <w:r w:rsidR="00BA1E18">
        <w:t xml:space="preserve"> Whether adaptation post disaster experience is reactive to that experience or anticipatory of an expected next disaster, is hard to discern. </w:t>
      </w:r>
    </w:p>
    <w:p w14:paraId="7F1DA152" w14:textId="77777777" w:rsidR="00734A68" w:rsidRDefault="00734A68"/>
    <w:p w14:paraId="67EBB21A" w14:textId="77777777" w:rsidR="00E91DD7" w:rsidRDefault="00E91DD7" w:rsidP="005171C3"/>
    <w:p w14:paraId="2976A621" w14:textId="1C32C47C" w:rsidR="005171C3" w:rsidRDefault="005171C3" w:rsidP="005171C3">
      <w:r>
        <w:t xml:space="preserve">&lt;3 objectives of adaptation&gt; </w:t>
      </w:r>
    </w:p>
    <w:p w14:paraId="2B536007" w14:textId="0F81CE73" w:rsidR="00EF2065" w:rsidRDefault="005171C3" w:rsidP="003C4A5A">
      <w:pPr>
        <w:jc w:val="both"/>
      </w:pPr>
      <w:r>
        <w:t xml:space="preserve">Flood adaptation in nature-human coupled systems is following three main objectives </w:t>
      </w:r>
      <w:r>
        <w:fldChar w:fldCharType="begin"/>
      </w:r>
      <w:r>
        <w:instrText xml:space="preserve"> ADDIN ZOTERO_ITEM CSL_CITATION {"citationID":"urkYQlLg","properties":{"formattedCitation":"(Dronkers et al., 1990)","plainCitation":"(Dronkers et al., 1990)","noteIndex":0},"citationItems":[{"id":1273,"uris":["http://zotero.org/users/10735550/items/2EQ775R6"],"itemData":{"id":1273,"type":"chapter","container-title":"Strategies for Adaptation to Sea Level Rise","publisher":"Intergovernmental Panel on Climate Change","title":"Coastal Management","author":[{"family":"Dronkers","given":"J."},{"family":"Gilbert","given":"J.T.E."},{"family":"Butler","given":"L.W."},{"family":"Carey","given":"J.J."},{"family":"Campbell","given":"J."},{"family":"James","given":"E."},{"family":"McKenzie","given":"C."},{"family":"Misdorp","given":"R."},{"family":"Quin","given":"N."},{"family":"Ries","given":"K.L."},{"family":"Schroder","given":"P.C."},{"family":"Spradley","given":"J.R."},{"family":"Titus","given":"J.G."},{"family":"Vallianos","given":"L."},{"family":"Dadelszen","given":"J.","non-dropping-particle":"von"}],"issued":{"date-parts":[["1990"]]}}}],"schema":"https://github.com/citation-style-language/schema/raw/master/csl-citation.json"} </w:instrText>
      </w:r>
      <w:r>
        <w:fldChar w:fldCharType="separate"/>
      </w:r>
      <w:r>
        <w:rPr>
          <w:noProof/>
        </w:rPr>
        <w:t>(Dronkers et al., 1990)</w:t>
      </w:r>
      <w:r>
        <w:fldChar w:fldCharType="end"/>
      </w:r>
      <w:r>
        <w:t xml:space="preserve">. Firstly, construction development in inundation areas is to be avoided. For that purpose, the Federal Emergency Management Agency (FEMA) is continuously mapping Special Flood Hazard Areas (SFHA) </w:t>
      </w:r>
      <w:r>
        <w:fldChar w:fldCharType="begin"/>
      </w:r>
      <w:r>
        <w:instrText xml:space="preserve"> ADDIN ZOTERO_ITEM CSL_CITATION {"citationID":"qZ9QP4dt","properties":{"formattedCitation":"({\\i{}Flood Zones | FEMA.Gov}, 2020)","plainCitation":"(Flood Zones | FEMA.Gov, 2020)","noteIndex":0},"citationItems":[{"id":874,"uris":["http://zotero.org/users/10735550/items/T7CKG74M"],"itemData":{"id":874,"type":"webpage","abstract":"Flood hazard areas identified on the Flood Insurance Rate Map are identified as a Special Flood Hazard Area (SFHA). SFHA are defined as the area that will be inundated by the flood event having a 1-percent chance of being equaled or exceeded in any given year. The 1-percent annual chance flood is also referred to as the base flood or 100-year flood. SFHAs are labeled as Zone A, Zone AO, Zone AH, Zones A1-A30, Zone AE, Zone A99, Zone AR, Zone AR/AE, Zone AR/AO, Zone AR/A1-A30, Zone AR/A, Zone V, Zone VE, and Zones V1-V30.","language":"en","title":"Flood Zones | FEMA.gov","URL":"https://www.fema.gov/about/glossary/flood-zones","accessed":{"date-parts":[["2024",10,1]]},"issued":{"date-parts":[["2020",7,8]]}}}],"schema":"https://github.com/citation-style-language/schema/raw/master/csl-citation.json"} </w:instrText>
      </w:r>
      <w:r>
        <w:fldChar w:fldCharType="separate"/>
      </w:r>
      <w:r w:rsidRPr="005171C3">
        <w:rPr>
          <w:rFonts w:ascii="Aptos" w:cs="Times New Roman"/>
          <w:kern w:val="0"/>
          <w:lang w:val="en-GB"/>
        </w:rPr>
        <w:t>(</w:t>
      </w:r>
      <w:r w:rsidRPr="005171C3">
        <w:rPr>
          <w:rFonts w:ascii="Aptos" w:cs="Times New Roman"/>
          <w:i/>
          <w:iCs/>
          <w:kern w:val="0"/>
          <w:lang w:val="en-GB"/>
        </w:rPr>
        <w:t>Flood Zones | FEMA.Gov</w:t>
      </w:r>
      <w:r w:rsidRPr="005171C3">
        <w:rPr>
          <w:rFonts w:ascii="Aptos" w:cs="Times New Roman"/>
          <w:kern w:val="0"/>
          <w:lang w:val="en-GB"/>
        </w:rPr>
        <w:t>, 2020)</w:t>
      </w:r>
      <w:r>
        <w:fldChar w:fldCharType="end"/>
      </w:r>
      <w:r>
        <w:t xml:space="preserve">. </w:t>
      </w:r>
      <w:r w:rsidR="00EF2065">
        <w:t>In the face of changing climate patterns</w:t>
      </w:r>
      <w:r>
        <w:t xml:space="preserve">, inundation areas </w:t>
      </w:r>
      <w:r w:rsidR="00EF2065">
        <w:t>are subject to change as well</w:t>
      </w:r>
      <w:r>
        <w:t xml:space="preserve">. Secondly, the continued functioning of critical natural systems such as swamps and dunes is to be ensured </w:t>
      </w:r>
      <w:proofErr w:type="gramStart"/>
      <w:r>
        <w:t>in order to</w:t>
      </w:r>
      <w:proofErr w:type="gramEnd"/>
      <w:r>
        <w:t xml:space="preserve"> maintain the natural systems adaptive capacity. Thirdly, human life, propert</w:t>
      </w:r>
      <w:r w:rsidR="000524DB">
        <w:t>y</w:t>
      </w:r>
      <w:r>
        <w:t>, and economic activit</w:t>
      </w:r>
      <w:r w:rsidR="000524DB">
        <w:t>y</w:t>
      </w:r>
      <w:r>
        <w:t xml:space="preserve"> are to be protected against disaster. While this thesis will focus on the </w:t>
      </w:r>
      <w:commentRangeStart w:id="15"/>
      <w:r>
        <w:t xml:space="preserve">latter objective, it is important to understand any adaptation strategy in the context of all three objectives. </w:t>
      </w:r>
      <w:commentRangeEnd w:id="15"/>
      <w:r>
        <w:rPr>
          <w:rStyle w:val="CommentReference"/>
        </w:rPr>
        <w:commentReference w:id="15"/>
      </w:r>
    </w:p>
    <w:p w14:paraId="1FFF6494" w14:textId="77777777" w:rsidR="00EF2065" w:rsidRDefault="00EF2065" w:rsidP="003C4A5A">
      <w:pPr>
        <w:jc w:val="both"/>
      </w:pPr>
    </w:p>
    <w:p w14:paraId="55593EB7" w14:textId="73E47F69" w:rsidR="008634AD" w:rsidRDefault="008634AD" w:rsidP="00F92345">
      <w:pPr>
        <w:jc w:val="both"/>
      </w:pPr>
      <w:r>
        <w:t>&lt;protection, accommodation, retreat&gt;</w:t>
      </w:r>
    </w:p>
    <w:p w14:paraId="1DF80B33" w14:textId="77777777" w:rsidR="00CB3952" w:rsidRDefault="00DE5294" w:rsidP="004F33E4">
      <w:pPr>
        <w:jc w:val="both"/>
      </w:pPr>
      <w:r>
        <w:fldChar w:fldCharType="begin"/>
      </w:r>
      <w:r>
        <w:instrText xml:space="preserve"> ADDIN ZOTERO_ITEM CSL_CITATION {"citationID":"sTsnSNV5","properties":{"formattedCitation":"(Dronkers et al., 1990)","plainCitation":"(Dronkers et al., 1990)","noteIndex":0},"citationItems":[{"id":1273,"uris":["http://zotero.org/users/10735550/items/2EQ775R6"],"itemData":{"id":1273,"type":"chapter","container-title":"Strategies for Adaptation to Sea Level Rise","publisher":"Intergovernmental Panel on Climate Change","title":"Coastal Management","author":[{"family":"Dronkers","given":"J."},{"family":"Gilbert","given":"J.T.E."},{"family":"Butler","given":"L.W."},{"family":"Carey","given":"J.J."},{"family":"Campbell","given":"J."},{"family":"James","given":"E."},{"family":"McKenzie","given":"C."},{"family":"Misdorp","given":"R."},{"family":"Quin","given":"N."},{"family":"Ries","given":"K.L."},{"family":"Schroder","given":"P.C."},{"family":"Spradley","given":"J.R."},{"family":"Titus","given":"J.G."},{"family":"Vallianos","given":"L."},{"family":"Dadelszen","given":"J.","non-dropping-particle":"von"}],"issued":{"date-parts":[["1990"]]}}}],"schema":"https://github.com/citation-style-language/schema/raw/master/csl-citation.json"} </w:instrText>
      </w:r>
      <w:r>
        <w:fldChar w:fldCharType="separate"/>
      </w:r>
      <w:r>
        <w:rPr>
          <w:noProof/>
        </w:rPr>
        <w:t xml:space="preserve">Dronkers et al. </w:t>
      </w:r>
      <w:r w:rsidR="00B10548">
        <w:rPr>
          <w:noProof/>
        </w:rPr>
        <w:t>(</w:t>
      </w:r>
      <w:r>
        <w:rPr>
          <w:noProof/>
        </w:rPr>
        <w:t>1990)</w:t>
      </w:r>
      <w:r>
        <w:fldChar w:fldCharType="end"/>
      </w:r>
      <w:r>
        <w:t xml:space="preserve"> </w:t>
      </w:r>
      <w:r w:rsidR="00CB3952">
        <w:t>furthermore categorizes adaptation strategies into</w:t>
      </w:r>
      <w:r w:rsidR="00B10548">
        <w:t xml:space="preserve"> protection, retreat, and accommodation. </w:t>
      </w:r>
      <w:r w:rsidR="004F33E4">
        <w:t>Protection, defined as the “d</w:t>
      </w:r>
      <w:r w:rsidR="004F33E4" w:rsidRPr="008A4CE8">
        <w:t>efense of vulnerable areas, especially population centers, economic activities, and natural resources</w:t>
      </w:r>
      <w:r w:rsidR="004F33E4">
        <w:t>” (p.417)</w:t>
      </w:r>
      <w:r w:rsidR="004F33E4">
        <w:t>, can</w:t>
      </w:r>
      <w:r w:rsidR="00CB3952">
        <w:t>not</w:t>
      </w:r>
      <w:r w:rsidR="004F33E4">
        <w:t xml:space="preserve"> only be achieved </w:t>
      </w:r>
      <w:r w:rsidR="00CB3952">
        <w:t>without</w:t>
      </w:r>
      <w:r w:rsidR="004F33E4">
        <w:t xml:space="preserve"> policy intervention and typically involves hard infrastructural measures such as dikes, levies, pump stations, and salt-water intrusion barriers but also soft structural measures such as nurturing mangroves, wetlands, and dunes. Note how the lines between objectives are blurred. Protecting human livelihoods and economic activity oftentimes goes hand in hand with protecting natural adaptive capacity. </w:t>
      </w:r>
    </w:p>
    <w:p w14:paraId="54AE0408" w14:textId="77777777" w:rsidR="00CB3952" w:rsidRDefault="00CB3952" w:rsidP="004F33E4">
      <w:pPr>
        <w:jc w:val="both"/>
      </w:pPr>
    </w:p>
    <w:p w14:paraId="6985EAD5" w14:textId="4FD25FB2" w:rsidR="00CE00B6" w:rsidRDefault="00CB3952" w:rsidP="004F33E4">
      <w:pPr>
        <w:jc w:val="both"/>
      </w:pPr>
      <w:proofErr w:type="spellStart"/>
      <w:r>
        <w:t>D</w:t>
      </w:r>
      <w:r w:rsidR="00907358">
        <w:t>ronkers</w:t>
      </w:r>
      <w:proofErr w:type="spellEnd"/>
      <w:r w:rsidR="00907358">
        <w:t xml:space="preserve"> et al. (1990) defines retreat as the “abandonment of land and structure</w:t>
      </w:r>
      <w:r w:rsidR="00CE00B6">
        <w:t>s</w:t>
      </w:r>
      <w:r w:rsidR="00907358">
        <w:t xml:space="preserve"> in vulnerable areas, and resettlement on inhabitants” (p.146). Policy such as </w:t>
      </w:r>
      <w:r w:rsidR="00CD7A66">
        <w:t xml:space="preserve">prevention of </w:t>
      </w:r>
      <w:r w:rsidR="00907358">
        <w:t>development in hazard areas and withdrawal of subsidies are prominent examples</w:t>
      </w:r>
      <w:r w:rsidR="00CE00B6">
        <w:t xml:space="preserve"> (source: CRS and FEMA)</w:t>
      </w:r>
      <w:r w:rsidR="00907358">
        <w:t>.</w:t>
      </w:r>
      <w:r w:rsidR="00CE00B6">
        <w:t xml:space="preserve"> In the absence of coordinated policy, retreat can also occur </w:t>
      </w:r>
      <w:commentRangeStart w:id="16"/>
      <w:r w:rsidR="00CE00B6">
        <w:t>through emergent adaptatio</w:t>
      </w:r>
      <w:commentRangeEnd w:id="16"/>
      <w:r w:rsidR="00150D82">
        <w:rPr>
          <w:rStyle w:val="CommentReference"/>
        </w:rPr>
        <w:commentReference w:id="16"/>
      </w:r>
      <w:r w:rsidR="00CE00B6">
        <w:t xml:space="preserve">n, albeit oftentimes post-disaster and thus at much higher cost to livelihoods. </w:t>
      </w:r>
    </w:p>
    <w:p w14:paraId="6DED9BF8" w14:textId="77777777" w:rsidR="00CE00B6" w:rsidRDefault="00CE00B6" w:rsidP="004F33E4">
      <w:pPr>
        <w:jc w:val="both"/>
      </w:pPr>
    </w:p>
    <w:p w14:paraId="254793E1" w14:textId="305A4577" w:rsidR="009E69CA" w:rsidRDefault="00CE00B6" w:rsidP="00CE15B3">
      <w:pPr>
        <w:jc w:val="both"/>
      </w:pPr>
      <w:r>
        <w:lastRenderedPageBreak/>
        <w:t xml:space="preserve">Accommodation, the “continued occupancy and use of vulnerable areas” (p.147) is of </w:t>
      </w:r>
      <w:r w:rsidR="00592638">
        <w:t xml:space="preserve">particular </w:t>
      </w:r>
      <w:r>
        <w:t>interest in this thesis.</w:t>
      </w:r>
      <w:r w:rsidR="00CE15B3">
        <w:t xml:space="preserve"> This type of adaptation can be both the result of top-down intervention, for instance through changes in land use and building codes, or an agent-level response to changes in risk or policy. Changes in perceived vulnerability – either through changes in risk or through policy aiming at enhancing risk awareness – prompt households to </w:t>
      </w:r>
      <w:r w:rsidR="00AF69E9">
        <w:t>make changes to their accommodation.</w:t>
      </w:r>
      <w:r w:rsidR="00BA1E18">
        <w:t xml:space="preserve"> </w:t>
      </w:r>
      <w:r w:rsidR="00BA1E18">
        <w:t>Adaptation to people’s accommodation always requires an anticipatory element.</w:t>
      </w:r>
      <w:r w:rsidR="00AF69E9">
        <w:t xml:space="preserve"> These </w:t>
      </w:r>
      <w:r w:rsidR="00BA1E18">
        <w:t xml:space="preserve">adaptations </w:t>
      </w:r>
      <w:r w:rsidR="00AF69E9">
        <w:t xml:space="preserve">can be </w:t>
      </w:r>
      <w:r w:rsidR="00CE15B3">
        <w:t>structural as well as non-structural</w:t>
      </w:r>
      <w:r w:rsidR="0083434B">
        <w:t xml:space="preserve">. </w:t>
      </w:r>
    </w:p>
    <w:p w14:paraId="1A2FE063" w14:textId="77777777" w:rsidR="008634AD" w:rsidRDefault="008634AD" w:rsidP="00F92345">
      <w:pPr>
        <w:jc w:val="both"/>
      </w:pPr>
    </w:p>
    <w:p w14:paraId="40798F94" w14:textId="77777777" w:rsidR="00CE15B3" w:rsidRDefault="00CE15B3" w:rsidP="00CE15B3">
      <w:pPr>
        <w:jc w:val="both"/>
      </w:pPr>
      <w:r>
        <w:t>&lt;Structural v non-structural adaptation&gt;</w:t>
      </w:r>
    </w:p>
    <w:p w14:paraId="1285F4D7" w14:textId="244A2C61" w:rsidR="00CE15B3" w:rsidRDefault="00CE15B3" w:rsidP="00CE15B3">
      <w:pPr>
        <w:jc w:val="both"/>
      </w:pPr>
      <w:r>
        <w:t xml:space="preserve">On the household-level adaptation </w:t>
      </w:r>
      <w:r w:rsidR="00C70060">
        <w:t xml:space="preserve">is </w:t>
      </w:r>
      <w:r>
        <w:t xml:space="preserve">often categorized into structural and non-structural measures. Structural adaptation refers measures such as elevating the living area, usage of flood </w:t>
      </w:r>
      <w:commentRangeStart w:id="17"/>
      <w:r>
        <w:t xml:space="preserve">barriers, flood vents, and flood proof materials. Non-structural measures include measures such as keeping food supplies and battery powered radios, signing up for flood alerts, preparing personal communication and evacuation plans, participating in community planning and disaster drills, and </w:t>
      </w:r>
      <w:commentRangeEnd w:id="17"/>
      <w:r>
        <w:rPr>
          <w:rStyle w:val="CommentReference"/>
        </w:rPr>
        <w:commentReference w:id="17"/>
      </w:r>
      <w:r>
        <w:t>taking up flood insurance.</w:t>
      </w:r>
      <w:r w:rsidR="00B122A3">
        <w:t xml:space="preserve"> </w:t>
      </w:r>
    </w:p>
    <w:p w14:paraId="1FEB4E14" w14:textId="77777777" w:rsidR="008634AD" w:rsidRDefault="008634AD" w:rsidP="00806E31">
      <w:pPr>
        <w:jc w:val="both"/>
      </w:pPr>
    </w:p>
    <w:p w14:paraId="12BA54DD" w14:textId="44AAEEBA" w:rsidR="00B122A3" w:rsidRDefault="00B122A3" w:rsidP="00B122A3">
      <w:pPr>
        <w:jc w:val="both"/>
      </w:pPr>
      <w:r>
        <w:t xml:space="preserve">Inspired by the </w:t>
      </w:r>
      <w:proofErr w:type="gramStart"/>
      <w:r>
        <w:t>aforementioned</w:t>
      </w:r>
      <w:r>
        <w:t xml:space="preserve"> categories</w:t>
      </w:r>
      <w:proofErr w:type="gramEnd"/>
      <w:r>
        <w:t xml:space="preserve"> of reactive and anticipatory adaptation</w:t>
      </w:r>
      <w:r>
        <w:t>, Koerth et al. (2017) is making a distinction between short-term coping and long-term preparedness measures. Although this</w:t>
      </w:r>
      <w:r w:rsidR="00081F6E">
        <w:t xml:space="preserve"> distinction</w:t>
      </w:r>
      <w:r>
        <w:t xml:space="preserve"> is blurred as well, it lends itself better to the adaptation types discussed in this thesis. While </w:t>
      </w:r>
      <w:r>
        <w:t>structural adaptation usually enhances long-term preparedness</w:t>
      </w:r>
      <w:r w:rsidR="00081F6E">
        <w:t>,</w:t>
      </w:r>
      <w:r>
        <w:t xml:space="preserve"> non-structural adaptations like </w:t>
      </w:r>
      <w:r>
        <w:t xml:space="preserve">keeping battery-powered radios are aimed at coping with disaster in the immediate aftermath. </w:t>
      </w:r>
      <w:r>
        <w:t xml:space="preserve">While measures within the same category might substitute each other, measures from opposite categories might rather complement each other. </w:t>
      </w:r>
    </w:p>
    <w:p w14:paraId="50FA148B" w14:textId="77777777" w:rsidR="00081F6E" w:rsidRDefault="00081F6E" w:rsidP="00B122A3">
      <w:pPr>
        <w:jc w:val="both"/>
      </w:pPr>
    </w:p>
    <w:p w14:paraId="278A4A8C" w14:textId="77777777" w:rsidR="00081F6E" w:rsidRDefault="00081F6E" w:rsidP="00081F6E">
      <w:pPr>
        <w:jc w:val="both"/>
      </w:pPr>
      <w:r>
        <w:t xml:space="preserve">Structural measures are often more costly and anticipating on longer time horizons. </w:t>
      </w:r>
    </w:p>
    <w:p w14:paraId="18E86C2A" w14:textId="77777777" w:rsidR="00081F6E" w:rsidRDefault="00081F6E" w:rsidP="00B122A3">
      <w:pPr>
        <w:jc w:val="both"/>
      </w:pPr>
    </w:p>
    <w:p w14:paraId="13B07607" w14:textId="77777777" w:rsidR="00081F6E" w:rsidRDefault="00081F6E" w:rsidP="00B122A3">
      <w:pPr>
        <w:jc w:val="both"/>
      </w:pPr>
    </w:p>
    <w:p w14:paraId="11565F5B" w14:textId="77777777" w:rsidR="00B122A3" w:rsidRDefault="00B122A3" w:rsidP="00B122A3">
      <w:pPr>
        <w:jc w:val="both"/>
      </w:pPr>
      <w:r>
        <w:t xml:space="preserve">The lines are blurred </w:t>
      </w:r>
    </w:p>
    <w:p w14:paraId="19BE5A5E" w14:textId="77777777" w:rsidR="00B122A3" w:rsidRDefault="00B122A3" w:rsidP="00B122A3">
      <w:pPr>
        <w:pStyle w:val="ListParagraph"/>
        <w:numPr>
          <w:ilvl w:val="0"/>
          <w:numId w:val="18"/>
        </w:numPr>
        <w:jc w:val="both"/>
      </w:pPr>
      <w:r>
        <w:t xml:space="preserve">Non-structural measures can be more autonomous and anticipatory </w:t>
      </w:r>
    </w:p>
    <w:p w14:paraId="369D7721" w14:textId="77777777" w:rsidR="00B122A3" w:rsidRDefault="00B122A3" w:rsidP="00B122A3">
      <w:pPr>
        <w:pStyle w:val="ListParagraph"/>
        <w:numPr>
          <w:ilvl w:val="0"/>
          <w:numId w:val="18"/>
        </w:numPr>
        <w:jc w:val="both"/>
      </w:pPr>
      <w:r>
        <w:t>Non-structural measures can be more focused on short-term coping and are often cheaper</w:t>
      </w:r>
    </w:p>
    <w:p w14:paraId="51F0028E" w14:textId="77777777" w:rsidR="00B122A3" w:rsidRDefault="00B122A3" w:rsidP="00B122A3">
      <w:pPr>
        <w:pStyle w:val="ListParagraph"/>
        <w:numPr>
          <w:ilvl w:val="0"/>
          <w:numId w:val="18"/>
        </w:numPr>
        <w:jc w:val="both"/>
      </w:pPr>
      <w:r>
        <w:t xml:space="preserve">Flood insurance is different in that it is short-term coping (income smoothing) but also costly and planned. Motivate why insurance is worth having a look at later? </w:t>
      </w:r>
    </w:p>
    <w:p w14:paraId="3C6325AD" w14:textId="77777777" w:rsidR="004E098C" w:rsidRDefault="004E098C" w:rsidP="004E098C">
      <w:pPr>
        <w:jc w:val="both"/>
      </w:pPr>
    </w:p>
    <w:p w14:paraId="52CB7CF7" w14:textId="77777777" w:rsidR="004E098C" w:rsidRDefault="004E098C" w:rsidP="004E098C">
      <w:pPr>
        <w:jc w:val="both"/>
      </w:pPr>
      <w:commentRangeStart w:id="18"/>
      <w:r>
        <w:t>&lt;complements and substitutes&gt;</w:t>
      </w:r>
      <w:commentRangeEnd w:id="18"/>
      <w:r w:rsidR="00035F24">
        <w:rPr>
          <w:rStyle w:val="CommentReference"/>
        </w:rPr>
        <w:commentReference w:id="18"/>
      </w:r>
    </w:p>
    <w:p w14:paraId="01330E5F" w14:textId="55422E6F" w:rsidR="004E098C" w:rsidRDefault="004E098C" w:rsidP="004E098C">
      <w:pPr>
        <w:pStyle w:val="ListParagraph"/>
        <w:numPr>
          <w:ilvl w:val="0"/>
          <w:numId w:val="18"/>
        </w:numPr>
        <w:jc w:val="both"/>
      </w:pPr>
      <w:r>
        <w:t xml:space="preserve">Discuss the expected cost and benefit of adaptation </w:t>
      </w:r>
    </w:p>
    <w:p w14:paraId="4DC1CC02" w14:textId="0EE29403" w:rsidR="001523BB" w:rsidRDefault="004E098C" w:rsidP="00F92345">
      <w:pPr>
        <w:pStyle w:val="ListParagraph"/>
        <w:numPr>
          <w:ilvl w:val="0"/>
          <w:numId w:val="18"/>
        </w:numPr>
        <w:jc w:val="both"/>
      </w:pPr>
      <w:r>
        <w:t xml:space="preserve">Discuss the interactions between adaptation cost and benefit  </w:t>
      </w:r>
    </w:p>
    <w:p w14:paraId="6E370FDD" w14:textId="77777777" w:rsidR="00801B21" w:rsidRDefault="00801B21" w:rsidP="00F92345"/>
    <w:p w14:paraId="63A9E8CC" w14:textId="760663FE" w:rsidR="00F92345" w:rsidRDefault="00801B21" w:rsidP="00F92345">
      <w:r>
        <w:t>&lt;what type of adaptation is this work focusing on?&gt;</w:t>
      </w:r>
    </w:p>
    <w:p w14:paraId="3465B15D" w14:textId="77777777" w:rsidR="00801B21" w:rsidRPr="00F92345" w:rsidRDefault="00801B21" w:rsidP="00F92345"/>
    <w:p w14:paraId="4B071C45" w14:textId="5C547A50" w:rsidR="00A97780" w:rsidRPr="0092692D" w:rsidRDefault="003B45FD" w:rsidP="00F92345">
      <w:pPr>
        <w:pStyle w:val="Heading2"/>
        <w:numPr>
          <w:ilvl w:val="1"/>
          <w:numId w:val="6"/>
        </w:numPr>
      </w:pPr>
      <w:bookmarkStart w:id="19" w:name="_Toc197002965"/>
      <w:r>
        <w:t xml:space="preserve">Determinants </w:t>
      </w:r>
      <w:r w:rsidR="00F92345">
        <w:t xml:space="preserve">of </w:t>
      </w:r>
      <w:r w:rsidR="00B10548">
        <w:t xml:space="preserve">behavioral </w:t>
      </w:r>
      <w:r w:rsidR="00F92345">
        <w:t>adaptation</w:t>
      </w:r>
      <w:bookmarkEnd w:id="19"/>
      <w:r w:rsidR="00F92345">
        <w:t xml:space="preserve"> </w:t>
      </w:r>
    </w:p>
    <w:p w14:paraId="101F4BBD" w14:textId="77777777" w:rsidR="00A97780" w:rsidRDefault="00A97780" w:rsidP="00F92345">
      <w:pPr>
        <w:jc w:val="both"/>
      </w:pPr>
    </w:p>
    <w:p w14:paraId="2449634E" w14:textId="0B4D6176" w:rsidR="00534304" w:rsidRDefault="00CE7D2C" w:rsidP="00F92345">
      <w:pPr>
        <w:jc w:val="both"/>
      </w:pPr>
      <w:r>
        <w:lastRenderedPageBreak/>
        <w:t xml:space="preserve">Many determinants of adaptation have been proposed in the literature. In their literature review, </w:t>
      </w:r>
      <w:r>
        <w:fldChar w:fldCharType="begin"/>
      </w:r>
      <w:r>
        <w:instrText xml:space="preserve"> ADDIN ZOTERO_ITEM CSL_CITATION {"citationID":"gAX0YSS1","properties":{"formattedCitation":"(Koerth et al., 2017)","plainCitation":"(Koerth et al., 2017)","noteIndex":0},"citationItems":[{"id":1114,"uris":["http://zotero.org/users/10735550/items/9RL9PA2B"],"itemData":{"id":1114,"type":"article-journal","abstract":"Evidence</w:instrText>
      </w:r>
      <w:r>
        <w:rPr>
          <w:rFonts w:ascii="Cambria Math" w:hAnsi="Cambria Math" w:cs="Cambria Math"/>
        </w:rPr>
        <w:instrText>‐</w:instrText>
      </w:r>
      <w:r>
        <w:instrText>based information on household</w:instrText>
      </w:r>
      <w:r>
        <w:rPr>
          <w:rFonts w:ascii="Cambria Math" w:hAnsi="Cambria Math" w:cs="Cambria Math"/>
        </w:rPr>
        <w:instrText>‐</w:instrText>
      </w:r>
      <w:r>
        <w:instrText>level adaptation is an important element of integrated management of vulnerable coastal regions. A growing number of empirical studies deal with household</w:instrText>
      </w:r>
      <w:r>
        <w:rPr>
          <w:rFonts w:ascii="Cambria Math" w:hAnsi="Cambria Math" w:cs="Cambria Math"/>
        </w:rPr>
        <w:instrText>‐</w:instrText>
      </w:r>
      <w:r>
        <w:instrText>level adaptation at the coast in different regions. This article provides a systematic review of these studies. We analyze studies according to how households in different parts of the world are currently adapting, or how they are intending to adapt, and identify explanatory factors for adaptation behavior and intention. We find that households implement a broad range of adaptation measures and that adaptation behavior is explained by individual factors such as socioeconomic and cognitive variables, experience, and perceived responsibilities. Nonpersonal characteristics have also been used to explain adaptation behavior and intention but have not been extensively investigated. Few studies employ qualitative research methods and use inductive approaches as well as models stemming from behavioral economics. Our findings suggest that coastal risk management policies should communicate the efficacy of household</w:instrText>
      </w:r>
      <w:r>
        <w:rPr>
          <w:rFonts w:ascii="Cambria Math" w:hAnsi="Cambria Math" w:cs="Cambria Math"/>
        </w:rPr>
        <w:instrText>‐</w:instrText>
      </w:r>
      <w:r>
        <w:instrText>level adaptation, in addition to information about flood risk, in order to encourage coastal households in their adaptation activities. In this context, we discuss the role of resources and responsibility of households for their adaptation behavior. We describe the lessons learnt and formulate a research agenda on household</w:instrText>
      </w:r>
      <w:r>
        <w:rPr>
          <w:rFonts w:ascii="Cambria Math" w:hAnsi="Cambria Math" w:cs="Cambria Math"/>
        </w:rPr>
        <w:instrText>‐</w:instrText>
      </w:r>
      <w:r>
        <w:instrText>level adaptation to coastal flood risk. In practice, coastal risk management policies should further promote individually driven adaptation by integrating it in adaptation strategies and processes.","container-title":"Risk Analysis","DOI":"10.1111/risa.12663","ISSN":"0272-4332, 1539-6924","issue":"4","journalAbbreviation":"Risk Analysis","language":"en","license":"http://onlinelibrary.wiley.com/termsAndConditions#vor","page":"629-646","source":"DOI.org (Crossref)","title":"Household</w:instrText>
      </w:r>
      <w:r>
        <w:rPr>
          <w:rFonts w:ascii="Cambria Math" w:hAnsi="Cambria Math" w:cs="Cambria Math"/>
        </w:rPr>
        <w:instrText>‐</w:instrText>
      </w:r>
      <w:r>
        <w:instrText>Level Coastal Adaptation and Its Drivers: A Systematic Case Study Review","title-short":"Household</w:instrText>
      </w:r>
      <w:r>
        <w:rPr>
          <w:rFonts w:ascii="Cambria Math" w:hAnsi="Cambria Math" w:cs="Cambria Math"/>
        </w:rPr>
        <w:instrText>‐</w:instrText>
      </w:r>
      <w:r>
        <w:instrText xml:space="preserve">Level Coastal Adaptation and Its Drivers","volume":"37","author":[{"family":"Koerth","given":"Jana"},{"family":"Vafeidis","given":"Athanasios T."},{"family":"Hinkel","given":"Jochen"}],"issued":{"date-parts":[["2017",4]]}}}],"schema":"https://github.com/citation-style-language/schema/raw/master/csl-citation.json"} </w:instrText>
      </w:r>
      <w:r>
        <w:fldChar w:fldCharType="separate"/>
      </w:r>
      <w:r w:rsidR="00AD28C4">
        <w:rPr>
          <w:noProof/>
        </w:rPr>
        <w:t>(Koerth et al., 2017)</w:t>
      </w:r>
      <w:r>
        <w:fldChar w:fldCharType="end"/>
      </w:r>
      <w:r>
        <w:t xml:space="preserve"> have summarized determinants into cognitive, situational, socioeconomic, and geographic variables (see Table 2).</w:t>
      </w:r>
      <w:r w:rsidR="00534304">
        <w:t xml:space="preserve"> </w:t>
      </w:r>
    </w:p>
    <w:p w14:paraId="69D1E358" w14:textId="2F361ACA" w:rsidR="00534304" w:rsidRDefault="00534304" w:rsidP="000D592C">
      <w:pPr>
        <w:pStyle w:val="ListParagraph"/>
        <w:numPr>
          <w:ilvl w:val="0"/>
          <w:numId w:val="18"/>
        </w:numPr>
        <w:jc w:val="both"/>
      </w:pPr>
      <w:r>
        <w:t xml:space="preserve">We add insurance &amp; rent mortgage </w:t>
      </w:r>
    </w:p>
    <w:p w14:paraId="42D68B1B" w14:textId="7EFD900F" w:rsidR="00815A5B" w:rsidRDefault="00815A5B" w:rsidP="000D592C">
      <w:pPr>
        <w:pStyle w:val="ListParagraph"/>
        <w:numPr>
          <w:ilvl w:val="0"/>
          <w:numId w:val="18"/>
        </w:numPr>
        <w:jc w:val="both"/>
      </w:pPr>
      <w:r>
        <w:t xml:space="preserve">A sentence on study location? Should some variables have different effect directions in different regions? Socioeconomic and situational? </w:t>
      </w:r>
    </w:p>
    <w:p w14:paraId="02E6C09A" w14:textId="3A24792C" w:rsidR="00CE7D2C" w:rsidRDefault="00CE7D2C" w:rsidP="00F92345">
      <w:pPr>
        <w:jc w:val="both"/>
      </w:pPr>
      <w:r>
        <w:t xml:space="preserve"> </w:t>
      </w:r>
    </w:p>
    <w:p w14:paraId="7207F9AA" w14:textId="77777777" w:rsidR="00F92345" w:rsidRDefault="00F92345" w:rsidP="00F92345"/>
    <w:tbl>
      <w:tblPr>
        <w:tblStyle w:val="TableGrid"/>
        <w:tblW w:w="0" w:type="auto"/>
        <w:tblLook w:val="04A0" w:firstRow="1" w:lastRow="0" w:firstColumn="1" w:lastColumn="0" w:noHBand="0" w:noVBand="1"/>
      </w:tblPr>
      <w:tblGrid>
        <w:gridCol w:w="4508"/>
        <w:gridCol w:w="4508"/>
      </w:tblGrid>
      <w:tr w:rsidR="00F92345" w14:paraId="33698A1E" w14:textId="77777777" w:rsidTr="00EE2A22">
        <w:tc>
          <w:tcPr>
            <w:tcW w:w="4508" w:type="dxa"/>
          </w:tcPr>
          <w:p w14:paraId="3701D21D" w14:textId="77777777" w:rsidR="00F92345" w:rsidRDefault="00F92345" w:rsidP="00EE2A22">
            <w:r>
              <w:t>Determinant</w:t>
            </w:r>
          </w:p>
        </w:tc>
        <w:tc>
          <w:tcPr>
            <w:tcW w:w="4508" w:type="dxa"/>
          </w:tcPr>
          <w:p w14:paraId="5BE676D4" w14:textId="77777777" w:rsidR="00F92345" w:rsidRDefault="00F92345" w:rsidP="00EE2A22">
            <w:r>
              <w:t>Determinant type</w:t>
            </w:r>
          </w:p>
        </w:tc>
      </w:tr>
      <w:tr w:rsidR="00F92345" w14:paraId="350C37C5" w14:textId="77777777" w:rsidTr="00EE2A22">
        <w:tc>
          <w:tcPr>
            <w:tcW w:w="4508" w:type="dxa"/>
          </w:tcPr>
          <w:p w14:paraId="72E47856" w14:textId="77777777" w:rsidR="00F92345" w:rsidRPr="008E3C34" w:rsidRDefault="00F92345" w:rsidP="00EE2A22">
            <w:pPr>
              <w:rPr>
                <w:b/>
                <w:bCs/>
              </w:rPr>
            </w:pPr>
            <w:r w:rsidRPr="008E3C34">
              <w:rPr>
                <w:b/>
                <w:bCs/>
              </w:rPr>
              <w:t>Age</w:t>
            </w:r>
          </w:p>
        </w:tc>
        <w:tc>
          <w:tcPr>
            <w:tcW w:w="4508" w:type="dxa"/>
            <w:vMerge w:val="restart"/>
          </w:tcPr>
          <w:p w14:paraId="41E97A78" w14:textId="77777777" w:rsidR="00F92345" w:rsidRDefault="00F92345" w:rsidP="00EE2A22">
            <w:r>
              <w:t>Socioeconomic variable</w:t>
            </w:r>
          </w:p>
        </w:tc>
      </w:tr>
      <w:tr w:rsidR="00F92345" w14:paraId="61B204F8" w14:textId="77777777" w:rsidTr="00EE2A22">
        <w:tc>
          <w:tcPr>
            <w:tcW w:w="4508" w:type="dxa"/>
          </w:tcPr>
          <w:p w14:paraId="30C442CE" w14:textId="77777777" w:rsidR="00F92345" w:rsidRPr="008E3C34" w:rsidRDefault="00F92345" w:rsidP="00EE2A22">
            <w:pPr>
              <w:rPr>
                <w:b/>
                <w:bCs/>
              </w:rPr>
            </w:pPr>
            <w:r w:rsidRPr="008E3C34">
              <w:rPr>
                <w:b/>
                <w:bCs/>
              </w:rPr>
              <w:t>Income</w:t>
            </w:r>
          </w:p>
        </w:tc>
        <w:tc>
          <w:tcPr>
            <w:tcW w:w="4508" w:type="dxa"/>
            <w:vMerge/>
          </w:tcPr>
          <w:p w14:paraId="7443A230" w14:textId="77777777" w:rsidR="00F92345" w:rsidRDefault="00F92345" w:rsidP="00EE2A22"/>
        </w:tc>
      </w:tr>
      <w:tr w:rsidR="00F92345" w14:paraId="7A63B3C1" w14:textId="77777777" w:rsidTr="00EE2A22">
        <w:tc>
          <w:tcPr>
            <w:tcW w:w="4508" w:type="dxa"/>
          </w:tcPr>
          <w:p w14:paraId="05758FC4" w14:textId="77777777" w:rsidR="00F92345" w:rsidRDefault="00F92345" w:rsidP="00EE2A22">
            <w:r>
              <w:t>Gender</w:t>
            </w:r>
          </w:p>
        </w:tc>
        <w:tc>
          <w:tcPr>
            <w:tcW w:w="4508" w:type="dxa"/>
            <w:vMerge/>
          </w:tcPr>
          <w:p w14:paraId="0A18F460" w14:textId="77777777" w:rsidR="00F92345" w:rsidRDefault="00F92345" w:rsidP="00EE2A22"/>
        </w:tc>
      </w:tr>
      <w:tr w:rsidR="00F92345" w14:paraId="51A89D84" w14:textId="77777777" w:rsidTr="00EE2A22">
        <w:tc>
          <w:tcPr>
            <w:tcW w:w="4508" w:type="dxa"/>
          </w:tcPr>
          <w:p w14:paraId="5DF3EBBF" w14:textId="77777777" w:rsidR="00F92345" w:rsidRPr="008E3C34" w:rsidRDefault="00F92345" w:rsidP="00EE2A22">
            <w:pPr>
              <w:rPr>
                <w:b/>
                <w:bCs/>
              </w:rPr>
            </w:pPr>
            <w:r w:rsidRPr="008E3C34">
              <w:rPr>
                <w:b/>
                <w:bCs/>
              </w:rPr>
              <w:t>Education</w:t>
            </w:r>
          </w:p>
        </w:tc>
        <w:tc>
          <w:tcPr>
            <w:tcW w:w="4508" w:type="dxa"/>
            <w:vMerge/>
          </w:tcPr>
          <w:p w14:paraId="71A7E928" w14:textId="77777777" w:rsidR="00F92345" w:rsidRDefault="00F92345" w:rsidP="00EE2A22"/>
        </w:tc>
      </w:tr>
      <w:tr w:rsidR="00F92345" w14:paraId="60994D71" w14:textId="77777777" w:rsidTr="00EE2A22">
        <w:tc>
          <w:tcPr>
            <w:tcW w:w="4508" w:type="dxa"/>
          </w:tcPr>
          <w:p w14:paraId="4CAF9FB4" w14:textId="77777777" w:rsidR="00F92345" w:rsidRDefault="00F92345" w:rsidP="00EE2A22">
            <w:r>
              <w:t>Family status</w:t>
            </w:r>
          </w:p>
        </w:tc>
        <w:tc>
          <w:tcPr>
            <w:tcW w:w="4508" w:type="dxa"/>
            <w:vMerge/>
          </w:tcPr>
          <w:p w14:paraId="088E9290" w14:textId="77777777" w:rsidR="00F92345" w:rsidRDefault="00F92345" w:rsidP="00EE2A22"/>
        </w:tc>
      </w:tr>
      <w:tr w:rsidR="00F92345" w14:paraId="234578DD" w14:textId="77777777" w:rsidTr="00EE2A22">
        <w:tc>
          <w:tcPr>
            <w:tcW w:w="4508" w:type="dxa"/>
          </w:tcPr>
          <w:p w14:paraId="743CCB8D" w14:textId="77777777" w:rsidR="00F92345" w:rsidRPr="008E3C34" w:rsidRDefault="00F92345" w:rsidP="00EE2A22">
            <w:pPr>
              <w:rPr>
                <w:b/>
                <w:bCs/>
              </w:rPr>
            </w:pPr>
            <w:r w:rsidRPr="008E3C34">
              <w:rPr>
                <w:b/>
                <w:bCs/>
              </w:rPr>
              <w:t>House ownership</w:t>
            </w:r>
          </w:p>
        </w:tc>
        <w:tc>
          <w:tcPr>
            <w:tcW w:w="4508" w:type="dxa"/>
            <w:vMerge/>
          </w:tcPr>
          <w:p w14:paraId="5B59E8D1" w14:textId="77777777" w:rsidR="00F92345" w:rsidRDefault="00F92345" w:rsidP="00EE2A22"/>
        </w:tc>
      </w:tr>
      <w:tr w:rsidR="00F92345" w14:paraId="43CAEC37" w14:textId="77777777" w:rsidTr="00EE2A22">
        <w:tc>
          <w:tcPr>
            <w:tcW w:w="4508" w:type="dxa"/>
          </w:tcPr>
          <w:p w14:paraId="3B3A6F15" w14:textId="77777777" w:rsidR="00F92345" w:rsidRDefault="00F92345" w:rsidP="00EE2A22">
            <w:r>
              <w:t>Employment status</w:t>
            </w:r>
          </w:p>
        </w:tc>
        <w:tc>
          <w:tcPr>
            <w:tcW w:w="4508" w:type="dxa"/>
            <w:vMerge/>
          </w:tcPr>
          <w:p w14:paraId="4BC44654" w14:textId="77777777" w:rsidR="00F92345" w:rsidRDefault="00F92345" w:rsidP="00EE2A22"/>
        </w:tc>
      </w:tr>
      <w:tr w:rsidR="00F92345" w14:paraId="63861741" w14:textId="77777777" w:rsidTr="00EE2A22">
        <w:tc>
          <w:tcPr>
            <w:tcW w:w="4508" w:type="dxa"/>
          </w:tcPr>
          <w:p w14:paraId="5AD4E2CE" w14:textId="77777777" w:rsidR="00F92345" w:rsidRPr="00573147" w:rsidRDefault="00F92345" w:rsidP="00EE2A22">
            <w:pPr>
              <w:rPr>
                <w:b/>
                <w:bCs/>
              </w:rPr>
            </w:pPr>
            <w:r w:rsidRPr="00573147">
              <w:rPr>
                <w:b/>
                <w:bCs/>
              </w:rPr>
              <w:t>Perceived risk</w:t>
            </w:r>
          </w:p>
        </w:tc>
        <w:tc>
          <w:tcPr>
            <w:tcW w:w="4508" w:type="dxa"/>
            <w:vMerge w:val="restart"/>
          </w:tcPr>
          <w:p w14:paraId="340DD719" w14:textId="77777777" w:rsidR="00F92345" w:rsidRDefault="00F92345" w:rsidP="00EE2A22">
            <w:r>
              <w:t xml:space="preserve">Cognitive variables </w:t>
            </w:r>
          </w:p>
          <w:p w14:paraId="1201A0E4" w14:textId="77777777" w:rsidR="00F92345" w:rsidRDefault="00F92345" w:rsidP="00EE2A22"/>
        </w:tc>
      </w:tr>
      <w:tr w:rsidR="00F92345" w14:paraId="030676A6" w14:textId="77777777" w:rsidTr="00EE2A22">
        <w:tc>
          <w:tcPr>
            <w:tcW w:w="4508" w:type="dxa"/>
          </w:tcPr>
          <w:p w14:paraId="2A36FCF2" w14:textId="77777777" w:rsidR="00F92345" w:rsidRDefault="00F92345" w:rsidP="00EE2A22">
            <w:r>
              <w:t xml:space="preserve">Perceived severity </w:t>
            </w:r>
          </w:p>
        </w:tc>
        <w:tc>
          <w:tcPr>
            <w:tcW w:w="4508" w:type="dxa"/>
            <w:vMerge/>
          </w:tcPr>
          <w:p w14:paraId="1A928BB6" w14:textId="77777777" w:rsidR="00F92345" w:rsidRDefault="00F92345" w:rsidP="00EE2A22"/>
        </w:tc>
      </w:tr>
      <w:tr w:rsidR="00F92345" w14:paraId="230C484D" w14:textId="77777777" w:rsidTr="00EE2A22">
        <w:tc>
          <w:tcPr>
            <w:tcW w:w="4508" w:type="dxa"/>
          </w:tcPr>
          <w:p w14:paraId="2A027441" w14:textId="77777777" w:rsidR="00F92345" w:rsidRDefault="00F92345" w:rsidP="00EE2A22">
            <w:r>
              <w:t xml:space="preserve">Perceived likelihood </w:t>
            </w:r>
          </w:p>
        </w:tc>
        <w:tc>
          <w:tcPr>
            <w:tcW w:w="4508" w:type="dxa"/>
            <w:vMerge/>
          </w:tcPr>
          <w:p w14:paraId="3B32B310" w14:textId="77777777" w:rsidR="00F92345" w:rsidRDefault="00F92345" w:rsidP="00EE2A22"/>
        </w:tc>
      </w:tr>
      <w:tr w:rsidR="00F92345" w14:paraId="74D0F952" w14:textId="77777777" w:rsidTr="00EE2A22">
        <w:tc>
          <w:tcPr>
            <w:tcW w:w="4508" w:type="dxa"/>
          </w:tcPr>
          <w:p w14:paraId="293E837F" w14:textId="77777777" w:rsidR="00F92345" w:rsidRDefault="00F92345" w:rsidP="00EE2A22">
            <w:r>
              <w:t xml:space="preserve">Perceived damage </w:t>
            </w:r>
          </w:p>
        </w:tc>
        <w:tc>
          <w:tcPr>
            <w:tcW w:w="4508" w:type="dxa"/>
            <w:vMerge/>
          </w:tcPr>
          <w:p w14:paraId="5E476A97" w14:textId="77777777" w:rsidR="00F92345" w:rsidRDefault="00F92345" w:rsidP="00EE2A22"/>
        </w:tc>
      </w:tr>
      <w:tr w:rsidR="00F92345" w14:paraId="6DFC01D2" w14:textId="77777777" w:rsidTr="00EE2A22">
        <w:tc>
          <w:tcPr>
            <w:tcW w:w="4508" w:type="dxa"/>
          </w:tcPr>
          <w:p w14:paraId="0FF9B029" w14:textId="77777777" w:rsidR="00F92345" w:rsidRPr="00573147" w:rsidRDefault="00F92345" w:rsidP="00EE2A22">
            <w:pPr>
              <w:rPr>
                <w:b/>
                <w:bCs/>
              </w:rPr>
            </w:pPr>
            <w:r w:rsidRPr="00573147">
              <w:rPr>
                <w:b/>
                <w:bCs/>
              </w:rPr>
              <w:t>Perceived efficacy</w:t>
            </w:r>
          </w:p>
        </w:tc>
        <w:tc>
          <w:tcPr>
            <w:tcW w:w="4508" w:type="dxa"/>
            <w:vMerge/>
          </w:tcPr>
          <w:p w14:paraId="78E7C1A0" w14:textId="77777777" w:rsidR="00F92345" w:rsidRDefault="00F92345" w:rsidP="00EE2A22"/>
        </w:tc>
      </w:tr>
      <w:tr w:rsidR="00F92345" w14:paraId="660445FE" w14:textId="77777777" w:rsidTr="00EE2A22">
        <w:tc>
          <w:tcPr>
            <w:tcW w:w="4508" w:type="dxa"/>
          </w:tcPr>
          <w:p w14:paraId="77DEC84D" w14:textId="77777777" w:rsidR="00F92345" w:rsidRDefault="00F92345" w:rsidP="00EE2A22">
            <w:r>
              <w:t xml:space="preserve">Perceived responsibility </w:t>
            </w:r>
          </w:p>
        </w:tc>
        <w:tc>
          <w:tcPr>
            <w:tcW w:w="4508" w:type="dxa"/>
            <w:vMerge/>
          </w:tcPr>
          <w:p w14:paraId="38B72B48" w14:textId="77777777" w:rsidR="00F92345" w:rsidRDefault="00F92345" w:rsidP="00EE2A22"/>
        </w:tc>
      </w:tr>
      <w:tr w:rsidR="00F92345" w14:paraId="58B34AB1" w14:textId="77777777" w:rsidTr="00EE2A22">
        <w:tc>
          <w:tcPr>
            <w:tcW w:w="4508" w:type="dxa"/>
          </w:tcPr>
          <w:p w14:paraId="4CFDFD23" w14:textId="77777777" w:rsidR="00F92345" w:rsidRPr="00573147" w:rsidRDefault="00F92345" w:rsidP="00EE2A22">
            <w:pPr>
              <w:rPr>
                <w:b/>
                <w:bCs/>
              </w:rPr>
            </w:pPr>
            <w:r w:rsidRPr="00573147">
              <w:rPr>
                <w:b/>
                <w:bCs/>
              </w:rPr>
              <w:t xml:space="preserve">Experience </w:t>
            </w:r>
          </w:p>
        </w:tc>
        <w:tc>
          <w:tcPr>
            <w:tcW w:w="4508" w:type="dxa"/>
            <w:vMerge/>
          </w:tcPr>
          <w:p w14:paraId="46E4F5B7" w14:textId="77777777" w:rsidR="00F92345" w:rsidRDefault="00F92345" w:rsidP="00EE2A22"/>
        </w:tc>
      </w:tr>
      <w:tr w:rsidR="00F92345" w14:paraId="5665C953" w14:textId="77777777" w:rsidTr="00EE2A22">
        <w:tc>
          <w:tcPr>
            <w:tcW w:w="4508" w:type="dxa"/>
          </w:tcPr>
          <w:p w14:paraId="714540A3" w14:textId="77777777" w:rsidR="00F92345" w:rsidRPr="00573147" w:rsidRDefault="00F92345" w:rsidP="00EE2A22">
            <w:pPr>
              <w:rPr>
                <w:b/>
                <w:bCs/>
              </w:rPr>
            </w:pPr>
            <w:r w:rsidRPr="00573147">
              <w:rPr>
                <w:b/>
                <w:bCs/>
              </w:rPr>
              <w:t>Awareness</w:t>
            </w:r>
          </w:p>
        </w:tc>
        <w:tc>
          <w:tcPr>
            <w:tcW w:w="4508" w:type="dxa"/>
            <w:vMerge/>
          </w:tcPr>
          <w:p w14:paraId="08CDB357" w14:textId="77777777" w:rsidR="00F92345" w:rsidRDefault="00F92345" w:rsidP="00EE2A22"/>
        </w:tc>
      </w:tr>
      <w:tr w:rsidR="00F92345" w14:paraId="07876635" w14:textId="77777777" w:rsidTr="00EE2A22">
        <w:tc>
          <w:tcPr>
            <w:tcW w:w="4508" w:type="dxa"/>
          </w:tcPr>
          <w:p w14:paraId="19E96240" w14:textId="77777777" w:rsidR="00F92345" w:rsidRDefault="00F92345" w:rsidP="00EE2A22">
            <w:r>
              <w:t xml:space="preserve">Governmental assistance </w:t>
            </w:r>
          </w:p>
        </w:tc>
        <w:tc>
          <w:tcPr>
            <w:tcW w:w="4508" w:type="dxa"/>
            <w:vMerge w:val="restart"/>
          </w:tcPr>
          <w:p w14:paraId="296AF6B6" w14:textId="77777777" w:rsidR="00F92345" w:rsidRDefault="00F92345" w:rsidP="00EE2A22">
            <w:r>
              <w:t xml:space="preserve">Situational variables </w:t>
            </w:r>
          </w:p>
        </w:tc>
      </w:tr>
      <w:tr w:rsidR="00F92345" w14:paraId="0DA9C91D" w14:textId="77777777" w:rsidTr="00EE2A22">
        <w:tc>
          <w:tcPr>
            <w:tcW w:w="4508" w:type="dxa"/>
          </w:tcPr>
          <w:p w14:paraId="7068BAAB" w14:textId="77777777" w:rsidR="00F92345" w:rsidRDefault="00F92345" w:rsidP="00EE2A22">
            <w:r>
              <w:t xml:space="preserve">Social norms </w:t>
            </w:r>
          </w:p>
        </w:tc>
        <w:tc>
          <w:tcPr>
            <w:tcW w:w="4508" w:type="dxa"/>
            <w:vMerge/>
          </w:tcPr>
          <w:p w14:paraId="7CCE33E5" w14:textId="77777777" w:rsidR="00F92345" w:rsidRDefault="00F92345" w:rsidP="00EE2A22"/>
        </w:tc>
      </w:tr>
      <w:tr w:rsidR="00F92345" w14:paraId="3042DE1A" w14:textId="77777777" w:rsidTr="00EE2A22">
        <w:tc>
          <w:tcPr>
            <w:tcW w:w="4508" w:type="dxa"/>
          </w:tcPr>
          <w:p w14:paraId="459506D2" w14:textId="77777777" w:rsidR="00F92345" w:rsidRDefault="00F92345" w:rsidP="00EE2A22">
            <w:r>
              <w:t>Style of occupation</w:t>
            </w:r>
          </w:p>
        </w:tc>
        <w:tc>
          <w:tcPr>
            <w:tcW w:w="4508" w:type="dxa"/>
            <w:vMerge/>
          </w:tcPr>
          <w:p w14:paraId="0133835B" w14:textId="77777777" w:rsidR="00F92345" w:rsidRDefault="00F92345" w:rsidP="00EE2A22"/>
        </w:tc>
      </w:tr>
      <w:tr w:rsidR="00F92345" w14:paraId="1F4A99A8" w14:textId="77777777" w:rsidTr="00EE2A22">
        <w:tc>
          <w:tcPr>
            <w:tcW w:w="4508" w:type="dxa"/>
          </w:tcPr>
          <w:p w14:paraId="104F4D16" w14:textId="77777777" w:rsidR="00F92345" w:rsidRDefault="00F92345" w:rsidP="00EE2A22">
            <w:r>
              <w:t xml:space="preserve">Distance to water </w:t>
            </w:r>
            <w:r w:rsidRPr="00573147">
              <w:rPr>
                <w:b/>
                <w:bCs/>
              </w:rPr>
              <w:t>(could calculate this)</w:t>
            </w:r>
          </w:p>
        </w:tc>
        <w:tc>
          <w:tcPr>
            <w:tcW w:w="4508" w:type="dxa"/>
            <w:vMerge w:val="restart"/>
          </w:tcPr>
          <w:p w14:paraId="4D4D0877" w14:textId="77777777" w:rsidR="00F92345" w:rsidRDefault="00F92345" w:rsidP="00EE2A22">
            <w:r>
              <w:t xml:space="preserve">Geographic variables </w:t>
            </w:r>
          </w:p>
        </w:tc>
      </w:tr>
      <w:tr w:rsidR="00F92345" w14:paraId="7D6A42E4" w14:textId="77777777" w:rsidTr="00EE2A22">
        <w:tc>
          <w:tcPr>
            <w:tcW w:w="4508" w:type="dxa"/>
          </w:tcPr>
          <w:p w14:paraId="0BF58ACA" w14:textId="77777777" w:rsidR="00F92345" w:rsidRPr="00573147" w:rsidRDefault="00F92345" w:rsidP="00EE2A22">
            <w:pPr>
              <w:rPr>
                <w:b/>
                <w:bCs/>
              </w:rPr>
            </w:pPr>
            <w:r w:rsidRPr="00573147">
              <w:rPr>
                <w:b/>
                <w:bCs/>
              </w:rPr>
              <w:t xml:space="preserve">Living in a high-risk area </w:t>
            </w:r>
          </w:p>
        </w:tc>
        <w:tc>
          <w:tcPr>
            <w:tcW w:w="4508" w:type="dxa"/>
            <w:vMerge/>
          </w:tcPr>
          <w:p w14:paraId="65DA292B" w14:textId="77777777" w:rsidR="00F92345" w:rsidRDefault="00F92345" w:rsidP="00EE2A22"/>
        </w:tc>
      </w:tr>
    </w:tbl>
    <w:p w14:paraId="709510B9" w14:textId="70188F67" w:rsidR="00F92345" w:rsidRDefault="00F92345" w:rsidP="00F92345">
      <w:pPr>
        <w:pStyle w:val="Caption"/>
      </w:pPr>
      <w:bookmarkStart w:id="20" w:name="_Toc194329527"/>
      <w:r>
        <w:t xml:space="preserve">Table </w:t>
      </w:r>
      <w:r>
        <w:fldChar w:fldCharType="begin"/>
      </w:r>
      <w:r>
        <w:instrText xml:space="preserve"> SEQ Table \* ARABIC </w:instrText>
      </w:r>
      <w:r>
        <w:fldChar w:fldCharType="separate"/>
      </w:r>
      <w:r w:rsidR="00E87450">
        <w:rPr>
          <w:noProof/>
        </w:rPr>
        <w:t>1</w:t>
      </w:r>
      <w:r>
        <w:fldChar w:fldCharType="end"/>
      </w:r>
      <w:r>
        <w:t>: Determinants of preparedness. Selected variables from Koerth et al. (2017)</w:t>
      </w:r>
      <w:bookmarkEnd w:id="20"/>
    </w:p>
    <w:p w14:paraId="499414E1" w14:textId="77777777" w:rsidR="00393E2D" w:rsidRDefault="00393E2D" w:rsidP="00B33B9F">
      <w:pPr>
        <w:jc w:val="both"/>
      </w:pPr>
    </w:p>
    <w:p w14:paraId="1C71E5F5" w14:textId="3004A156" w:rsidR="00B33B9F" w:rsidRDefault="00B33B9F" w:rsidP="00B33B9F">
      <w:pPr>
        <w:jc w:val="both"/>
      </w:pPr>
      <w:commentRangeStart w:id="21"/>
      <w:r>
        <w:t xml:space="preserve">The authors note that </w:t>
      </w:r>
      <w:r w:rsidRPr="00573147">
        <w:rPr>
          <w:b/>
          <w:bCs/>
        </w:rPr>
        <w:t>age</w:t>
      </w:r>
      <w:r>
        <w:rPr>
          <w:b/>
          <w:bCs/>
        </w:rPr>
        <w:t xml:space="preserve"> and</w:t>
      </w:r>
      <w:r w:rsidRPr="00573147">
        <w:rPr>
          <w:b/>
          <w:bCs/>
        </w:rPr>
        <w:t xml:space="preserve"> income exhibit ambiguous effect directions</w:t>
      </w:r>
      <w:r>
        <w:t xml:space="preserve">. Whereas perceived risk and damage are having a positive effect on disaster preparedness, their effect on the implementation of structural adaptation measures seems to be weak. </w:t>
      </w:r>
      <w:commentRangeEnd w:id="21"/>
      <w:r>
        <w:rPr>
          <w:rStyle w:val="CommentReference"/>
        </w:rPr>
        <w:commentReference w:id="21"/>
      </w:r>
    </w:p>
    <w:p w14:paraId="21AF78A1" w14:textId="77777777" w:rsidR="00F92345" w:rsidRDefault="00F92345" w:rsidP="00F92345"/>
    <w:p w14:paraId="63B36FDC" w14:textId="0FDB87CA" w:rsidR="00F92345" w:rsidRDefault="00DB0200" w:rsidP="00F92345">
      <w:r>
        <w:t xml:space="preserve">&lt;findings </w:t>
      </w:r>
      <w:proofErr w:type="spellStart"/>
      <w:r>
        <w:t>syntehsized</w:t>
      </w:r>
      <w:proofErr w:type="spellEnd"/>
      <w:r>
        <w:t>&gt;</w:t>
      </w:r>
    </w:p>
    <w:p w14:paraId="75D72DAD" w14:textId="485AE548" w:rsidR="00F92345" w:rsidRDefault="00F92345" w:rsidP="00F92345">
      <w:pPr>
        <w:pStyle w:val="ListParagraph"/>
        <w:numPr>
          <w:ilvl w:val="0"/>
          <w:numId w:val="14"/>
        </w:numPr>
      </w:pPr>
      <w:r>
        <w:t xml:space="preserve">Experience </w:t>
      </w:r>
      <w:r w:rsidR="00393E2D">
        <w:t>has a positive impact on preparedness</w:t>
      </w:r>
    </w:p>
    <w:p w14:paraId="311C9A0B" w14:textId="167285AA" w:rsidR="00F92345" w:rsidRDefault="00F92345" w:rsidP="00F92345">
      <w:pPr>
        <w:pStyle w:val="ListParagraph"/>
        <w:numPr>
          <w:ilvl w:val="0"/>
          <w:numId w:val="14"/>
        </w:numPr>
      </w:pPr>
      <w:r>
        <w:t>Socioeconomic</w:t>
      </w:r>
      <w:r w:rsidR="00393E2D">
        <w:t xml:space="preserve"> variables </w:t>
      </w:r>
    </w:p>
    <w:p w14:paraId="314E7369" w14:textId="77777777" w:rsidR="00F92345" w:rsidRDefault="00F92345" w:rsidP="00F92345">
      <w:pPr>
        <w:pStyle w:val="ListParagraph"/>
        <w:numPr>
          <w:ilvl w:val="1"/>
          <w:numId w:val="14"/>
        </w:numPr>
      </w:pPr>
      <w:r>
        <w:t>Age (ambiguous)</w:t>
      </w:r>
    </w:p>
    <w:p w14:paraId="29AE4DB3" w14:textId="77777777" w:rsidR="00F92345" w:rsidRDefault="00F92345" w:rsidP="00F92345">
      <w:pPr>
        <w:pStyle w:val="ListParagraph"/>
        <w:numPr>
          <w:ilvl w:val="1"/>
          <w:numId w:val="14"/>
        </w:numPr>
      </w:pPr>
      <w:r>
        <w:t xml:space="preserve">Income (ambiguous) </w:t>
      </w:r>
    </w:p>
    <w:p w14:paraId="1EE79B9B" w14:textId="77777777" w:rsidR="00F92345" w:rsidRDefault="00F92345" w:rsidP="00F92345">
      <w:pPr>
        <w:pStyle w:val="ListParagraph"/>
        <w:numPr>
          <w:ilvl w:val="1"/>
          <w:numId w:val="14"/>
        </w:numPr>
      </w:pPr>
      <w:r>
        <w:t>Education (positive)</w:t>
      </w:r>
    </w:p>
    <w:p w14:paraId="3649390A" w14:textId="77777777" w:rsidR="00F92345" w:rsidRDefault="00F92345" w:rsidP="00F92345">
      <w:pPr>
        <w:pStyle w:val="ListParagraph"/>
        <w:numPr>
          <w:ilvl w:val="1"/>
          <w:numId w:val="14"/>
        </w:numPr>
      </w:pPr>
      <w:r>
        <w:t xml:space="preserve">Homeownership (positive) </w:t>
      </w:r>
    </w:p>
    <w:p w14:paraId="321E0329" w14:textId="6604D430" w:rsidR="00F92345" w:rsidRPr="005D3B57" w:rsidRDefault="00F92345" w:rsidP="005D3B57">
      <w:pPr>
        <w:pStyle w:val="ListParagraph"/>
        <w:numPr>
          <w:ilvl w:val="0"/>
          <w:numId w:val="14"/>
        </w:numPr>
        <w:rPr>
          <w:b/>
          <w:bCs/>
        </w:rPr>
      </w:pPr>
      <w:r w:rsidRPr="00393E2D">
        <w:t>Insurance</w:t>
      </w:r>
      <w:r w:rsidR="005D3B57">
        <w:t xml:space="preserve"> has a positive impact on other adaptation measures </w:t>
      </w:r>
      <w:r w:rsidR="00393E2D">
        <w:t xml:space="preserve"> </w:t>
      </w:r>
      <w:r w:rsidRPr="005D3B57">
        <w:rPr>
          <w:b/>
          <w:bCs/>
        </w:rPr>
        <w:t xml:space="preserve">  </w:t>
      </w:r>
    </w:p>
    <w:p w14:paraId="7629568E" w14:textId="41D78BFD" w:rsidR="005D3B57" w:rsidRDefault="00F92345" w:rsidP="004B5A08">
      <w:pPr>
        <w:pStyle w:val="ListParagraph"/>
        <w:numPr>
          <w:ilvl w:val="0"/>
          <w:numId w:val="14"/>
        </w:numPr>
      </w:pPr>
      <w:r>
        <w:t xml:space="preserve">Risk perception </w:t>
      </w:r>
      <w:r w:rsidR="005D3B57">
        <w:t xml:space="preserve">has a positive impact on adaptation </w:t>
      </w:r>
    </w:p>
    <w:p w14:paraId="0DD21826" w14:textId="2202D5E1" w:rsidR="005D3B57" w:rsidRDefault="005D3B57" w:rsidP="005D3B57">
      <w:pPr>
        <w:pStyle w:val="ListParagraph"/>
        <w:numPr>
          <w:ilvl w:val="1"/>
          <w:numId w:val="14"/>
        </w:numPr>
      </w:pPr>
      <w:r>
        <w:t xml:space="preserve">Particularly positive on signing up for alerts </w:t>
      </w:r>
    </w:p>
    <w:p w14:paraId="169B9CA7" w14:textId="472FF796" w:rsidR="005D3B57" w:rsidRDefault="005D3B57" w:rsidP="005D3B57">
      <w:pPr>
        <w:pStyle w:val="ListParagraph"/>
        <w:numPr>
          <w:ilvl w:val="1"/>
          <w:numId w:val="14"/>
        </w:numPr>
      </w:pPr>
      <w:r>
        <w:t xml:space="preserve">Less positive on structural adaptation </w:t>
      </w:r>
    </w:p>
    <w:p w14:paraId="4736FCA8" w14:textId="24CD981A" w:rsidR="005D3B57" w:rsidRPr="005D3B57" w:rsidRDefault="005D3B57" w:rsidP="00F92345">
      <w:pPr>
        <w:pStyle w:val="ListParagraph"/>
        <w:numPr>
          <w:ilvl w:val="0"/>
          <w:numId w:val="14"/>
        </w:numPr>
        <w:rPr>
          <w:b/>
          <w:bCs/>
        </w:rPr>
      </w:pPr>
      <w:r>
        <w:lastRenderedPageBreak/>
        <w:t xml:space="preserve">Perceived efficacy has a positive impact on adaptation </w:t>
      </w:r>
    </w:p>
    <w:p w14:paraId="2AB754BA" w14:textId="5CECB0A0" w:rsidR="00F92345" w:rsidRDefault="005D3B57" w:rsidP="00FC47DA">
      <w:pPr>
        <w:pStyle w:val="ListParagraph"/>
        <w:numPr>
          <w:ilvl w:val="0"/>
          <w:numId w:val="14"/>
        </w:numPr>
      </w:pPr>
      <w:r>
        <w:t>Risk awareness has a positive effect on adaptation</w:t>
      </w:r>
    </w:p>
    <w:p w14:paraId="5E21C65A" w14:textId="77777777" w:rsidR="003B45FD" w:rsidRDefault="003B45FD" w:rsidP="00F92345"/>
    <w:p w14:paraId="112ADBCF" w14:textId="224856E7" w:rsidR="003B45FD" w:rsidRDefault="003B45FD" w:rsidP="003B45FD">
      <w:pPr>
        <w:pStyle w:val="Heading2"/>
        <w:numPr>
          <w:ilvl w:val="1"/>
          <w:numId w:val="6"/>
        </w:numPr>
      </w:pPr>
      <w:bookmarkStart w:id="22" w:name="_Toc197002966"/>
      <w:commentRangeStart w:id="23"/>
      <w:commentRangeStart w:id="24"/>
      <w:r>
        <w:t>Behavioral Adaptation Theories</w:t>
      </w:r>
      <w:bookmarkEnd w:id="22"/>
      <w:r>
        <w:t xml:space="preserve"> </w:t>
      </w:r>
    </w:p>
    <w:p w14:paraId="7486B48C" w14:textId="77777777" w:rsidR="003B45FD" w:rsidRDefault="003B45FD" w:rsidP="00F92345"/>
    <w:p w14:paraId="5C14BB3B" w14:textId="77777777" w:rsidR="003B45FD" w:rsidRDefault="003B45FD" w:rsidP="003B45FD">
      <w:r>
        <w:t>&lt; adaptation decision models&gt;</w:t>
      </w:r>
    </w:p>
    <w:p w14:paraId="225F9C01" w14:textId="77777777" w:rsidR="003B45FD" w:rsidRDefault="003B45FD" w:rsidP="003B45FD">
      <w:pPr>
        <w:pStyle w:val="ListParagraph"/>
        <w:numPr>
          <w:ilvl w:val="0"/>
          <w:numId w:val="18"/>
        </w:numPr>
      </w:pPr>
      <w:r>
        <w:t>Protective Action Decision Model (PADM)</w:t>
      </w:r>
    </w:p>
    <w:p w14:paraId="48F09679" w14:textId="77777777" w:rsidR="003B45FD" w:rsidRDefault="003B45FD" w:rsidP="003B45FD">
      <w:pPr>
        <w:pStyle w:val="ListParagraph"/>
        <w:numPr>
          <w:ilvl w:val="0"/>
          <w:numId w:val="18"/>
        </w:numPr>
      </w:pPr>
      <w:r>
        <w:t>Theory of Reasoned Action (TRA)</w:t>
      </w:r>
    </w:p>
    <w:p w14:paraId="50C97E11" w14:textId="77777777" w:rsidR="003B45FD" w:rsidRDefault="003B45FD" w:rsidP="003B45FD">
      <w:pPr>
        <w:pStyle w:val="ListParagraph"/>
        <w:numPr>
          <w:ilvl w:val="0"/>
          <w:numId w:val="18"/>
        </w:numPr>
      </w:pPr>
      <w:r>
        <w:t>Model of Private Proactive Adaptation to Climate Change (MPPACC)</w:t>
      </w:r>
    </w:p>
    <w:p w14:paraId="5CF63168" w14:textId="77777777" w:rsidR="003B45FD" w:rsidRDefault="003B45FD" w:rsidP="003B45FD">
      <w:pPr>
        <w:pStyle w:val="ListParagraph"/>
        <w:numPr>
          <w:ilvl w:val="0"/>
          <w:numId w:val="18"/>
        </w:numPr>
      </w:pPr>
      <w:r>
        <w:t>Protection Motivation Theory (PMT)</w:t>
      </w:r>
    </w:p>
    <w:p w14:paraId="6BD25DD0" w14:textId="77777777" w:rsidR="003B45FD" w:rsidRDefault="003B45FD" w:rsidP="003B45FD">
      <w:pPr>
        <w:pStyle w:val="ListParagraph"/>
        <w:numPr>
          <w:ilvl w:val="0"/>
          <w:numId w:val="18"/>
        </w:numPr>
      </w:pPr>
      <w:r>
        <w:t>Look also into the Terpstra model (Koerth et al., 2017)</w:t>
      </w:r>
      <w:commentRangeEnd w:id="23"/>
      <w:r w:rsidR="003A0719">
        <w:rPr>
          <w:rStyle w:val="CommentReference"/>
        </w:rPr>
        <w:commentReference w:id="23"/>
      </w:r>
      <w:commentRangeEnd w:id="24"/>
      <w:r w:rsidR="00B96B6D">
        <w:rPr>
          <w:rStyle w:val="CommentReference"/>
        </w:rPr>
        <w:commentReference w:id="24"/>
      </w:r>
    </w:p>
    <w:p w14:paraId="3B0C401E" w14:textId="77777777" w:rsidR="003B45FD" w:rsidRPr="00F92345" w:rsidRDefault="003B45FD" w:rsidP="00F92345"/>
    <w:p w14:paraId="2CEB79FD" w14:textId="77777777" w:rsidR="0092692D" w:rsidRDefault="0092692D" w:rsidP="0092692D">
      <w:pPr>
        <w:rPr>
          <w:rFonts w:eastAsiaTheme="minorEastAsia"/>
          <w:sz w:val="22"/>
          <w:szCs w:val="22"/>
        </w:rPr>
      </w:pPr>
    </w:p>
    <w:p w14:paraId="0677FC80" w14:textId="41246BC0" w:rsidR="000C6266" w:rsidRDefault="00C122B0" w:rsidP="00674959">
      <w:pPr>
        <w:pStyle w:val="Heading1"/>
        <w:numPr>
          <w:ilvl w:val="0"/>
          <w:numId w:val="6"/>
        </w:numPr>
      </w:pPr>
      <w:bookmarkStart w:id="25" w:name="_Toc197002967"/>
      <w:r>
        <w:t>Research Questions</w:t>
      </w:r>
      <w:bookmarkEnd w:id="25"/>
    </w:p>
    <w:p w14:paraId="63D82B63" w14:textId="2BB97D84" w:rsidR="00B13CFF" w:rsidRDefault="00B13CFF" w:rsidP="00B13CFF">
      <w:pPr>
        <w:pStyle w:val="ListParagraph"/>
        <w:numPr>
          <w:ilvl w:val="0"/>
          <w:numId w:val="14"/>
        </w:numPr>
      </w:pPr>
      <w:r>
        <w:t>From these insights we derive our first round of hypotheses</w:t>
      </w:r>
    </w:p>
    <w:p w14:paraId="3DAB0200" w14:textId="2631A449" w:rsidR="00674959" w:rsidRDefault="00674959" w:rsidP="00674959">
      <w:r>
        <w:t>&lt;Research Gap</w:t>
      </w:r>
      <w:r w:rsidR="00CB25D2">
        <w:t xml:space="preserve">&gt; </w:t>
      </w:r>
    </w:p>
    <w:p w14:paraId="74A9FC10" w14:textId="2C434635" w:rsidR="00CB25D2" w:rsidRDefault="00CB25D2" w:rsidP="00CB25D2">
      <w:pPr>
        <w:pStyle w:val="ListParagraph"/>
        <w:numPr>
          <w:ilvl w:val="0"/>
          <w:numId w:val="14"/>
        </w:numPr>
      </w:pPr>
      <w:r>
        <w:t xml:space="preserve">We will look at specific adaptations and see if there are differences </w:t>
      </w:r>
      <w:r w:rsidR="00A233B5">
        <w:t>between them</w:t>
      </w:r>
    </w:p>
    <w:p w14:paraId="184640D0" w14:textId="599D2725" w:rsidR="00CB25D2" w:rsidRDefault="00CB25D2" w:rsidP="00CB25D2">
      <w:pPr>
        <w:pStyle w:val="ListParagraph"/>
        <w:numPr>
          <w:ilvl w:val="0"/>
          <w:numId w:val="14"/>
        </w:numPr>
      </w:pPr>
      <w:r>
        <w:t xml:space="preserve">We will see what the effect is in the US </w:t>
      </w:r>
    </w:p>
    <w:p w14:paraId="62A32181" w14:textId="77777777" w:rsidR="00527759" w:rsidRDefault="00527759" w:rsidP="00527759">
      <w:pPr>
        <w:pStyle w:val="ListParagraph"/>
      </w:pPr>
    </w:p>
    <w:p w14:paraId="27DEA13A" w14:textId="6727C0AF" w:rsidR="00527759" w:rsidRDefault="00527759" w:rsidP="00527759">
      <w:r>
        <w:t>&lt;Hypotheses from the Model&gt;</w:t>
      </w:r>
    </w:p>
    <w:p w14:paraId="65A24364" w14:textId="35AE6C15" w:rsidR="00D43D97" w:rsidRDefault="00D43D97" w:rsidP="00D43D97">
      <w:pPr>
        <w:pStyle w:val="ListParagraph"/>
        <w:numPr>
          <w:ilvl w:val="0"/>
          <w:numId w:val="14"/>
        </w:numPr>
      </w:pPr>
      <w:r>
        <w:t>H</w:t>
      </w:r>
      <w:r w:rsidR="00014992">
        <w:t>1</w:t>
      </w:r>
      <w:r>
        <w:t>: Risk perception has a positive effect on adaptation</w:t>
      </w:r>
    </w:p>
    <w:p w14:paraId="1D003D94" w14:textId="77777777" w:rsidR="00D43D97" w:rsidRDefault="00D43D97" w:rsidP="00D43D97">
      <w:pPr>
        <w:pStyle w:val="ListParagraph"/>
        <w:numPr>
          <w:ilvl w:val="1"/>
          <w:numId w:val="14"/>
        </w:numPr>
      </w:pPr>
      <w:r>
        <w:t xml:space="preserve">Confirmed by the literature </w:t>
      </w:r>
    </w:p>
    <w:p w14:paraId="2D471FF9" w14:textId="77777777" w:rsidR="00D43D97" w:rsidRDefault="00D43D97" w:rsidP="00D43D97">
      <w:pPr>
        <w:pStyle w:val="ListParagraph"/>
        <w:numPr>
          <w:ilvl w:val="1"/>
          <w:numId w:val="14"/>
        </w:numPr>
      </w:pPr>
      <w:r>
        <w:t>Literature expects stronger effect size for alerts and weaker effect size for structural adaptation measures</w:t>
      </w:r>
    </w:p>
    <w:p w14:paraId="66C66F21" w14:textId="77777777" w:rsidR="00D43D97" w:rsidRDefault="00D43D97" w:rsidP="00527759"/>
    <w:p w14:paraId="5D556CD3" w14:textId="437A8F2E" w:rsidR="00527759" w:rsidRDefault="00527759" w:rsidP="00527759">
      <w:pPr>
        <w:pStyle w:val="ListParagraph"/>
        <w:numPr>
          <w:ilvl w:val="0"/>
          <w:numId w:val="14"/>
        </w:numPr>
      </w:pPr>
      <w:r>
        <w:t>H</w:t>
      </w:r>
      <w:r w:rsidR="00D43D97">
        <w:t>2</w:t>
      </w:r>
      <w:r>
        <w:t>: Flood risk has a positive effect on adaptation</w:t>
      </w:r>
    </w:p>
    <w:p w14:paraId="0467E96F" w14:textId="0BAF088A" w:rsidR="00527759" w:rsidRDefault="00527759" w:rsidP="00527759">
      <w:pPr>
        <w:pStyle w:val="ListParagraph"/>
        <w:numPr>
          <w:ilvl w:val="1"/>
          <w:numId w:val="14"/>
        </w:numPr>
      </w:pPr>
      <w:r>
        <w:t xml:space="preserve">Not confirmed by the literature (but </w:t>
      </w:r>
      <w:proofErr w:type="spellStart"/>
      <w:r>
        <w:t>kinda</w:t>
      </w:r>
      <w:proofErr w:type="spellEnd"/>
      <w:r>
        <w:t xml:space="preserve"> </w:t>
      </w:r>
      <w:proofErr w:type="gramStart"/>
      <w:r>
        <w:t>obvious</w:t>
      </w:r>
      <w:proofErr w:type="gramEnd"/>
      <w:r>
        <w:t xml:space="preserve"> no?)</w:t>
      </w:r>
    </w:p>
    <w:p w14:paraId="1725ACC0" w14:textId="77777777" w:rsidR="00527759" w:rsidRDefault="00527759" w:rsidP="00527759">
      <w:pPr>
        <w:pStyle w:val="ListParagraph"/>
        <w:numPr>
          <w:ilvl w:val="1"/>
          <w:numId w:val="14"/>
        </w:numPr>
      </w:pPr>
      <w:commentRangeStart w:id="26"/>
      <w:r>
        <w:t xml:space="preserve">We cannot directly test this because we have no time series data to model underlying risk change. </w:t>
      </w:r>
    </w:p>
    <w:p w14:paraId="1B60FE12" w14:textId="77777777" w:rsidR="00527759" w:rsidRDefault="00527759" w:rsidP="00527759">
      <w:pPr>
        <w:pStyle w:val="ListParagraph"/>
        <w:numPr>
          <w:ilvl w:val="1"/>
          <w:numId w:val="14"/>
        </w:numPr>
      </w:pPr>
      <w:r>
        <w:t xml:space="preserve">We can gauge this by looking at the difference of adaptation outcomes in </w:t>
      </w:r>
      <w:r w:rsidRPr="00D641FD">
        <w:rPr>
          <w:b/>
          <w:bCs/>
        </w:rPr>
        <w:t>flood zones and non-flood zones</w:t>
      </w:r>
      <w:r>
        <w:t xml:space="preserve"> </w:t>
      </w:r>
      <w:commentRangeEnd w:id="26"/>
      <w:r>
        <w:rPr>
          <w:rStyle w:val="CommentReference"/>
        </w:rPr>
        <w:commentReference w:id="26"/>
      </w:r>
    </w:p>
    <w:p w14:paraId="3F94DFB5" w14:textId="77777777" w:rsidR="00527759" w:rsidRDefault="00527759" w:rsidP="00527759"/>
    <w:p w14:paraId="046B4AF2" w14:textId="570D6E25" w:rsidR="00527759" w:rsidRDefault="00527759" w:rsidP="00527759">
      <w:pPr>
        <w:pStyle w:val="ListParagraph"/>
        <w:numPr>
          <w:ilvl w:val="0"/>
          <w:numId w:val="14"/>
        </w:numPr>
      </w:pPr>
      <w:r>
        <w:t>H3: Flood experience has a positive effect on adaptation</w:t>
      </w:r>
    </w:p>
    <w:p w14:paraId="4E55F717" w14:textId="4FF7929B" w:rsidR="00527759" w:rsidRDefault="00527759" w:rsidP="00527759">
      <w:pPr>
        <w:pStyle w:val="ListParagraph"/>
        <w:numPr>
          <w:ilvl w:val="1"/>
          <w:numId w:val="14"/>
        </w:numPr>
      </w:pPr>
      <w:r>
        <w:t xml:space="preserve">Confirmed by the literature </w:t>
      </w:r>
    </w:p>
    <w:p w14:paraId="02070503" w14:textId="77777777" w:rsidR="00527759" w:rsidRDefault="00527759" w:rsidP="00527759"/>
    <w:p w14:paraId="1B9F7A40" w14:textId="4D1FE3A3" w:rsidR="00527759" w:rsidRDefault="00527759" w:rsidP="00527759">
      <w:pPr>
        <w:pStyle w:val="ListParagraph"/>
        <w:numPr>
          <w:ilvl w:val="0"/>
          <w:numId w:val="14"/>
        </w:numPr>
      </w:pPr>
      <w:r>
        <w:t>H4: Risk awareness has a positive effect on adaptation</w:t>
      </w:r>
    </w:p>
    <w:p w14:paraId="51D88B8B" w14:textId="3719744F" w:rsidR="00484AF7" w:rsidRDefault="00527759" w:rsidP="00484AF7">
      <w:pPr>
        <w:pStyle w:val="ListParagraph"/>
        <w:numPr>
          <w:ilvl w:val="1"/>
          <w:numId w:val="14"/>
        </w:numPr>
      </w:pPr>
      <w:r>
        <w:t xml:space="preserve">Confirmed by the literature </w:t>
      </w:r>
    </w:p>
    <w:p w14:paraId="58F4B9EF" w14:textId="77777777" w:rsidR="00527759" w:rsidRDefault="00527759" w:rsidP="00527759"/>
    <w:p w14:paraId="7BCB8245" w14:textId="1C1E0931" w:rsidR="00527759" w:rsidRDefault="00527759" w:rsidP="00527759">
      <w:r>
        <w:t>&lt;additional hypotheses from the literature&gt;</w:t>
      </w:r>
    </w:p>
    <w:p w14:paraId="37A63578" w14:textId="62869DA2" w:rsidR="0072333B" w:rsidRDefault="00527759" w:rsidP="0072333B">
      <w:pPr>
        <w:pStyle w:val="ListParagraph"/>
        <w:numPr>
          <w:ilvl w:val="0"/>
          <w:numId w:val="14"/>
        </w:numPr>
      </w:pPr>
      <w:r>
        <w:t>H</w:t>
      </w:r>
      <w:r w:rsidR="00E644B2">
        <w:t>5</w:t>
      </w:r>
      <w:r>
        <w:t>: Insurance has a positive effect on adaptation</w:t>
      </w:r>
    </w:p>
    <w:p w14:paraId="623176AB" w14:textId="15C4C742" w:rsidR="009C71D2" w:rsidRDefault="009C71D2" w:rsidP="009C71D2">
      <w:pPr>
        <w:pStyle w:val="ListParagraph"/>
        <w:numPr>
          <w:ilvl w:val="1"/>
          <w:numId w:val="14"/>
        </w:numPr>
      </w:pPr>
      <w:r>
        <w:t>Literature is finding positive impact</w:t>
      </w:r>
    </w:p>
    <w:p w14:paraId="22F79B86" w14:textId="58235AC0" w:rsidR="009C71D2" w:rsidRDefault="009C71D2" w:rsidP="009C71D2">
      <w:pPr>
        <w:pStyle w:val="ListParagraph"/>
        <w:numPr>
          <w:ilvl w:val="1"/>
          <w:numId w:val="14"/>
        </w:numPr>
      </w:pPr>
      <w:r>
        <w:t xml:space="preserve">Economic </w:t>
      </w:r>
      <w:proofErr w:type="spellStart"/>
      <w:r>
        <w:t>rationals</w:t>
      </w:r>
      <w:proofErr w:type="spellEnd"/>
      <w:r>
        <w:t xml:space="preserve">: </w:t>
      </w:r>
    </w:p>
    <w:p w14:paraId="1A467D13" w14:textId="0B4B649D" w:rsidR="009C71D2" w:rsidRPr="000C63EF" w:rsidRDefault="009C71D2" w:rsidP="009C71D2">
      <w:pPr>
        <w:pStyle w:val="ListParagraph"/>
        <w:numPr>
          <w:ilvl w:val="2"/>
          <w:numId w:val="14"/>
        </w:numPr>
        <w:rPr>
          <w:b/>
          <w:bCs/>
        </w:rPr>
      </w:pPr>
      <w:r>
        <w:t xml:space="preserve">Moral hazard: </w:t>
      </w:r>
      <w:r w:rsidRPr="000C63EF">
        <w:rPr>
          <w:b/>
          <w:bCs/>
        </w:rPr>
        <w:t xml:space="preserve">negative </w:t>
      </w:r>
      <w:r w:rsidR="000C63EF" w:rsidRPr="000C63EF">
        <w:rPr>
          <w:b/>
          <w:bCs/>
        </w:rPr>
        <w:t>effect</w:t>
      </w:r>
    </w:p>
    <w:p w14:paraId="1E7F94D1" w14:textId="53FBF687" w:rsidR="009C71D2" w:rsidRDefault="009C71D2" w:rsidP="009C71D2">
      <w:pPr>
        <w:pStyle w:val="ListParagraph"/>
        <w:numPr>
          <w:ilvl w:val="3"/>
          <w:numId w:val="14"/>
        </w:numPr>
      </w:pPr>
      <w:r>
        <w:lastRenderedPageBreak/>
        <w:t>Insurance reduces the cost of flood damage, disincentivizing people from spending on other adaptation</w:t>
      </w:r>
    </w:p>
    <w:p w14:paraId="61E753E1" w14:textId="32F0E524" w:rsidR="009C71D2" w:rsidRDefault="009C71D2" w:rsidP="009C71D2">
      <w:pPr>
        <w:pStyle w:val="ListParagraph"/>
        <w:numPr>
          <w:ilvl w:val="3"/>
          <w:numId w:val="14"/>
        </w:numPr>
      </w:pPr>
      <w:r>
        <w:t>In this case insurance is a substitute to other adaptations</w:t>
      </w:r>
    </w:p>
    <w:p w14:paraId="57BB0D3E" w14:textId="7236D2AE" w:rsidR="009C71D2" w:rsidRDefault="009C71D2" w:rsidP="009C71D2">
      <w:pPr>
        <w:pStyle w:val="ListParagraph"/>
        <w:numPr>
          <w:ilvl w:val="3"/>
          <w:numId w:val="14"/>
        </w:numPr>
      </w:pPr>
      <w:r>
        <w:t xml:space="preserve">We would expect insurance to negatively impact structural adaptations </w:t>
      </w:r>
    </w:p>
    <w:p w14:paraId="147D2C55" w14:textId="5F183690" w:rsidR="009C71D2" w:rsidRDefault="009C71D2" w:rsidP="009C71D2">
      <w:pPr>
        <w:pStyle w:val="ListParagraph"/>
        <w:numPr>
          <w:ilvl w:val="3"/>
          <w:numId w:val="14"/>
        </w:numPr>
      </w:pPr>
      <w:r>
        <w:t>How</w:t>
      </w:r>
      <w:commentRangeStart w:id="27"/>
      <w:r>
        <w:t>ever, some adaptations complement each other as well. Here we would expect no or even a positive effect</w:t>
      </w:r>
      <w:commentRangeEnd w:id="27"/>
      <w:r>
        <w:rPr>
          <w:rStyle w:val="CommentReference"/>
        </w:rPr>
        <w:commentReference w:id="27"/>
      </w:r>
    </w:p>
    <w:p w14:paraId="0B1BBE1B" w14:textId="6121E972" w:rsidR="00E718DC" w:rsidRDefault="00E718DC" w:rsidP="00E718DC">
      <w:pPr>
        <w:pStyle w:val="ListParagraph"/>
        <w:numPr>
          <w:ilvl w:val="2"/>
          <w:numId w:val="14"/>
        </w:numPr>
      </w:pPr>
      <w:r>
        <w:t>Income smoother and liquidity constraint</w:t>
      </w:r>
      <w:r w:rsidR="000C63EF">
        <w:t xml:space="preserve">: </w:t>
      </w:r>
    </w:p>
    <w:p w14:paraId="413A6784" w14:textId="77777777" w:rsidR="000C63EF" w:rsidRDefault="00E718DC" w:rsidP="00E718DC">
      <w:pPr>
        <w:pStyle w:val="ListParagraph"/>
        <w:numPr>
          <w:ilvl w:val="3"/>
          <w:numId w:val="14"/>
        </w:numPr>
      </w:pPr>
      <w:r>
        <w:t xml:space="preserve">Should have a </w:t>
      </w:r>
      <w:r w:rsidRPr="000C63EF">
        <w:rPr>
          <w:b/>
          <w:bCs/>
        </w:rPr>
        <w:t>positive effect</w:t>
      </w:r>
      <w:r>
        <w:t xml:space="preserve"> on reactive adaptation</w:t>
      </w:r>
      <w:r w:rsidR="00795C94">
        <w:t xml:space="preserve"> </w:t>
      </w:r>
    </w:p>
    <w:p w14:paraId="4998BE48" w14:textId="5A2859C4" w:rsidR="00E718DC" w:rsidRDefault="000C63EF" w:rsidP="00E718DC">
      <w:pPr>
        <w:pStyle w:val="ListParagraph"/>
        <w:numPr>
          <w:ilvl w:val="3"/>
          <w:numId w:val="14"/>
        </w:numPr>
      </w:pPr>
      <w:r>
        <w:t xml:space="preserve">Should have </w:t>
      </w:r>
      <w:r w:rsidR="00795C94">
        <w:t xml:space="preserve">a </w:t>
      </w:r>
      <w:r w:rsidR="00795C94" w:rsidRPr="000C63EF">
        <w:rPr>
          <w:b/>
          <w:bCs/>
        </w:rPr>
        <w:t>negative effect</w:t>
      </w:r>
      <w:r w:rsidR="00795C94">
        <w:t xml:space="preserve"> on precautionary adaptation </w:t>
      </w:r>
    </w:p>
    <w:p w14:paraId="2F9A4F34" w14:textId="0C021601" w:rsidR="00795C94" w:rsidRDefault="00795C94" w:rsidP="00795C94">
      <w:pPr>
        <w:pStyle w:val="ListParagraph"/>
        <w:numPr>
          <w:ilvl w:val="2"/>
          <w:numId w:val="14"/>
        </w:numPr>
      </w:pPr>
      <w:r>
        <w:t>Risk signaling effect of insurance</w:t>
      </w:r>
      <w:r w:rsidR="000C63EF">
        <w:t xml:space="preserve"> (2.0)</w:t>
      </w:r>
      <w:r w:rsidR="000C63EF" w:rsidRPr="000C63EF">
        <w:rPr>
          <w:b/>
          <w:bCs/>
        </w:rPr>
        <w:t>: positive effec</w:t>
      </w:r>
      <w:r w:rsidR="000C63EF">
        <w:t>t</w:t>
      </w:r>
    </w:p>
    <w:p w14:paraId="1086565B" w14:textId="43F89F34" w:rsidR="000F41E1" w:rsidRDefault="00795C94" w:rsidP="00696A5B">
      <w:pPr>
        <w:pStyle w:val="ListParagraph"/>
        <w:numPr>
          <w:ilvl w:val="3"/>
          <w:numId w:val="14"/>
        </w:numPr>
      </w:pPr>
      <w:commentRangeStart w:id="28"/>
      <w:r>
        <w:t xml:space="preserve">Should have a positive effect on awareness in this case </w:t>
      </w:r>
      <w:commentRangeEnd w:id="28"/>
      <w:r>
        <w:rPr>
          <w:rStyle w:val="CommentReference"/>
        </w:rPr>
        <w:commentReference w:id="28"/>
      </w:r>
    </w:p>
    <w:p w14:paraId="0EBAC10F" w14:textId="5574D75C" w:rsidR="00696A5B" w:rsidRDefault="00696A5B" w:rsidP="00696A5B">
      <w:pPr>
        <w:pStyle w:val="ListParagraph"/>
        <w:numPr>
          <w:ilvl w:val="2"/>
          <w:numId w:val="14"/>
        </w:numPr>
      </w:pPr>
      <w:r>
        <w:t xml:space="preserve">Adverse selection? </w:t>
      </w:r>
    </w:p>
    <w:p w14:paraId="6E1EAAC0" w14:textId="5D822001" w:rsidR="0072333B" w:rsidRDefault="0072333B" w:rsidP="0072333B">
      <w:pPr>
        <w:pStyle w:val="ListParagraph"/>
        <w:numPr>
          <w:ilvl w:val="0"/>
          <w:numId w:val="14"/>
        </w:numPr>
      </w:pPr>
      <w:r>
        <w:t>H</w:t>
      </w:r>
      <w:r w:rsidR="00E644B2">
        <w:t>6</w:t>
      </w:r>
      <w:r>
        <w:t>: efficacy has a positive effect on adaptation</w:t>
      </w:r>
    </w:p>
    <w:p w14:paraId="6E677387" w14:textId="0FF03712" w:rsidR="0072333B" w:rsidRDefault="0072333B" w:rsidP="0072333B">
      <w:pPr>
        <w:pStyle w:val="ListParagraph"/>
        <w:numPr>
          <w:ilvl w:val="1"/>
          <w:numId w:val="14"/>
        </w:numPr>
      </w:pPr>
      <w:r>
        <w:t xml:space="preserve">“Have you already implemented </w:t>
      </w:r>
      <w:proofErr w:type="gramStart"/>
      <w:r>
        <w:t>adaptation</w:t>
      </w:r>
      <w:proofErr w:type="gramEnd"/>
      <w:r>
        <w:t xml:space="preserve"> and do you feel confident to implement further adaptation?”</w:t>
      </w:r>
    </w:p>
    <w:p w14:paraId="6A56FAE5" w14:textId="392B817A" w:rsidR="0072333B" w:rsidRDefault="0072333B" w:rsidP="0072333B">
      <w:pPr>
        <w:pStyle w:val="ListParagraph"/>
        <w:numPr>
          <w:ilvl w:val="0"/>
          <w:numId w:val="14"/>
        </w:numPr>
      </w:pPr>
      <w:r>
        <w:t>H</w:t>
      </w:r>
      <w:r w:rsidR="00E644B2">
        <w:t>7</w:t>
      </w:r>
      <w:r>
        <w:t xml:space="preserve">: Socioeconomic variables </w:t>
      </w:r>
      <w:proofErr w:type="gramStart"/>
      <w:r>
        <w:t>had an effect on</w:t>
      </w:r>
      <w:proofErr w:type="gramEnd"/>
      <w:r>
        <w:t xml:space="preserve"> adaptation performance</w:t>
      </w:r>
    </w:p>
    <w:p w14:paraId="39B82332" w14:textId="77777777" w:rsidR="0072333B" w:rsidRDefault="0072333B" w:rsidP="0072333B">
      <w:pPr>
        <w:pStyle w:val="ListParagraph"/>
        <w:numPr>
          <w:ilvl w:val="1"/>
          <w:numId w:val="14"/>
        </w:numPr>
      </w:pPr>
      <w:r>
        <w:t>Age ambiguous</w:t>
      </w:r>
    </w:p>
    <w:p w14:paraId="682B0363" w14:textId="77777777" w:rsidR="0072333B" w:rsidRDefault="0072333B" w:rsidP="0072333B">
      <w:pPr>
        <w:pStyle w:val="ListParagraph"/>
        <w:numPr>
          <w:ilvl w:val="1"/>
          <w:numId w:val="14"/>
        </w:numPr>
      </w:pPr>
      <w:r>
        <w:t xml:space="preserve">Income ambiguous </w:t>
      </w:r>
    </w:p>
    <w:p w14:paraId="552DDF14" w14:textId="77777777" w:rsidR="0072333B" w:rsidRDefault="0072333B" w:rsidP="0072333B">
      <w:pPr>
        <w:pStyle w:val="ListParagraph"/>
        <w:numPr>
          <w:ilvl w:val="1"/>
          <w:numId w:val="14"/>
        </w:numPr>
      </w:pPr>
      <w:r>
        <w:t xml:space="preserve">Education positive </w:t>
      </w:r>
    </w:p>
    <w:p w14:paraId="5BD3F49B" w14:textId="77777777" w:rsidR="0072333B" w:rsidRDefault="0072333B" w:rsidP="0072333B">
      <w:pPr>
        <w:pStyle w:val="ListParagraph"/>
        <w:numPr>
          <w:ilvl w:val="1"/>
          <w:numId w:val="14"/>
        </w:numPr>
      </w:pPr>
      <w:r>
        <w:t xml:space="preserve">Homeownership positive </w:t>
      </w:r>
    </w:p>
    <w:p w14:paraId="7817AAA1" w14:textId="77777777" w:rsidR="00673E20" w:rsidRDefault="00673E20" w:rsidP="00527759"/>
    <w:p w14:paraId="15FDACFC" w14:textId="77777777" w:rsidR="007B22F5" w:rsidRDefault="007B22F5" w:rsidP="00527759"/>
    <w:p w14:paraId="5D0C3E21" w14:textId="77777777" w:rsidR="007B22F5" w:rsidRDefault="007B22F5" w:rsidP="00527759"/>
    <w:p w14:paraId="73D0EE04" w14:textId="77777777" w:rsidR="007B22F5" w:rsidRDefault="007B22F5" w:rsidP="00527759"/>
    <w:p w14:paraId="23195C98" w14:textId="5B708533" w:rsidR="00237D79" w:rsidRDefault="00237D79" w:rsidP="007B22F5">
      <w:r>
        <w:t xml:space="preserve"> </w:t>
      </w:r>
    </w:p>
    <w:p w14:paraId="41CC3FED" w14:textId="5D41269D" w:rsidR="00E32932" w:rsidRDefault="00E32932" w:rsidP="00E32932">
      <w:pPr>
        <w:ind w:left="360"/>
      </w:pPr>
      <w:r>
        <w:t xml:space="preserve"> </w:t>
      </w:r>
    </w:p>
    <w:p w14:paraId="1F6FD1FD" w14:textId="77777777" w:rsidR="0072333B" w:rsidRDefault="0072333B" w:rsidP="00E32932">
      <w:pPr>
        <w:ind w:left="360"/>
      </w:pPr>
    </w:p>
    <w:p w14:paraId="095F9004" w14:textId="2F04A3A0" w:rsidR="001523BB" w:rsidRDefault="001523BB" w:rsidP="001523BB">
      <w:pPr>
        <w:pStyle w:val="Heading1"/>
        <w:numPr>
          <w:ilvl w:val="0"/>
          <w:numId w:val="6"/>
        </w:numPr>
      </w:pPr>
      <w:bookmarkStart w:id="29" w:name="_Toc197002968"/>
      <w:r>
        <w:t>D</w:t>
      </w:r>
      <w:r w:rsidR="005A3D38">
        <w:t>ata</w:t>
      </w:r>
      <w:bookmarkEnd w:id="29"/>
    </w:p>
    <w:p w14:paraId="39C44437" w14:textId="77777777" w:rsidR="00AF6ACF" w:rsidRDefault="00AF6ACF" w:rsidP="00AF6ACF"/>
    <w:p w14:paraId="4D760EE9" w14:textId="72A2A93A" w:rsidR="003C4A5A" w:rsidRDefault="003C4A5A" w:rsidP="00AF6ACF">
      <w:r>
        <w:t>&lt;data provider&gt;</w:t>
      </w:r>
    </w:p>
    <w:p w14:paraId="5C18AD7C" w14:textId="668FDDAD" w:rsidR="00AF6ACF" w:rsidRDefault="00AF6ACF" w:rsidP="003C4A5A">
      <w:pPr>
        <w:jc w:val="both"/>
      </w:pPr>
      <w:r>
        <w:t>The Federal Emergency Agency publishes results from their annual survey on</w:t>
      </w:r>
      <w:r w:rsidR="003C4A5A">
        <w:t xml:space="preserve"> </w:t>
      </w:r>
      <w:r>
        <w:t xml:space="preserve">disaster preparedness in the National Household Survey </w:t>
      </w:r>
      <w:r>
        <w:fldChar w:fldCharType="begin"/>
      </w:r>
      <w:r>
        <w:instrText xml:space="preserve"> ADDIN ZOTERO_ITEM CSL_CITATION {"citationID":"mmIWGdsE","properties":{"formattedCitation":"({\\i{}National Household Survey | FEMA.Gov}, 2023)","plainCitation":"(National Household Survey | FEMA.Gov, 2023)","noteIndex":0},"citationItems":[{"id":1134,"uris":["http://zotero.org/users/10735550/items/LM7M2H7Q"],"itemData":{"id":1134,"type":"webpage","abstract":"The National Household Survey (NHS) tracks progress in personal disaster preparedness through investigation of the American public's preparedness actions, attitudes, and motivations. FEMA administers the survey in English and Spanish via landline and mobile telephone to a random sampling of approximately 5,000 adult respondents. The survey includes a nationally representative sample as well as hazard-specific oversamples which may include earthquake, flood, wildfire, hurricane, winter storm, extreme heat, tornado, and urban event.","language":"en","title":"National Household Survey | FEMA.gov","URL":"https://www.fema.gov/about/openfema/data-sets/national-household-survey","accessed":{"date-parts":[["2025",1,6]]},"issued":{"date-parts":[["2023",12,22]]}}}],"schema":"https://github.com/citation-style-language/schema/raw/master/csl-citation.json"} </w:instrText>
      </w:r>
      <w:r>
        <w:fldChar w:fldCharType="separate"/>
      </w:r>
      <w:r w:rsidRPr="00AF6ACF">
        <w:rPr>
          <w:rFonts w:ascii="Aptos" w:cs="Times New Roman"/>
          <w:kern w:val="0"/>
          <w:lang w:val="en-GB"/>
        </w:rPr>
        <w:t>(</w:t>
      </w:r>
      <w:r w:rsidRPr="00AF6ACF">
        <w:rPr>
          <w:rFonts w:ascii="Aptos" w:cs="Times New Roman"/>
          <w:i/>
          <w:iCs/>
          <w:kern w:val="0"/>
          <w:lang w:val="en-GB"/>
        </w:rPr>
        <w:t>National Household Survey | FEMA.Gov</w:t>
      </w:r>
      <w:r w:rsidRPr="00AF6ACF">
        <w:rPr>
          <w:rFonts w:ascii="Aptos" w:cs="Times New Roman"/>
          <w:kern w:val="0"/>
          <w:lang w:val="en-GB"/>
        </w:rPr>
        <w:t>, 2023)</w:t>
      </w:r>
      <w:r>
        <w:fldChar w:fldCharType="end"/>
      </w:r>
      <w:r>
        <w:t xml:space="preserve">. The data sets reach back to 2017 and capture most of the relevant variables for our purpose (see Table ___). Since the data is anonymized, we cannot trace respondents across time, ruling out time series analysis. Furthermore, the constructs changed in the latest data, since the survey instrument underwent an overhaul in 2023. </w:t>
      </w:r>
      <w:r w:rsidR="003C4A5A">
        <w:t xml:space="preserve">Hence, repeated cross-sectional analysis is ruled out too. </w:t>
      </w:r>
    </w:p>
    <w:p w14:paraId="6FF1CAE6" w14:textId="77777777" w:rsidR="00AF6ACF" w:rsidRDefault="00AF6ACF" w:rsidP="00AF6ACF"/>
    <w:p w14:paraId="641D5578" w14:textId="78CC1AC0" w:rsidR="002F462F" w:rsidRDefault="002F462F" w:rsidP="001523BB">
      <w:r>
        <w:t>&lt;data</w:t>
      </w:r>
      <w:r w:rsidR="003C4A5A">
        <w:t>set</w:t>
      </w:r>
      <w:r>
        <w:t>&gt;</w:t>
      </w:r>
    </w:p>
    <w:p w14:paraId="37EDB140" w14:textId="1E9D3D38" w:rsidR="00AF6ACF" w:rsidRDefault="003C4A5A" w:rsidP="009277AC">
      <w:pPr>
        <w:jc w:val="both"/>
      </w:pPr>
      <w:r>
        <w:t xml:space="preserve">The 2023 survey is split into different disaster </w:t>
      </w:r>
      <w:r w:rsidR="009277AC">
        <w:t>surveys. We are working with the coastal flooding survey, which includes 509 respondents. There is</w:t>
      </w:r>
      <w:commentRangeStart w:id="30"/>
      <w:r w:rsidR="009277AC">
        <w:t xml:space="preserve"> a survey instrument on hurricanes as well, which we could not leverage to augment the analysis because respondents cannot be traced across survey instruments. </w:t>
      </w:r>
      <w:commentRangeEnd w:id="30"/>
      <w:r w:rsidR="009277AC">
        <w:rPr>
          <w:rStyle w:val="CommentReference"/>
        </w:rPr>
        <w:commentReference w:id="30"/>
      </w:r>
      <w:r w:rsidR="009277AC">
        <w:t xml:space="preserve">After cleaning, 385 respondents remained, of which 180 are in Florida, 43 in New York, and 60 in Washington. </w:t>
      </w:r>
      <w:r w:rsidR="009277AC">
        <w:lastRenderedPageBreak/>
        <w:t xml:space="preserve">To increase study power where possible, we ran a second cleaning procedure in which we dropped variables with </w:t>
      </w:r>
      <w:r w:rsidR="00272C00">
        <w:t xml:space="preserve">most </w:t>
      </w:r>
      <w:r w:rsidR="009277AC">
        <w:t xml:space="preserve">missing data before dropping rows. This second dataset contains 427 observations, of which 209 are in Florida, 59 in New York, and 75 in Washington. For a detailed breakdown of the cleaning procedure please consult section __. </w:t>
      </w:r>
    </w:p>
    <w:p w14:paraId="5D1FA342" w14:textId="77777777" w:rsidR="002F462F" w:rsidRDefault="002F462F" w:rsidP="001523BB"/>
    <w:p w14:paraId="7B432D47" w14:textId="5B2D0829" w:rsidR="002F462F" w:rsidRDefault="002F462F" w:rsidP="001523BB">
      <w:r>
        <w:t>&lt;variables&gt;</w:t>
      </w:r>
    </w:p>
    <w:p w14:paraId="4427AC82" w14:textId="5F30C5E2" w:rsidR="00C14D2C" w:rsidRDefault="00C14D2C" w:rsidP="00C14D2C">
      <w:pPr>
        <w:jc w:val="both"/>
      </w:pPr>
      <w:r>
        <w:t>The survey provides us with ten different adaptation measures. All ten variables are binary report</w:t>
      </w:r>
      <w:r w:rsidR="00484AF7">
        <w:t>er</w:t>
      </w:r>
      <w:r>
        <w:t xml:space="preserve">s, indicating whether the respective adaptation measure has been implemented. In the following, we will refer to the variables as per our own coding. For the original coding in the survey instrument, please consult the EDA script in appendix ___and on </w:t>
      </w:r>
      <w:proofErr w:type="spellStart"/>
      <w:r>
        <w:t>github</w:t>
      </w:r>
      <w:proofErr w:type="spellEnd"/>
      <w:r>
        <w:t xml:space="preserve">. </w:t>
      </w:r>
    </w:p>
    <w:p w14:paraId="617D62A4" w14:textId="77777777" w:rsidR="00C14D2C" w:rsidRDefault="00C14D2C" w:rsidP="001523BB"/>
    <w:p w14:paraId="36EC8F65" w14:textId="79F46A30" w:rsidR="002A369F" w:rsidRDefault="00936580" w:rsidP="001523BB">
      <w:r>
        <w:t>&lt;adaptation measures</w:t>
      </w:r>
      <w:r w:rsidR="002A369F">
        <w:t>&gt;</w:t>
      </w:r>
    </w:p>
    <w:p w14:paraId="6A07BA40" w14:textId="2EC0C002" w:rsidR="00C14D2C" w:rsidRDefault="00C14D2C" w:rsidP="00BF46AC">
      <w:pPr>
        <w:jc w:val="both"/>
      </w:pPr>
      <w:r>
        <w:t>The only reported structural adaptation measure is “</w:t>
      </w:r>
      <w:proofErr w:type="spellStart"/>
      <w:r>
        <w:t>made_safer</w:t>
      </w:r>
      <w:proofErr w:type="spellEnd"/>
      <w:r>
        <w:t>”. The corresponding question asked the respondent whether she had “made my home safer”</w:t>
      </w:r>
      <w:r w:rsidR="0059432E">
        <w:t xml:space="preserve"> (source)</w:t>
      </w:r>
      <w:r w:rsidR="00BF46AC">
        <w:t xml:space="preserve">. </w:t>
      </w:r>
      <w:r>
        <w:t xml:space="preserve">Insurance refers to property flood insurance. </w:t>
      </w:r>
      <w:r w:rsidR="00BF46AC">
        <w:t>“</w:t>
      </w:r>
      <w:proofErr w:type="spellStart"/>
      <w:proofErr w:type="gramStart"/>
      <w:r w:rsidR="00BF46AC">
        <w:t>learned</w:t>
      </w:r>
      <w:proofErr w:type="gramEnd"/>
      <w:r w:rsidR="00BF46AC">
        <w:t>_rountes</w:t>
      </w:r>
      <w:proofErr w:type="spellEnd"/>
      <w:r w:rsidR="00BF46AC">
        <w:t>” refers to “learned my evacuation routes”. “supplies” refers to “assembled or updated supplies”. “involved” refers to “got involved in my community”. “</w:t>
      </w:r>
      <w:proofErr w:type="spellStart"/>
      <w:proofErr w:type="gramStart"/>
      <w:r w:rsidR="00BF46AC">
        <w:t>planned</w:t>
      </w:r>
      <w:proofErr w:type="gramEnd"/>
      <w:r w:rsidR="00BF46AC">
        <w:t>_neighbors</w:t>
      </w:r>
      <w:proofErr w:type="spellEnd"/>
      <w:r w:rsidR="00BF46AC">
        <w:t>” refers to “planned with neighbors”. “</w:t>
      </w:r>
      <w:proofErr w:type="spellStart"/>
      <w:proofErr w:type="gramStart"/>
      <w:r w:rsidR="00BF46AC">
        <w:t>made</w:t>
      </w:r>
      <w:proofErr w:type="gramEnd"/>
      <w:r w:rsidR="00BF46AC">
        <w:t>_plan</w:t>
      </w:r>
      <w:proofErr w:type="spellEnd"/>
      <w:r w:rsidR="00BF46AC">
        <w:t>” refers to “made a plan”. “</w:t>
      </w:r>
      <w:proofErr w:type="spellStart"/>
      <w:proofErr w:type="gramStart"/>
      <w:r w:rsidR="00BF46AC">
        <w:t>practiced</w:t>
      </w:r>
      <w:proofErr w:type="gramEnd"/>
      <w:r w:rsidR="00BF46AC">
        <w:t>_drills</w:t>
      </w:r>
      <w:proofErr w:type="spellEnd"/>
      <w:r w:rsidR="00BF46AC">
        <w:t>” refers to “practiced emergency drills or habits”. “alerts” refers to “signed up for alerts and warnings”. “</w:t>
      </w:r>
      <w:proofErr w:type="spellStart"/>
      <w:proofErr w:type="gramStart"/>
      <w:r w:rsidR="00BF46AC">
        <w:t>family</w:t>
      </w:r>
      <w:proofErr w:type="gramEnd"/>
      <w:r w:rsidR="00BF46AC">
        <w:t>_communication</w:t>
      </w:r>
      <w:proofErr w:type="spellEnd"/>
      <w:r w:rsidR="00BF46AC">
        <w:t xml:space="preserve">” refers to “tested family communication plan”. “documents” refers to “safeguarded documents” </w:t>
      </w:r>
      <w:r w:rsidR="00BF46AC">
        <w:fldChar w:fldCharType="begin"/>
      </w:r>
      <w:r w:rsidR="00C1456E">
        <w:instrText xml:space="preserve"> ADDIN ZOTERO_ITEM CSL_CITATION {"citationID":"H9Ub6USM","properties":{"formattedCitation":"({\\i{}2023 National Household Survey on Disaster Preparedness: Survey Instrument (English)}, 2023)","plainCitation":"(2023 National Household Survey on Disaster Preparedness: Survey Instrument (English), 2023)","noteIndex":0},"citationItems":[{"id":"MpOFIX5C/jN70FIfi","uris":["http://zotero.org/users/10735550/items/RC3VHS5N"],"itemData":{"id":1294,"type":"article-journal","language":"en","source":"Zotero","title":"2023 National Household Survey on Disaster Preparedness: Survey Instrument (English)","issued":{"date-parts":[["2023"]]}}}],"schema":"https://github.com/citation-style-language/schema/raw/master/csl-citation.json"} </w:instrText>
      </w:r>
      <w:r w:rsidR="00BF46AC">
        <w:fldChar w:fldCharType="separate"/>
      </w:r>
      <w:r w:rsidR="0087252D" w:rsidRPr="0087252D">
        <w:rPr>
          <w:rFonts w:ascii="Aptos" w:cs="Times New Roman"/>
          <w:kern w:val="0"/>
          <w:lang w:val="en-GB"/>
        </w:rPr>
        <w:t>(</w:t>
      </w:r>
      <w:r w:rsidR="0087252D" w:rsidRPr="0087252D">
        <w:rPr>
          <w:rFonts w:ascii="Aptos" w:cs="Times New Roman"/>
          <w:i/>
          <w:iCs/>
          <w:kern w:val="0"/>
          <w:lang w:val="en-GB"/>
        </w:rPr>
        <w:t>2023 National Household Survey on Disaster Preparedness: Survey Instrument (English)</w:t>
      </w:r>
      <w:r w:rsidR="0087252D" w:rsidRPr="0087252D">
        <w:rPr>
          <w:rFonts w:ascii="Aptos" w:cs="Times New Roman"/>
          <w:kern w:val="0"/>
          <w:lang w:val="en-GB"/>
        </w:rPr>
        <w:t>, 2023)</w:t>
      </w:r>
      <w:r w:rsidR="00BF46AC">
        <w:fldChar w:fldCharType="end"/>
      </w:r>
      <w:r w:rsidR="00BF46AC">
        <w:t>.</w:t>
      </w:r>
    </w:p>
    <w:p w14:paraId="0BE02E22" w14:textId="77777777" w:rsidR="001523BB" w:rsidRDefault="001523BB" w:rsidP="001523BB">
      <w:pPr>
        <w:jc w:val="both"/>
      </w:pPr>
    </w:p>
    <w:tbl>
      <w:tblPr>
        <w:tblStyle w:val="TableGrid"/>
        <w:tblW w:w="0" w:type="auto"/>
        <w:tblLook w:val="04A0" w:firstRow="1" w:lastRow="0" w:firstColumn="1" w:lastColumn="0" w:noHBand="0" w:noVBand="1"/>
      </w:tblPr>
      <w:tblGrid>
        <w:gridCol w:w="2122"/>
        <w:gridCol w:w="2693"/>
        <w:gridCol w:w="4201"/>
      </w:tblGrid>
      <w:tr w:rsidR="001523BB" w14:paraId="53DA6CD0" w14:textId="77777777" w:rsidTr="00EE2A22">
        <w:tc>
          <w:tcPr>
            <w:tcW w:w="2122" w:type="dxa"/>
          </w:tcPr>
          <w:p w14:paraId="325678FD" w14:textId="77777777" w:rsidR="001523BB" w:rsidRPr="00AA3DEC" w:rsidRDefault="001523BB" w:rsidP="00EE2A22">
            <w:pPr>
              <w:rPr>
                <w:b/>
                <w:bCs/>
              </w:rPr>
            </w:pPr>
            <w:r w:rsidRPr="00AA3DEC">
              <w:rPr>
                <w:b/>
                <w:bCs/>
              </w:rPr>
              <w:t xml:space="preserve">Adaptation type </w:t>
            </w:r>
          </w:p>
        </w:tc>
        <w:tc>
          <w:tcPr>
            <w:tcW w:w="2693" w:type="dxa"/>
          </w:tcPr>
          <w:p w14:paraId="3A6C42F3" w14:textId="77777777" w:rsidR="001523BB" w:rsidRPr="00AA3DEC" w:rsidRDefault="001523BB" w:rsidP="00EE2A22">
            <w:pPr>
              <w:rPr>
                <w:b/>
                <w:bCs/>
              </w:rPr>
            </w:pPr>
            <w:r w:rsidRPr="00AA3DEC">
              <w:rPr>
                <w:b/>
                <w:bCs/>
              </w:rPr>
              <w:t xml:space="preserve">Adaptation measure </w:t>
            </w:r>
          </w:p>
        </w:tc>
        <w:tc>
          <w:tcPr>
            <w:tcW w:w="4201" w:type="dxa"/>
          </w:tcPr>
          <w:p w14:paraId="6651313A" w14:textId="77777777" w:rsidR="001523BB" w:rsidRPr="00AA3DEC" w:rsidRDefault="001523BB" w:rsidP="00EE2A22">
            <w:pPr>
              <w:rPr>
                <w:b/>
                <w:bCs/>
              </w:rPr>
            </w:pPr>
            <w:r w:rsidRPr="00AA3DEC">
              <w:rPr>
                <w:b/>
                <w:bCs/>
              </w:rPr>
              <w:t xml:space="preserve">Variable </w:t>
            </w:r>
          </w:p>
        </w:tc>
      </w:tr>
      <w:tr w:rsidR="001523BB" w14:paraId="71DF8ADE" w14:textId="77777777" w:rsidTr="00EE2A22">
        <w:tc>
          <w:tcPr>
            <w:tcW w:w="2122" w:type="dxa"/>
            <w:vMerge w:val="restart"/>
          </w:tcPr>
          <w:p w14:paraId="7D8D533B" w14:textId="77777777" w:rsidR="001523BB" w:rsidRDefault="001523BB" w:rsidP="00EE2A22">
            <w:r>
              <w:t>Structural measures</w:t>
            </w:r>
          </w:p>
        </w:tc>
        <w:tc>
          <w:tcPr>
            <w:tcW w:w="2693" w:type="dxa"/>
          </w:tcPr>
          <w:p w14:paraId="31BEFF50" w14:textId="77777777" w:rsidR="001523BB" w:rsidRDefault="001523BB" w:rsidP="00EE2A22">
            <w:r>
              <w:t>House elevation</w:t>
            </w:r>
          </w:p>
        </w:tc>
        <w:tc>
          <w:tcPr>
            <w:tcW w:w="4201" w:type="dxa"/>
            <w:vMerge w:val="restart"/>
          </w:tcPr>
          <w:p w14:paraId="075563BA" w14:textId="77777777" w:rsidR="001523BB" w:rsidRDefault="001523BB" w:rsidP="00EE2A22">
            <w:r>
              <w:t>“</w:t>
            </w:r>
            <w:proofErr w:type="spellStart"/>
            <w:proofErr w:type="gramStart"/>
            <w:r>
              <w:t>made</w:t>
            </w:r>
            <w:proofErr w:type="gramEnd"/>
            <w:r>
              <w:t>_safer</w:t>
            </w:r>
            <w:proofErr w:type="spellEnd"/>
            <w:r>
              <w:t xml:space="preserve">” </w:t>
            </w:r>
          </w:p>
        </w:tc>
      </w:tr>
      <w:tr w:rsidR="001523BB" w14:paraId="270E8172" w14:textId="77777777" w:rsidTr="00EE2A22">
        <w:tc>
          <w:tcPr>
            <w:tcW w:w="2122" w:type="dxa"/>
            <w:vMerge/>
          </w:tcPr>
          <w:p w14:paraId="27DF5E9C" w14:textId="77777777" w:rsidR="001523BB" w:rsidRDefault="001523BB" w:rsidP="00EE2A22"/>
        </w:tc>
        <w:tc>
          <w:tcPr>
            <w:tcW w:w="2693" w:type="dxa"/>
          </w:tcPr>
          <w:p w14:paraId="3F3D592B" w14:textId="77777777" w:rsidR="001523BB" w:rsidRDefault="001523BB" w:rsidP="00EE2A22">
            <w:r>
              <w:t>Valuables elevation</w:t>
            </w:r>
          </w:p>
        </w:tc>
        <w:tc>
          <w:tcPr>
            <w:tcW w:w="4201" w:type="dxa"/>
            <w:vMerge/>
          </w:tcPr>
          <w:p w14:paraId="2F929FF0" w14:textId="77777777" w:rsidR="001523BB" w:rsidRDefault="001523BB" w:rsidP="00EE2A22"/>
        </w:tc>
      </w:tr>
      <w:tr w:rsidR="001523BB" w14:paraId="215C35C6" w14:textId="77777777" w:rsidTr="00EE2A22">
        <w:tc>
          <w:tcPr>
            <w:tcW w:w="2122" w:type="dxa"/>
            <w:vMerge/>
          </w:tcPr>
          <w:p w14:paraId="7288C249" w14:textId="77777777" w:rsidR="001523BB" w:rsidRDefault="001523BB" w:rsidP="00EE2A22"/>
        </w:tc>
        <w:tc>
          <w:tcPr>
            <w:tcW w:w="2693" w:type="dxa"/>
          </w:tcPr>
          <w:p w14:paraId="03925C7D" w14:textId="77777777" w:rsidR="001523BB" w:rsidRDefault="001523BB" w:rsidP="00EE2A22">
            <w:r>
              <w:t xml:space="preserve">Flood barriers </w:t>
            </w:r>
          </w:p>
        </w:tc>
        <w:tc>
          <w:tcPr>
            <w:tcW w:w="4201" w:type="dxa"/>
            <w:vMerge/>
          </w:tcPr>
          <w:p w14:paraId="20F2E587" w14:textId="77777777" w:rsidR="001523BB" w:rsidRDefault="001523BB" w:rsidP="00EE2A22"/>
        </w:tc>
      </w:tr>
      <w:tr w:rsidR="001523BB" w14:paraId="48F269DF" w14:textId="77777777" w:rsidTr="00EE2A22">
        <w:tc>
          <w:tcPr>
            <w:tcW w:w="2122" w:type="dxa"/>
            <w:vMerge/>
          </w:tcPr>
          <w:p w14:paraId="6987BC94" w14:textId="77777777" w:rsidR="001523BB" w:rsidRDefault="001523BB" w:rsidP="00EE2A22"/>
        </w:tc>
        <w:tc>
          <w:tcPr>
            <w:tcW w:w="2693" w:type="dxa"/>
          </w:tcPr>
          <w:p w14:paraId="175A56D4" w14:textId="77777777" w:rsidR="001523BB" w:rsidRDefault="001523BB" w:rsidP="00EE2A22">
            <w:r>
              <w:t xml:space="preserve">Flood-proof materials  </w:t>
            </w:r>
          </w:p>
        </w:tc>
        <w:tc>
          <w:tcPr>
            <w:tcW w:w="4201" w:type="dxa"/>
            <w:vMerge/>
          </w:tcPr>
          <w:p w14:paraId="7FC1CD6A" w14:textId="77777777" w:rsidR="001523BB" w:rsidRDefault="001523BB" w:rsidP="00EE2A22"/>
        </w:tc>
      </w:tr>
      <w:tr w:rsidR="001523BB" w14:paraId="77966919" w14:textId="77777777" w:rsidTr="00EE2A22">
        <w:tc>
          <w:tcPr>
            <w:tcW w:w="2122" w:type="dxa"/>
            <w:vMerge w:val="restart"/>
          </w:tcPr>
          <w:p w14:paraId="16D46E59" w14:textId="77777777" w:rsidR="001523BB" w:rsidRDefault="001523BB" w:rsidP="00EE2A22">
            <w:r>
              <w:t>Non-structural measures</w:t>
            </w:r>
          </w:p>
        </w:tc>
        <w:tc>
          <w:tcPr>
            <w:tcW w:w="2693" w:type="dxa"/>
          </w:tcPr>
          <w:p w14:paraId="6E9A1A1B" w14:textId="77777777" w:rsidR="001523BB" w:rsidRDefault="001523BB" w:rsidP="00EE2A22">
            <w:r>
              <w:t>Flood insurance</w:t>
            </w:r>
          </w:p>
        </w:tc>
        <w:tc>
          <w:tcPr>
            <w:tcW w:w="4201" w:type="dxa"/>
          </w:tcPr>
          <w:p w14:paraId="28E86C7B" w14:textId="77777777" w:rsidR="001523BB" w:rsidRDefault="001523BB" w:rsidP="00EE2A22">
            <w:r>
              <w:rPr>
                <w:b/>
                <w:bCs/>
              </w:rPr>
              <w:t>insurance</w:t>
            </w:r>
            <w:r>
              <w:t xml:space="preserve">: “Documented and insured property” </w:t>
            </w:r>
          </w:p>
        </w:tc>
      </w:tr>
      <w:tr w:rsidR="001523BB" w14:paraId="3B54810B" w14:textId="77777777" w:rsidTr="00EE2A22">
        <w:tc>
          <w:tcPr>
            <w:tcW w:w="2122" w:type="dxa"/>
            <w:vMerge/>
          </w:tcPr>
          <w:p w14:paraId="604AC9AF" w14:textId="77777777" w:rsidR="001523BB" w:rsidRDefault="001523BB" w:rsidP="00EE2A22"/>
        </w:tc>
        <w:tc>
          <w:tcPr>
            <w:tcW w:w="2693" w:type="dxa"/>
          </w:tcPr>
          <w:p w14:paraId="3028241A" w14:textId="77777777" w:rsidR="001523BB" w:rsidRDefault="001523BB" w:rsidP="00EE2A22">
            <w:r>
              <w:t>Collecting information</w:t>
            </w:r>
          </w:p>
        </w:tc>
        <w:tc>
          <w:tcPr>
            <w:tcW w:w="4201" w:type="dxa"/>
          </w:tcPr>
          <w:p w14:paraId="0EFDD802" w14:textId="77777777" w:rsidR="001523BB" w:rsidRDefault="001523BB" w:rsidP="00EE2A22">
            <w:proofErr w:type="spellStart"/>
            <w:r w:rsidRPr="00C92620">
              <w:rPr>
                <w:b/>
                <w:bCs/>
              </w:rPr>
              <w:t>learned_routes</w:t>
            </w:r>
            <w:proofErr w:type="spellEnd"/>
            <w:r>
              <w:t>: “learned my evacuation routes”</w:t>
            </w:r>
          </w:p>
        </w:tc>
      </w:tr>
      <w:tr w:rsidR="001523BB" w14:paraId="1950441C" w14:textId="77777777" w:rsidTr="00EE2A22">
        <w:tc>
          <w:tcPr>
            <w:tcW w:w="2122" w:type="dxa"/>
            <w:vMerge/>
          </w:tcPr>
          <w:p w14:paraId="33E7654E" w14:textId="77777777" w:rsidR="001523BB" w:rsidRDefault="001523BB" w:rsidP="00EE2A22"/>
        </w:tc>
        <w:tc>
          <w:tcPr>
            <w:tcW w:w="2693" w:type="dxa"/>
          </w:tcPr>
          <w:p w14:paraId="4F2620CD" w14:textId="77777777" w:rsidR="001523BB" w:rsidRDefault="001523BB" w:rsidP="00EE2A22">
            <w:r>
              <w:t xml:space="preserve">Storage </w:t>
            </w:r>
          </w:p>
        </w:tc>
        <w:tc>
          <w:tcPr>
            <w:tcW w:w="4201" w:type="dxa"/>
          </w:tcPr>
          <w:p w14:paraId="04C52C8C" w14:textId="77777777" w:rsidR="001523BB" w:rsidRDefault="001523BB" w:rsidP="00EE2A22">
            <w:r>
              <w:rPr>
                <w:b/>
                <w:bCs/>
              </w:rPr>
              <w:t>supplies</w:t>
            </w:r>
            <w:r>
              <w:t>: assembled or updated supplies”</w:t>
            </w:r>
          </w:p>
          <w:p w14:paraId="1B4AA2B2" w14:textId="4160F79F" w:rsidR="001523BB" w:rsidRDefault="008240C1" w:rsidP="008240C1">
            <w:r w:rsidRPr="008240C1">
              <w:rPr>
                <w:b/>
                <w:bCs/>
              </w:rPr>
              <w:t>Documents:</w:t>
            </w:r>
            <w:r>
              <w:t xml:space="preserve"> Safeguarded </w:t>
            </w:r>
            <w:r w:rsidR="001523BB">
              <w:t>documents</w:t>
            </w:r>
          </w:p>
        </w:tc>
      </w:tr>
      <w:tr w:rsidR="001523BB" w14:paraId="7CECFAE3" w14:textId="77777777" w:rsidTr="00EE2A22">
        <w:tc>
          <w:tcPr>
            <w:tcW w:w="2122" w:type="dxa"/>
            <w:vMerge/>
          </w:tcPr>
          <w:p w14:paraId="3751978D" w14:textId="77777777" w:rsidR="001523BB" w:rsidRDefault="001523BB" w:rsidP="00EE2A22"/>
        </w:tc>
        <w:tc>
          <w:tcPr>
            <w:tcW w:w="2693" w:type="dxa"/>
          </w:tcPr>
          <w:p w14:paraId="502FCA99" w14:textId="77777777" w:rsidR="001523BB" w:rsidRDefault="001523BB" w:rsidP="00EE2A22">
            <w:r>
              <w:t>Participation and communication</w:t>
            </w:r>
          </w:p>
        </w:tc>
        <w:tc>
          <w:tcPr>
            <w:tcW w:w="4201" w:type="dxa"/>
          </w:tcPr>
          <w:p w14:paraId="547C2945" w14:textId="77777777" w:rsidR="001523BB" w:rsidRDefault="001523BB" w:rsidP="00EE2A22">
            <w:r w:rsidRPr="00C92620">
              <w:rPr>
                <w:b/>
                <w:bCs/>
              </w:rPr>
              <w:t>involved</w:t>
            </w:r>
            <w:r>
              <w:t>: “got involved in the community”</w:t>
            </w:r>
          </w:p>
          <w:p w14:paraId="3CC3000A" w14:textId="77777777" w:rsidR="001523BB" w:rsidRDefault="001523BB" w:rsidP="008240C1">
            <w:pPr>
              <w:rPr>
                <w:b/>
                <w:bCs/>
              </w:rPr>
            </w:pPr>
            <w:proofErr w:type="spellStart"/>
            <w:r w:rsidRPr="008240C1">
              <w:rPr>
                <w:b/>
                <w:bCs/>
              </w:rPr>
              <w:t>Planed_neighbors</w:t>
            </w:r>
            <w:proofErr w:type="spellEnd"/>
          </w:p>
          <w:p w14:paraId="7DF72A9C" w14:textId="2F45B7F2" w:rsidR="008240C1" w:rsidRPr="008240C1" w:rsidRDefault="008240C1" w:rsidP="008240C1">
            <w:pPr>
              <w:rPr>
                <w:b/>
                <w:bCs/>
              </w:rPr>
            </w:pPr>
            <w:r>
              <w:rPr>
                <w:b/>
                <w:bCs/>
              </w:rPr>
              <w:t>A</w:t>
            </w:r>
            <w:r w:rsidRPr="008240C1">
              <w:rPr>
                <w:b/>
                <w:bCs/>
              </w:rPr>
              <w:t xml:space="preserve">lerts </w:t>
            </w:r>
          </w:p>
          <w:p w14:paraId="3A48262A" w14:textId="5FD649B6" w:rsidR="008240C1" w:rsidRPr="008240C1" w:rsidRDefault="008240C1" w:rsidP="008240C1">
            <w:pPr>
              <w:rPr>
                <w:b/>
                <w:bCs/>
              </w:rPr>
            </w:pPr>
            <w:proofErr w:type="spellStart"/>
            <w:r>
              <w:rPr>
                <w:b/>
                <w:bCs/>
              </w:rPr>
              <w:t>Family_communication</w:t>
            </w:r>
            <w:proofErr w:type="spellEnd"/>
            <w:r>
              <w:rPr>
                <w:b/>
                <w:bCs/>
              </w:rPr>
              <w:t xml:space="preserve"> </w:t>
            </w:r>
          </w:p>
        </w:tc>
      </w:tr>
      <w:tr w:rsidR="001523BB" w14:paraId="44431576" w14:textId="77777777" w:rsidTr="00EE2A22">
        <w:tc>
          <w:tcPr>
            <w:tcW w:w="2122" w:type="dxa"/>
            <w:vMerge/>
          </w:tcPr>
          <w:p w14:paraId="2A61CA4E" w14:textId="77777777" w:rsidR="001523BB" w:rsidRDefault="001523BB" w:rsidP="00EE2A22"/>
        </w:tc>
        <w:tc>
          <w:tcPr>
            <w:tcW w:w="2693" w:type="dxa"/>
          </w:tcPr>
          <w:p w14:paraId="049AE523" w14:textId="526D77B7" w:rsidR="001523BB" w:rsidRPr="00CA7015" w:rsidRDefault="001523BB" w:rsidP="00EE2A22">
            <w:pPr>
              <w:rPr>
                <w:i/>
                <w:iCs/>
                <w:u w:val="single"/>
              </w:rPr>
            </w:pPr>
            <w:r w:rsidRPr="00CA7015">
              <w:rPr>
                <w:i/>
                <w:iCs/>
                <w:u w:val="single"/>
              </w:rPr>
              <w:t xml:space="preserve">Other non-defined </w:t>
            </w:r>
            <w:r w:rsidR="00BF46AC">
              <w:rPr>
                <w:i/>
                <w:iCs/>
                <w:u w:val="single"/>
              </w:rPr>
              <w:t>measures</w:t>
            </w:r>
            <w:r w:rsidRPr="00CA7015">
              <w:rPr>
                <w:i/>
                <w:iCs/>
                <w:u w:val="single"/>
              </w:rPr>
              <w:t xml:space="preserve"> </w:t>
            </w:r>
          </w:p>
        </w:tc>
        <w:tc>
          <w:tcPr>
            <w:tcW w:w="4201" w:type="dxa"/>
          </w:tcPr>
          <w:p w14:paraId="4555182D" w14:textId="77777777" w:rsidR="001523BB" w:rsidRDefault="001523BB" w:rsidP="00EE2A22">
            <w:pPr>
              <w:pStyle w:val="ListParagraph"/>
              <w:numPr>
                <w:ilvl w:val="0"/>
                <w:numId w:val="14"/>
              </w:numPr>
              <w:rPr>
                <w:b/>
                <w:bCs/>
              </w:rPr>
            </w:pPr>
            <w:proofErr w:type="spellStart"/>
            <w:r>
              <w:rPr>
                <w:b/>
                <w:bCs/>
              </w:rPr>
              <w:t>Made_plan</w:t>
            </w:r>
            <w:proofErr w:type="spellEnd"/>
          </w:p>
          <w:p w14:paraId="6C8D537B" w14:textId="2A6C13F6" w:rsidR="001523BB" w:rsidRDefault="001523BB" w:rsidP="00EE2A22">
            <w:pPr>
              <w:pStyle w:val="ListParagraph"/>
              <w:numPr>
                <w:ilvl w:val="0"/>
                <w:numId w:val="14"/>
              </w:numPr>
              <w:rPr>
                <w:b/>
                <w:bCs/>
              </w:rPr>
            </w:pPr>
            <w:proofErr w:type="spellStart"/>
            <w:r>
              <w:rPr>
                <w:b/>
                <w:bCs/>
              </w:rPr>
              <w:t>Practiced</w:t>
            </w:r>
            <w:r w:rsidR="00BF46AC">
              <w:rPr>
                <w:b/>
                <w:bCs/>
              </w:rPr>
              <w:t>_</w:t>
            </w:r>
            <w:r>
              <w:rPr>
                <w:b/>
                <w:bCs/>
              </w:rPr>
              <w:t>drills</w:t>
            </w:r>
            <w:proofErr w:type="spellEnd"/>
            <w:r>
              <w:rPr>
                <w:b/>
                <w:bCs/>
              </w:rPr>
              <w:t xml:space="preserve"> </w:t>
            </w:r>
          </w:p>
          <w:p w14:paraId="1CE625C1" w14:textId="1980D1A3" w:rsidR="00BF46AC" w:rsidRPr="008240C1" w:rsidRDefault="00BF46AC" w:rsidP="008240C1">
            <w:pPr>
              <w:rPr>
                <w:b/>
                <w:bCs/>
              </w:rPr>
            </w:pPr>
          </w:p>
        </w:tc>
      </w:tr>
    </w:tbl>
    <w:p w14:paraId="5C9B1A1F" w14:textId="01A4D4D7" w:rsidR="001523BB" w:rsidRPr="0092692D" w:rsidRDefault="001523BB" w:rsidP="001523BB">
      <w:pPr>
        <w:pStyle w:val="Caption"/>
        <w:rPr>
          <w:i w:val="0"/>
          <w:iCs w:val="0"/>
        </w:rPr>
      </w:pPr>
      <w:bookmarkStart w:id="31" w:name="_Toc194329526"/>
      <w:r>
        <w:t xml:space="preserve">Table </w:t>
      </w:r>
      <w:r>
        <w:fldChar w:fldCharType="begin"/>
      </w:r>
      <w:r>
        <w:instrText xml:space="preserve"> SEQ Table \* ARABIC </w:instrText>
      </w:r>
      <w:r>
        <w:fldChar w:fldCharType="separate"/>
      </w:r>
      <w:r w:rsidR="00E87450">
        <w:rPr>
          <w:noProof/>
        </w:rPr>
        <w:t>2</w:t>
      </w:r>
      <w:r>
        <w:fldChar w:fldCharType="end"/>
      </w:r>
      <w:r>
        <w:t>: Adaptation measures</w:t>
      </w:r>
      <w:r w:rsidR="00936580">
        <w:t xml:space="preserve"> as categorized by Koerth et al. (2017)</w:t>
      </w:r>
      <w:r>
        <w:t xml:space="preserve"> and corresponding survey variables</w:t>
      </w:r>
      <w:bookmarkEnd w:id="31"/>
    </w:p>
    <w:p w14:paraId="198DBF37" w14:textId="48D621EE" w:rsidR="003F23AA" w:rsidRDefault="00936580" w:rsidP="005B5735">
      <w:r>
        <w:lastRenderedPageBreak/>
        <w:t>&lt;determinants &gt;</w:t>
      </w:r>
    </w:p>
    <w:p w14:paraId="17DB1578" w14:textId="464E1258" w:rsidR="00936580" w:rsidRDefault="00936580" w:rsidP="00013783">
      <w:pPr>
        <w:jc w:val="both"/>
      </w:pPr>
      <w:commentRangeStart w:id="32"/>
      <w:r>
        <w:t xml:space="preserve">The following </w:t>
      </w:r>
      <w:commentRangeEnd w:id="32"/>
      <w:r>
        <w:rPr>
          <w:rStyle w:val="CommentReference"/>
        </w:rPr>
        <w:commentReference w:id="32"/>
      </w:r>
      <w:r>
        <w:t>determinants are captured by the survey: age</w:t>
      </w:r>
      <w:r w:rsidR="00DD6A68">
        <w:t xml:space="preserve"> and </w:t>
      </w:r>
      <w:r>
        <w:t>income</w:t>
      </w:r>
      <w:r w:rsidR="00DD6A68">
        <w:t xml:space="preserve"> are binned</w:t>
      </w:r>
      <w:r>
        <w:t>, education</w:t>
      </w:r>
      <w:r w:rsidR="00DD6A68">
        <w:t xml:space="preserve"> is categorical</w:t>
      </w:r>
      <w:r>
        <w:t xml:space="preserve">, homeownership, perceived flood risk, perceived efficacy, flood experience, awareness, flood zone. Age and income and, education </w:t>
      </w:r>
      <w:proofErr w:type="gramStart"/>
      <w:r>
        <w:t>are</w:t>
      </w:r>
      <w:proofErr w:type="gramEnd"/>
      <w:r>
        <w:t xml:space="preserve"> categorical, the other determinants are binary. For perceived flood risk – coded as “perception” – the respondent was asked if “thinking about the area you</w:t>
      </w:r>
      <w:r w:rsidR="00CF7964">
        <w:t xml:space="preserve"> live</w:t>
      </w:r>
      <w:r>
        <w:t xml:space="preserve"> in, how likely would it be for coastal flooding to impact you?” (p.17).  Perceived efficacy is computed from two survey questions, asking the respondent if </w:t>
      </w:r>
      <w:r w:rsidR="00175F35">
        <w:t>she already implemented preparedness measures and if she feels</w:t>
      </w:r>
      <w:r w:rsidR="00CF7964">
        <w:t xml:space="preserve"> confident to sufficiently prepare for a flood event. </w:t>
      </w:r>
      <w:commentRangeStart w:id="33"/>
      <w:r w:rsidR="00175F35">
        <w:t xml:space="preserve">The corresponding variables “efficacy” is coded as 1 if the answer to </w:t>
      </w:r>
      <w:proofErr w:type="gramStart"/>
      <w:r w:rsidR="00175F35">
        <w:t>both</w:t>
      </w:r>
      <w:proofErr w:type="gramEnd"/>
      <w:r w:rsidR="00175F35">
        <w:t xml:space="preserve"> question was </w:t>
      </w:r>
      <w:commentRangeEnd w:id="33"/>
      <w:r w:rsidR="00CF7964">
        <w:rPr>
          <w:rStyle w:val="CommentReference"/>
        </w:rPr>
        <w:commentReference w:id="33"/>
      </w:r>
      <w:r w:rsidR="00CF7964">
        <w:t>positive.</w:t>
      </w:r>
      <w:r w:rsidR="00D50183">
        <w:t xml:space="preserve"> Flood experience is coded as one if the household has experienced a flood event before and 0 otherwise. Awareness refers to </w:t>
      </w:r>
      <w:commentRangeStart w:id="34"/>
      <w:r w:rsidR="00D50183">
        <w:t xml:space="preserve">whether the respondent has consumed any information on flood preparation in the last year </w:t>
      </w:r>
      <w:r w:rsidR="00D50183">
        <w:fldChar w:fldCharType="begin"/>
      </w:r>
      <w:r w:rsidR="00C1456E">
        <w:instrText xml:space="preserve"> ADDIN ZOTERO_ITEM CSL_CITATION {"citationID":"w1PHi8CY","properties":{"formattedCitation":"({\\i{}2023 National Household Survey on Disaster Preparedness: Survey Instrument (English)}, 2023)","plainCitation":"(2023 National Household Survey on Disaster Preparedness: Survey Instrument (English), 2023)","noteIndex":0},"citationItems":[{"id":"MpOFIX5C/jN70FIfi","uris":["http://zotero.org/users/10735550/items/RC3VHS5N"],"itemData":{"id":1294,"type":"article-journal","language":"en","source":"Zotero","title":"2023 National Household Survey on Disaster Preparedness: Survey Instrument (English)","issued":{"date-parts":[["2023"]]}}}],"schema":"https://github.com/citation-style-language/schema/raw/master/csl-citation.json"} </w:instrText>
      </w:r>
      <w:r w:rsidR="00D50183">
        <w:fldChar w:fldCharType="separate"/>
      </w:r>
      <w:r w:rsidR="0087252D" w:rsidRPr="0087252D">
        <w:rPr>
          <w:rFonts w:ascii="Aptos" w:cs="Times New Roman"/>
          <w:kern w:val="0"/>
          <w:lang w:val="en-GB"/>
        </w:rPr>
        <w:t>(</w:t>
      </w:r>
      <w:r w:rsidR="0087252D" w:rsidRPr="0087252D">
        <w:rPr>
          <w:rFonts w:ascii="Aptos" w:cs="Times New Roman"/>
          <w:i/>
          <w:iCs/>
          <w:kern w:val="0"/>
          <w:lang w:val="en-GB"/>
        </w:rPr>
        <w:t>2023 National Household Survey on Disaster Preparedness: Survey Instrument (English)</w:t>
      </w:r>
      <w:r w:rsidR="0087252D" w:rsidRPr="0087252D">
        <w:rPr>
          <w:rFonts w:ascii="Aptos" w:cs="Times New Roman"/>
          <w:kern w:val="0"/>
          <w:lang w:val="en-GB"/>
        </w:rPr>
        <w:t>, 2023)</w:t>
      </w:r>
      <w:r w:rsidR="00D50183">
        <w:fldChar w:fldCharType="end"/>
      </w:r>
      <w:commentRangeEnd w:id="34"/>
      <w:r w:rsidR="00EB7C73">
        <w:rPr>
          <w:rStyle w:val="CommentReference"/>
        </w:rPr>
        <w:commentReference w:id="34"/>
      </w:r>
      <w:r w:rsidR="00D50183">
        <w:t xml:space="preserve">. </w:t>
      </w:r>
    </w:p>
    <w:p w14:paraId="643A1A4A" w14:textId="77777777" w:rsidR="00013783" w:rsidRDefault="00013783" w:rsidP="005B5735"/>
    <w:p w14:paraId="23F29459" w14:textId="3DF6279A" w:rsidR="00013783" w:rsidRDefault="00013783" w:rsidP="005B5735">
      <w:r>
        <w:t>&lt;further features&gt;</w:t>
      </w:r>
    </w:p>
    <w:p w14:paraId="5BC782A8" w14:textId="68E368AF" w:rsidR="00013783" w:rsidRDefault="00013783" w:rsidP="00013783">
      <w:pPr>
        <w:pStyle w:val="ListParagraph"/>
        <w:numPr>
          <w:ilvl w:val="0"/>
          <w:numId w:val="14"/>
        </w:numPr>
      </w:pPr>
      <w:r>
        <w:t xml:space="preserve">Shapefiles </w:t>
      </w:r>
    </w:p>
    <w:p w14:paraId="1E10252E" w14:textId="77777777" w:rsidR="00013783" w:rsidRDefault="00013783" w:rsidP="00013783">
      <w:pPr>
        <w:pStyle w:val="ListParagraph"/>
      </w:pPr>
    </w:p>
    <w:p w14:paraId="464F0CD9" w14:textId="7144A778" w:rsidR="003F23AA" w:rsidRDefault="00DD6A68" w:rsidP="00F60EA2">
      <w:pPr>
        <w:pStyle w:val="Heading2"/>
        <w:numPr>
          <w:ilvl w:val="1"/>
          <w:numId w:val="6"/>
        </w:numPr>
      </w:pPr>
      <w:bookmarkStart w:id="35" w:name="_Toc197002969"/>
      <w:r>
        <w:t xml:space="preserve">Data </w:t>
      </w:r>
      <w:r w:rsidR="007A204B">
        <w:t>Cleaning</w:t>
      </w:r>
      <w:bookmarkEnd w:id="35"/>
    </w:p>
    <w:p w14:paraId="5E78A8A7" w14:textId="77777777" w:rsidR="007A204B" w:rsidRPr="007A204B" w:rsidRDefault="007A204B" w:rsidP="007A204B"/>
    <w:p w14:paraId="1CBB2607" w14:textId="7E048880" w:rsidR="00DD6A68" w:rsidRDefault="00F60EA2" w:rsidP="00DD6A68">
      <w:r>
        <w:t>&lt;cleaning&gt;</w:t>
      </w:r>
    </w:p>
    <w:p w14:paraId="5F39F868" w14:textId="73DC4541" w:rsidR="00D34EAC" w:rsidRDefault="00D34EAC" w:rsidP="00534854">
      <w:pPr>
        <w:jc w:val="both"/>
      </w:pPr>
      <w:r>
        <w:t>Constructs with more than 5% missing values were dropped from the data. F</w:t>
      </w:r>
      <w:r w:rsidR="00F60EA2">
        <w:t xml:space="preserve">lood zones were </w:t>
      </w:r>
      <w:r>
        <w:t>missing for more than 14% of responses</w:t>
      </w:r>
      <w:r w:rsidR="00F60EA2">
        <w:t xml:space="preserve">. Roughly 8% of </w:t>
      </w:r>
      <w:r w:rsidR="00534854">
        <w:t xml:space="preserve">respondents did not report </w:t>
      </w:r>
      <w:r w:rsidR="00F60EA2">
        <w:t xml:space="preserve">on efficacy and awareness, and roughly 7% </w:t>
      </w:r>
      <w:r>
        <w:t xml:space="preserve">of </w:t>
      </w:r>
      <w:r w:rsidR="00F60EA2">
        <w:t>responses are missing on perception</w:t>
      </w:r>
      <w:r>
        <w:t>. All four variables were dropped from the data</w:t>
      </w:r>
      <w:r w:rsidR="00534854">
        <w:t xml:space="preserve">. The remaining rows with missing data were dropped afterwards (see Figure ___). To prevent skew, no techniques to fill missing data were deployed.  </w:t>
      </w:r>
    </w:p>
    <w:p w14:paraId="0ADAF883" w14:textId="77777777" w:rsidR="00D34EAC" w:rsidRDefault="00D34EAC" w:rsidP="00534854">
      <w:pPr>
        <w:jc w:val="both"/>
      </w:pPr>
    </w:p>
    <w:p w14:paraId="736D555A" w14:textId="61003665" w:rsidR="00F60EA2" w:rsidRPr="00DD6A68" w:rsidRDefault="00F60EA2" w:rsidP="00534854">
      <w:pPr>
        <w:jc w:val="both"/>
      </w:pPr>
      <w:r>
        <w:t>Since efficacy, awareness, perception</w:t>
      </w:r>
      <w:r w:rsidR="00272C00">
        <w:t xml:space="preserve">, and flood zone </w:t>
      </w:r>
      <w:r>
        <w:t xml:space="preserve">are </w:t>
      </w:r>
      <w:r w:rsidR="00534854">
        <w:t xml:space="preserve">being deployed in </w:t>
      </w:r>
      <w:r w:rsidR="00272C00">
        <w:t>some</w:t>
      </w:r>
      <w:r w:rsidR="00534854">
        <w:t xml:space="preserve"> </w:t>
      </w:r>
      <w:r>
        <w:t xml:space="preserve">of the subsequent regression analyses, </w:t>
      </w:r>
      <w:r w:rsidR="00534854">
        <w:t xml:space="preserve">a second dataset has been produced, keeping these variables. </w:t>
      </w:r>
      <w:r w:rsidR="00272C00">
        <w:t>By searching for responses on flood zone from respondents in the same zip code we managed to reduce the share of missing flood zones down to roughly 7</w:t>
      </w:r>
      <w:r w:rsidR="003C0742">
        <w:t>.5</w:t>
      </w:r>
      <w:r w:rsidR="00272C00">
        <w:t xml:space="preserve">%. Note that this technique is not accurate as flood zones can run through zip codes, potentially skewing results. </w:t>
      </w:r>
      <w:r w:rsidR="00534854">
        <w:t>Again, rows with missing data were dropped. Including these variables decreased overall dataset size by 1</w:t>
      </w:r>
      <w:r w:rsidR="003C0742">
        <w:t>8.4</w:t>
      </w:r>
      <w:r w:rsidR="00534854">
        <w:t>%. In the following, this dataset is being deployed only if the respective analysis includes awareness, perception, efficacy</w:t>
      </w:r>
      <w:r w:rsidR="00272C00">
        <w:t>, or flood zones</w:t>
      </w:r>
      <w:r w:rsidR="00534854">
        <w:t>.</w:t>
      </w:r>
      <w:r>
        <w:t xml:space="preserve"> </w:t>
      </w:r>
    </w:p>
    <w:p w14:paraId="57B4A379" w14:textId="77777777" w:rsidR="00D54AD7" w:rsidRDefault="00D54AD7" w:rsidP="00013783"/>
    <w:p w14:paraId="32B4D9F0" w14:textId="77777777" w:rsidR="007A204B" w:rsidRDefault="007A204B" w:rsidP="00013783"/>
    <w:p w14:paraId="437F4D46" w14:textId="6143BF2B" w:rsidR="007A204B" w:rsidRDefault="008272EA" w:rsidP="007A204B">
      <w:pPr>
        <w:pStyle w:val="Heading2"/>
        <w:numPr>
          <w:ilvl w:val="1"/>
          <w:numId w:val="6"/>
        </w:numPr>
      </w:pPr>
      <w:bookmarkStart w:id="36" w:name="_Toc197002970"/>
      <w:r>
        <w:t>Data Exploration</w:t>
      </w:r>
      <w:bookmarkEnd w:id="36"/>
    </w:p>
    <w:p w14:paraId="61A05838" w14:textId="0D96FC2F" w:rsidR="00B87999" w:rsidRDefault="00B87999" w:rsidP="00B87999">
      <w:r>
        <w:t>&lt;unimodal distributions&gt;</w:t>
      </w:r>
    </w:p>
    <w:p w14:paraId="0A66EEE0" w14:textId="77777777" w:rsidR="00B87999" w:rsidRDefault="00B87999" w:rsidP="00B87999"/>
    <w:p w14:paraId="25CF84AF" w14:textId="77777777" w:rsidR="00B87999" w:rsidRDefault="00B87999" w:rsidP="00B87999"/>
    <w:p w14:paraId="0DCF9754" w14:textId="77777777" w:rsidR="00B87999" w:rsidRPr="00013783" w:rsidRDefault="00B87999" w:rsidP="00B87999">
      <w:r>
        <w:t>&lt;spatial distributions&gt;</w:t>
      </w:r>
    </w:p>
    <w:p w14:paraId="0FE2A816" w14:textId="77777777" w:rsidR="00B87999" w:rsidRDefault="00B87999" w:rsidP="00B87999">
      <w:pPr>
        <w:pStyle w:val="ListParagraph"/>
        <w:numPr>
          <w:ilvl w:val="0"/>
          <w:numId w:val="14"/>
        </w:numPr>
      </w:pPr>
      <w:r>
        <w:t xml:space="preserve">Figure __ shows the spatial distribution of survey responses. Most responses are clustered around the states of Florida, New York, and Washington. In Florida, </w:t>
      </w:r>
      <w:r>
        <w:lastRenderedPageBreak/>
        <w:t xml:space="preserve">observations are spread between Jacksonville and Miami on the east coast and along Sarasota on the west coast. Iin the state of New York, observations are clustered around New York City but also spread out into New Jersey, Atlantic City, and Orleans. In the state of Washington, the bulk of observation is clustered around Seattle. </w:t>
      </w:r>
    </w:p>
    <w:p w14:paraId="3C972768" w14:textId="15954046" w:rsidR="00B87999" w:rsidRDefault="00B87999" w:rsidP="00B87999">
      <w:pPr>
        <w:pStyle w:val="ListParagraph"/>
        <w:numPr>
          <w:ilvl w:val="0"/>
          <w:numId w:val="14"/>
        </w:numPr>
      </w:pPr>
      <w:r>
        <w:t xml:space="preserve">Responses per zip code vary between one and four – too little to investigate spatial interactions between respondents. </w:t>
      </w:r>
    </w:p>
    <w:p w14:paraId="76832386" w14:textId="77777777" w:rsidR="00B87999" w:rsidRDefault="00B87999" w:rsidP="00B87999"/>
    <w:p w14:paraId="15F0F3F8" w14:textId="77777777" w:rsidR="00B87999" w:rsidRDefault="00B87999" w:rsidP="00B87999"/>
    <w:p w14:paraId="51585C08" w14:textId="225F40C2" w:rsidR="00B87999" w:rsidRPr="007A204B" w:rsidRDefault="00B87999" w:rsidP="00B87999">
      <w:r>
        <w:t>&lt;correlations&gt;</w:t>
      </w:r>
    </w:p>
    <w:p w14:paraId="69F4176C" w14:textId="71D996E9" w:rsidR="00D54AD7" w:rsidRDefault="005E40B8" w:rsidP="00013783">
      <w:r>
        <w:t xml:space="preserve">Figure ___ shows that the </w:t>
      </w:r>
      <w:r w:rsidR="0041000C">
        <w:t xml:space="preserve">difference in the distribution of response variables </w:t>
      </w:r>
      <w:r>
        <w:t xml:space="preserve">between both cleaned datasets is only marginal. The same holds true for correlations between socioeconomic variables.  </w:t>
      </w:r>
    </w:p>
    <w:p w14:paraId="74056F6D" w14:textId="77777777" w:rsidR="005E40B8" w:rsidRDefault="005E40B8" w:rsidP="00013783"/>
    <w:p w14:paraId="3BDC4FE4" w14:textId="4F061C8E" w:rsidR="005E40B8" w:rsidRDefault="005E40B8" w:rsidP="005E40B8">
      <w:pPr>
        <w:pStyle w:val="ListParagraph"/>
        <w:numPr>
          <w:ilvl w:val="0"/>
          <w:numId w:val="14"/>
        </w:numPr>
      </w:pPr>
      <w:r>
        <w:t xml:space="preserve">Age is negatively correlated with cognitive and situational determinants. </w:t>
      </w:r>
      <w:proofErr w:type="spellStart"/>
      <w:r>
        <w:t>Rentmortgage</w:t>
      </w:r>
      <w:proofErr w:type="spellEnd"/>
      <w:r>
        <w:t xml:space="preserve"> is positively correlated </w:t>
      </w:r>
    </w:p>
    <w:p w14:paraId="3BEFFD3C" w14:textId="77777777" w:rsidR="00013783" w:rsidRDefault="00013783" w:rsidP="00013783"/>
    <w:p w14:paraId="724515CF" w14:textId="139ACA7A" w:rsidR="00D24BD7" w:rsidRDefault="009E17EB" w:rsidP="00D24BD7">
      <w:pPr>
        <w:pStyle w:val="ListParagraph"/>
        <w:numPr>
          <w:ilvl w:val="0"/>
          <w:numId w:val="14"/>
        </w:numPr>
      </w:pPr>
      <w:r>
        <w:t xml:space="preserve">Household-level preparedness is stronger in Florida across all individual adaptations. Particularly supply, insurance take up, evacuation routes, </w:t>
      </w:r>
      <w:proofErr w:type="spellStart"/>
      <w:r w:rsidR="00D24BD7">
        <w:t>made_plan</w:t>
      </w:r>
      <w:proofErr w:type="spellEnd"/>
      <w:r w:rsidR="00D24BD7">
        <w:t xml:space="preserve">, </w:t>
      </w:r>
      <w:proofErr w:type="spellStart"/>
      <w:r w:rsidR="00D24BD7">
        <w:t>made_safer</w:t>
      </w:r>
      <w:proofErr w:type="spellEnd"/>
      <w:r w:rsidR="00D24BD7">
        <w:t xml:space="preserve">, documents, and alerts are highly adopted (&gt;20%). In relative terms, the </w:t>
      </w:r>
      <w:commentRangeStart w:id="37"/>
      <w:r w:rsidR="00D24BD7">
        <w:t xml:space="preserve">difference between Florida and the other states is strongest in insurance take up and evacuation </w:t>
      </w:r>
      <w:commentRangeEnd w:id="37"/>
      <w:r w:rsidR="00D24BD7">
        <w:rPr>
          <w:rStyle w:val="CommentReference"/>
        </w:rPr>
        <w:commentReference w:id="37"/>
      </w:r>
      <w:r w:rsidR="00D24BD7">
        <w:t xml:space="preserve">routes. On the other hand, </w:t>
      </w:r>
      <w:proofErr w:type="spellStart"/>
      <w:r w:rsidR="00D24BD7">
        <w:t>comminuty</w:t>
      </w:r>
      <w:proofErr w:type="spellEnd"/>
      <w:r w:rsidR="00D24BD7">
        <w:t xml:space="preserve"> involvement seems more pronounced in the state of New York, compared to the other states. Washington seems least prepared. </w:t>
      </w:r>
    </w:p>
    <w:p w14:paraId="6EA2AB8D" w14:textId="78B302AE" w:rsidR="00D24BD7" w:rsidRDefault="00D24BD7" w:rsidP="009E17EB">
      <w:pPr>
        <w:pStyle w:val="ListParagraph"/>
        <w:numPr>
          <w:ilvl w:val="0"/>
          <w:numId w:val="14"/>
        </w:numPr>
      </w:pPr>
      <w:r>
        <w:t xml:space="preserve">When comparing the distribution between both datasets, the difference in responses across regions in alerts and family emergency communication plans becomes less pronounced.  </w:t>
      </w:r>
      <w:r w:rsidR="00D2567E">
        <w:t xml:space="preserve">Otherwise, data cleaning has little impact on the spatial distribution of responses. </w:t>
      </w:r>
    </w:p>
    <w:p w14:paraId="263FDFBA" w14:textId="77777777" w:rsidR="005E40B8" w:rsidRDefault="005E40B8" w:rsidP="00013783"/>
    <w:p w14:paraId="0F83DABE" w14:textId="74B92945" w:rsidR="005E40B8" w:rsidRDefault="00C35761" w:rsidP="00013783">
      <w:r>
        <w:t>&lt;multicollinearity&gt;</w:t>
      </w:r>
    </w:p>
    <w:p w14:paraId="58F6D6AD" w14:textId="4F737061" w:rsidR="00C35761" w:rsidRDefault="00C35761" w:rsidP="00C35761">
      <w:pPr>
        <w:pStyle w:val="ListParagraph"/>
        <w:numPr>
          <w:ilvl w:val="0"/>
          <w:numId w:val="14"/>
        </w:numPr>
      </w:pPr>
      <w:r>
        <w:t xml:space="preserve">Include determinants / determinants of risk perception </w:t>
      </w:r>
    </w:p>
    <w:p w14:paraId="305B1430" w14:textId="3D5E6DD9" w:rsidR="00C35761" w:rsidRDefault="00C35761" w:rsidP="00C35761">
      <w:pPr>
        <w:pStyle w:val="ListParagraph"/>
        <w:numPr>
          <w:ilvl w:val="1"/>
          <w:numId w:val="14"/>
        </w:numPr>
      </w:pPr>
      <w:r>
        <w:t xml:space="preserve">Or directly include all determinant? </w:t>
      </w:r>
    </w:p>
    <w:p w14:paraId="6BA5FC05" w14:textId="380BC2D9" w:rsidR="00C35761" w:rsidRDefault="00C35761" w:rsidP="00C35761">
      <w:pPr>
        <w:pStyle w:val="ListParagraph"/>
        <w:numPr>
          <w:ilvl w:val="0"/>
          <w:numId w:val="14"/>
        </w:numPr>
      </w:pPr>
      <w:r>
        <w:t xml:space="preserve">Include socioeconomic determinants </w:t>
      </w:r>
    </w:p>
    <w:p w14:paraId="2208874F" w14:textId="20078C00" w:rsidR="00C35761" w:rsidRDefault="00C35761" w:rsidP="00C35761">
      <w:pPr>
        <w:pStyle w:val="ListParagraph"/>
        <w:numPr>
          <w:ilvl w:val="0"/>
          <w:numId w:val="14"/>
        </w:numPr>
      </w:pPr>
      <w:commentRangeStart w:id="38"/>
      <w:r>
        <w:t>Also include correlation between socioeconomic determinants and determinants</w:t>
      </w:r>
      <w:commentRangeEnd w:id="38"/>
      <w:r>
        <w:rPr>
          <w:rStyle w:val="CommentReference"/>
        </w:rPr>
        <w:commentReference w:id="38"/>
      </w:r>
      <w:r>
        <w:t xml:space="preserve">? </w:t>
      </w:r>
    </w:p>
    <w:p w14:paraId="3E5CD404" w14:textId="77777777" w:rsidR="00B87999" w:rsidRDefault="00B87999" w:rsidP="00B87999"/>
    <w:p w14:paraId="5152BEFC" w14:textId="1882F243" w:rsidR="001B6481" w:rsidRDefault="005A3D38" w:rsidP="001B6481">
      <w:pPr>
        <w:pStyle w:val="Heading1"/>
        <w:numPr>
          <w:ilvl w:val="0"/>
          <w:numId w:val="6"/>
        </w:numPr>
      </w:pPr>
      <w:bookmarkStart w:id="39" w:name="_Toc197002971"/>
      <w:r>
        <w:t>Analysis</w:t>
      </w:r>
      <w:bookmarkEnd w:id="39"/>
      <w:r>
        <w:t xml:space="preserve"> </w:t>
      </w:r>
    </w:p>
    <w:p w14:paraId="15E45C22" w14:textId="77777777" w:rsidR="00F90B86" w:rsidRDefault="00F90B86" w:rsidP="00F90B86"/>
    <w:p w14:paraId="6C68B429" w14:textId="5D36AEFF" w:rsidR="00F90B86" w:rsidRDefault="00F90B86" w:rsidP="00F90B86">
      <w:r>
        <w:t>&lt;probit v logit&gt;</w:t>
      </w:r>
    </w:p>
    <w:p w14:paraId="137D7005" w14:textId="77777777" w:rsidR="00F931E4" w:rsidRDefault="00F931E4" w:rsidP="00F90B86"/>
    <w:p w14:paraId="6A22446C" w14:textId="7F671808" w:rsidR="00F931E4" w:rsidRDefault="00F931E4" w:rsidP="00F90B86">
      <w:r>
        <w:t>&lt;</w:t>
      </w:r>
      <w:proofErr w:type="spellStart"/>
      <w:r>
        <w:t>r_square</w:t>
      </w:r>
      <w:proofErr w:type="spellEnd"/>
      <w:r>
        <w:t>&gt;</w:t>
      </w:r>
    </w:p>
    <w:p w14:paraId="72D027DC" w14:textId="3B33546A" w:rsidR="00961DD0" w:rsidRDefault="00883186" w:rsidP="00746656">
      <w:r>
        <w:t xml:space="preserve">To enhance interpretability of model fit, we chose to report </w:t>
      </w:r>
      <w:proofErr w:type="spellStart"/>
      <w:r>
        <w:t>McKelvay</w:t>
      </w:r>
      <w:proofErr w:type="spellEnd"/>
      <w:r>
        <w:t xml:space="preserve"> </w:t>
      </w:r>
      <w:proofErr w:type="spellStart"/>
      <w:r>
        <w:t>Zaviona</w:t>
      </w:r>
      <w:proofErr w:type="spellEnd"/>
      <w:r>
        <w:t xml:space="preserve"> R as pseudo </w:t>
      </w:r>
      <w:proofErr w:type="spellStart"/>
      <w:r>
        <w:t>R_square</w:t>
      </w:r>
      <w:proofErr w:type="spellEnd"/>
      <w:r>
        <w:t xml:space="preserve">, since this measure replicates </w:t>
      </w:r>
      <w:r w:rsidR="00746656">
        <w:t xml:space="preserve">the OLS </w:t>
      </w:r>
      <w:proofErr w:type="spellStart"/>
      <w:r w:rsidR="001B4111">
        <w:t>R</w:t>
      </w:r>
      <w:r w:rsidR="00746656">
        <w:t>_square</w:t>
      </w:r>
      <w:proofErr w:type="spellEnd"/>
      <w:r w:rsidR="00746656">
        <w:t xml:space="preserve"> </w:t>
      </w:r>
      <w:r w:rsidR="001B4111">
        <w:t xml:space="preserve">more </w:t>
      </w:r>
      <w:r w:rsidR="00746656">
        <w:t xml:space="preserve">closely than the standard choice of McFadden’s R </w:t>
      </w:r>
      <w:r w:rsidR="00AD28C4">
        <w:fldChar w:fldCharType="begin"/>
      </w:r>
      <w:r w:rsidR="00AD28C4">
        <w:instrText xml:space="preserve"> ADDIN ZOTERO_ITEM CSL_CITATION {"citationID":"5SYJ8jOp","properties":{"formattedCitation":"(Veall &amp; Zimmermann, 1994)","plainCitation":"(Veall &amp; Zimmermann, 1994)","noteIndex":0},"citationItems":[{"id":1299,"uris":["http://zotero.org/users/10735550/items/I2P6XF2I"],"itemData":{"id":1299,"type":"article-journal","abstract":"Many applied researchers of limited dependent variable models found it disadvantageous that a widely accepted Pseudo-R2 does not exist for this type of estimation. The paper provides guidance for researchers in choosing a Pseudo-R 2 in the binary probit case. The starting point is that R 2 is best understood in the ordinary least squares (OLS) case with continuous data, which is chosen as the reference situation. It is considered which Pseudo-R z is best able to mimic the OLS-R 2. The results are surprisingly clear: a measure suggested by McKelveyZavoina performs the best under our criterion. However, in the more likely case of low PseudoRZ's, a normalization of a measure proposed by Aldrich-Nelson which we suggest is almost as good as the McKelvey-Zavoina, and is in general easier to calculate. We also show that if the underlying R 2 is predicted using cubic regressions given the Pseudo-R 2, all measures perform much better.","container-title":"Quality &amp; Quantity","DOI":"10.1007/BF01102759","ISSN":"0033-5177, 1573-7845","issue":"2","journalAbbreviation":"Qual Quant","language":"en","license":"http://www.springer.com/tdm","page":"151-164","source":"DOI.org (Crossref)","title":"Evaluating Pseudo-R2's for binary probit models","volume":"28","author":[{"family":"Veall","given":"Michael R."},{"family":"Zimmermann","given":"Klaus F."}],"issued":{"date-parts":[["1994",5]]}}}],"schema":"https://github.com/citation-style-language/schema/raw/master/csl-citation.json"} </w:instrText>
      </w:r>
      <w:r w:rsidR="00AD28C4">
        <w:fldChar w:fldCharType="separate"/>
      </w:r>
      <w:r w:rsidR="00AD28C4">
        <w:rPr>
          <w:noProof/>
        </w:rPr>
        <w:t>(Veall &amp; Zimmermann, 1994)</w:t>
      </w:r>
      <w:r w:rsidR="00AD28C4">
        <w:fldChar w:fldCharType="end"/>
      </w:r>
      <w:r w:rsidR="00746656">
        <w:t xml:space="preserve">. </w:t>
      </w:r>
      <w:r w:rsidR="00961DD0">
        <w:t xml:space="preserve">Although our choice </w:t>
      </w:r>
      <w:r w:rsidR="00961DD0">
        <w:lastRenderedPageBreak/>
        <w:t xml:space="preserve">of measure generally leads to higher </w:t>
      </w:r>
      <w:proofErr w:type="spellStart"/>
      <w:r w:rsidR="00961DD0">
        <w:t>R_square</w:t>
      </w:r>
      <w:proofErr w:type="spellEnd"/>
      <w:r w:rsidR="00961DD0">
        <w:t xml:space="preserve"> scores, achieving a score above 0.</w:t>
      </w:r>
      <w:commentRangeStart w:id="40"/>
      <w:r w:rsidR="00961DD0">
        <w:t xml:space="preserve">2 is unlikely given </w:t>
      </w:r>
      <w:r w:rsidR="00466312">
        <w:t xml:space="preserve">the binary probit </w:t>
      </w:r>
      <w:commentRangeEnd w:id="40"/>
      <w:r w:rsidR="00466312">
        <w:rPr>
          <w:rStyle w:val="CommentReference"/>
        </w:rPr>
        <w:commentReference w:id="40"/>
      </w:r>
      <w:r w:rsidR="00466312">
        <w:t>design</w:t>
      </w:r>
      <w:r w:rsidR="00961DD0">
        <w:t xml:space="preserve"> (source).</w:t>
      </w:r>
      <w:r w:rsidR="00466312">
        <w:t xml:space="preserve">  </w:t>
      </w:r>
    </w:p>
    <w:p w14:paraId="3A518BAE" w14:textId="0B31066D" w:rsidR="00CD19BA" w:rsidRDefault="00961DD0" w:rsidP="00746656">
      <w:r>
        <w:t xml:space="preserve"> </w:t>
      </w:r>
    </w:p>
    <w:p w14:paraId="72453D8C" w14:textId="1C2518FD" w:rsidR="00CD19BA" w:rsidRPr="001B4111" w:rsidRDefault="00000000" w:rsidP="00746656">
      <w:pPr>
        <w:rPr>
          <w:rFonts w:eastAsiaTheme="minorEastAsia"/>
        </w:rPr>
      </w:pPr>
      <m:oMathPara>
        <m:oMath>
          <m:sSubSup>
            <m:sSubSupPr>
              <m:ctrlPr>
                <w:rPr>
                  <w:rFonts w:ascii="Cambria Math" w:hAnsi="Cambria Math"/>
                  <w:i/>
                </w:rPr>
              </m:ctrlPr>
            </m:sSubSupPr>
            <m:e>
              <m:r>
                <w:rPr>
                  <w:rFonts w:ascii="Cambria Math" w:hAnsi="Cambria Math"/>
                </w:rPr>
                <m:t>R</m:t>
              </m:r>
            </m:e>
            <m:sub>
              <m:r>
                <w:rPr>
                  <w:rFonts w:ascii="Cambria Math" w:hAnsi="Cambria Math"/>
                </w:rPr>
                <m:t>MZ</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Xβ</m:t>
                  </m:r>
                </m:e>
              </m:d>
            </m:num>
            <m:den>
              <m:r>
                <w:rPr>
                  <w:rFonts w:ascii="Cambria Math" w:hAnsi="Cambria Math"/>
                </w:rPr>
                <m:t>Var</m:t>
              </m:r>
              <m:d>
                <m:dPr>
                  <m:ctrlPr>
                    <w:rPr>
                      <w:rFonts w:ascii="Cambria Math" w:hAnsi="Cambria Math"/>
                      <w:i/>
                    </w:rPr>
                  </m:ctrlPr>
                </m:dPr>
                <m:e>
                  <m:r>
                    <w:rPr>
                      <w:rFonts w:ascii="Cambria Math" w:hAnsi="Cambria Math"/>
                    </w:rPr>
                    <m:t>Xβ</m:t>
                  </m:r>
                </m:e>
              </m:d>
              <m:r>
                <w:rPr>
                  <w:rFonts w:ascii="Cambria Math" w:hAnsi="Cambria Math"/>
                </w:rPr>
                <m:t>+1</m:t>
              </m:r>
            </m:den>
          </m:f>
        </m:oMath>
      </m:oMathPara>
    </w:p>
    <w:p w14:paraId="781B1F6D" w14:textId="77777777" w:rsidR="001B4111" w:rsidRDefault="001B4111" w:rsidP="001B4111"/>
    <w:p w14:paraId="6CE424BB" w14:textId="3EF6BEEC" w:rsidR="001B4111" w:rsidRDefault="001B4111" w:rsidP="0059432E">
      <w:pPr>
        <w:jc w:val="both"/>
      </w:pPr>
      <w:r>
        <w:t xml:space="preserve">Additionally, we report p-values to the McFadden’s log likelihood ratio test. It tests for the improvement of model fit including the predictors, compared to the baseline model of only the intercept. </w:t>
      </w:r>
      <w:r w:rsidR="00EE390D">
        <w:t xml:space="preserve">Unlike McFadden’s R-square which computes the ratio between both fits, the statistic plots the difference of </w:t>
      </w:r>
      <w:r w:rsidR="00BA70B1">
        <w:t>b</w:t>
      </w:r>
      <w:r w:rsidR="00EE390D">
        <w:t xml:space="preserve">oth on a chi-square distribution. </w:t>
      </w:r>
      <w:r>
        <w:t xml:space="preserve">A significant p-value indicates that the included predictors are explaining a significant part of the outcome variable. </w:t>
      </w:r>
    </w:p>
    <w:p w14:paraId="3495AB94" w14:textId="77777777" w:rsidR="001B4111" w:rsidRPr="00CD19BA" w:rsidRDefault="001B4111" w:rsidP="00746656">
      <w:pPr>
        <w:rPr>
          <w:rFonts w:eastAsiaTheme="minorEastAsia"/>
        </w:rPr>
      </w:pPr>
    </w:p>
    <w:p w14:paraId="2EE9C6A9" w14:textId="3121502A" w:rsidR="00CD19BA" w:rsidRPr="00723EA5" w:rsidRDefault="00000000" w:rsidP="00746656">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MF</m:t>
              </m:r>
            </m:sub>
            <m:sup>
              <m:r>
                <w:rPr>
                  <w:rFonts w:ascii="Cambria Math" w:eastAsiaTheme="minorEastAsia" w:hAnsi="Cambria Math"/>
                </w:rPr>
                <m:t>2</m:t>
              </m:r>
            </m:sup>
          </m:sSubSup>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llf</m:t>
              </m:r>
            </m:num>
            <m:den>
              <m:r>
                <w:rPr>
                  <w:rFonts w:ascii="Cambria Math" w:eastAsiaTheme="minorEastAsia" w:hAnsi="Cambria Math"/>
                </w:rPr>
                <m:t>lln</m:t>
              </m:r>
            </m:den>
          </m:f>
        </m:oMath>
      </m:oMathPara>
    </w:p>
    <w:p w14:paraId="14C4EAB4" w14:textId="737F5C31" w:rsidR="00723EA5" w:rsidRPr="00723EA5" w:rsidRDefault="00723EA5" w:rsidP="00746656">
      <w:pPr>
        <w:rPr>
          <w:rFonts w:eastAsiaTheme="minorEastAsia"/>
        </w:rPr>
      </w:pPr>
      <m:oMathPara>
        <m:oMath>
          <m:r>
            <w:rPr>
              <w:rFonts w:ascii="Cambria Math" w:eastAsiaTheme="minorEastAsia" w:hAnsi="Cambria Math"/>
            </w:rPr>
            <m:t xml:space="preserve">lln=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flat</m:t>
                          </m:r>
                        </m:sub>
                      </m:sSub>
                    </m:e>
                  </m:d>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flat</m:t>
                  </m:r>
                </m:sub>
              </m:sSub>
              <m:r>
                <w:rPr>
                  <w:rFonts w:ascii="Cambria Math" w:eastAsiaTheme="minorEastAsia" w:hAnsi="Cambria Math"/>
                </w:rPr>
                <m:t>)]</m:t>
              </m:r>
            </m:e>
          </m:nary>
        </m:oMath>
      </m:oMathPara>
    </w:p>
    <w:p w14:paraId="57246012" w14:textId="0E8C1F96" w:rsidR="00723EA5" w:rsidRDefault="00723EA5" w:rsidP="00746656">
      <w:pPr>
        <w:rPr>
          <w:rFonts w:eastAsiaTheme="minorEastAsia"/>
        </w:rPr>
      </w:pPr>
      <m:oMath>
        <m:r>
          <w:rPr>
            <w:rFonts w:ascii="Cambria Math" w:eastAsiaTheme="minorEastAsia" w:hAnsi="Cambria Math"/>
          </w:rPr>
          <m:t>llf=</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[y*</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hat</m:t>
                            </m:r>
                          </m:sub>
                        </m:sSub>
                      </m:sub>
                    </m:sSub>
                  </m:e>
                </m:d>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hat</m:t>
                    </m:r>
                  </m:sub>
                </m:sSub>
              </m:sub>
            </m:sSub>
            <m:r>
              <w:rPr>
                <w:rFonts w:ascii="Cambria Math" w:eastAsiaTheme="minorEastAsia" w:hAnsi="Cambria Math"/>
              </w:rPr>
              <m:t>)]</m:t>
            </m:r>
          </m:e>
        </m:nary>
      </m:oMath>
      <w:r>
        <w:rPr>
          <w:rFonts w:eastAsiaTheme="minorEastAsia"/>
        </w:rPr>
        <w:t>, y_i_hat = P(Y=1|X)</w:t>
      </w:r>
    </w:p>
    <w:p w14:paraId="0F637C4C" w14:textId="77777777" w:rsidR="00723EA5" w:rsidRDefault="00723EA5" w:rsidP="00746656">
      <w:pPr>
        <w:rPr>
          <w:rFonts w:eastAsiaTheme="minorEastAsia"/>
        </w:rPr>
      </w:pPr>
    </w:p>
    <w:p w14:paraId="35319CC6" w14:textId="77777777" w:rsidR="00723EA5" w:rsidRPr="00723EA5" w:rsidRDefault="00723EA5" w:rsidP="00746656">
      <w:pPr>
        <w:rPr>
          <w:rFonts w:eastAsiaTheme="minorEastAsia"/>
        </w:rPr>
      </w:pPr>
      <m:oMathPara>
        <m:oMath>
          <m:r>
            <w:rPr>
              <w:rFonts w:ascii="Cambria Math" w:eastAsiaTheme="minorEastAsia" w:hAnsi="Cambria Math"/>
            </w:rPr>
            <m:t>LR statistic= -2*</m:t>
          </m:r>
          <m:d>
            <m:dPr>
              <m:ctrlPr>
                <w:rPr>
                  <w:rFonts w:ascii="Cambria Math" w:eastAsiaTheme="minorEastAsia" w:hAnsi="Cambria Math"/>
                  <w:i/>
                </w:rPr>
              </m:ctrlPr>
            </m:dPr>
            <m:e>
              <m:r>
                <w:rPr>
                  <w:rFonts w:ascii="Cambria Math" w:eastAsiaTheme="minorEastAsia" w:hAnsi="Cambria Math"/>
                </w:rPr>
                <m:t>lln-llf</m:t>
              </m:r>
            </m:e>
          </m:d>
        </m:oMath>
      </m:oMathPara>
    </w:p>
    <w:p w14:paraId="2EEDB302" w14:textId="7EE869D9" w:rsidR="00723EA5" w:rsidRPr="00723EA5" w:rsidRDefault="00723EA5" w:rsidP="00746656">
      <w:pPr>
        <w:rPr>
          <w:rFonts w:eastAsiaTheme="minorEastAsia"/>
        </w:rPr>
      </w:pPr>
      <w:r>
        <w:rPr>
          <w:rFonts w:eastAsiaTheme="minorEastAsia"/>
        </w:rPr>
        <w:t xml:space="preserve"> </w:t>
      </w:r>
    </w:p>
    <w:p w14:paraId="7F46108D" w14:textId="245B780A" w:rsidR="009265D2" w:rsidRDefault="009265D2" w:rsidP="00746656">
      <w:r>
        <w:t>&lt;BIC&gt;</w:t>
      </w:r>
    </w:p>
    <w:p w14:paraId="29D25934" w14:textId="76F0F4E9" w:rsidR="009265D2" w:rsidRPr="00495220" w:rsidRDefault="009265D2" w:rsidP="00746656">
      <w:pPr>
        <w:rPr>
          <w:rFonts w:eastAsiaTheme="minorEastAsia"/>
        </w:rPr>
      </w:pPr>
      <m:oMathPara>
        <m:oMath>
          <m:r>
            <w:rPr>
              <w:rFonts w:ascii="Cambria Math" w:hAnsi="Cambria Math"/>
            </w:rPr>
            <m:t>BIC=k</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-2</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hat</m:t>
              </m:r>
            </m:sub>
          </m:sSub>
          <m:r>
            <w:rPr>
              <w:rFonts w:ascii="Cambria Math" w:hAnsi="Cambria Math"/>
            </w:rPr>
            <m:t>)</m:t>
          </m:r>
        </m:oMath>
      </m:oMathPara>
    </w:p>
    <w:p w14:paraId="2A26EE1A" w14:textId="0ABE28FC" w:rsidR="00495220" w:rsidRPr="00495220" w:rsidRDefault="00495220" w:rsidP="00495220">
      <w:pPr>
        <w:pStyle w:val="ListParagraph"/>
        <w:numPr>
          <w:ilvl w:val="0"/>
          <w:numId w:val="14"/>
        </w:numPr>
        <w:rPr>
          <w:rFonts w:eastAsiaTheme="minorEastAsia"/>
        </w:rPr>
      </w:pPr>
      <w:r>
        <w:rPr>
          <w:rFonts w:eastAsiaTheme="minorEastAsia"/>
        </w:rPr>
        <w:t>BIC punishes model complexity through number of parameters and sample size.</w:t>
      </w:r>
    </w:p>
    <w:p w14:paraId="14C234E0" w14:textId="711ADF48" w:rsidR="00FB1626" w:rsidRDefault="00B0552F" w:rsidP="00B0552F">
      <w:pPr>
        <w:pStyle w:val="ListParagraph"/>
        <w:numPr>
          <w:ilvl w:val="0"/>
          <w:numId w:val="14"/>
        </w:numPr>
      </w:pPr>
      <w:r>
        <w:t xml:space="preserve">Low BIC is good </w:t>
      </w:r>
    </w:p>
    <w:p w14:paraId="7C63A309" w14:textId="77777777" w:rsidR="00B0552F" w:rsidRDefault="00B0552F" w:rsidP="00B0552F">
      <w:pPr>
        <w:pStyle w:val="ListParagraph"/>
        <w:numPr>
          <w:ilvl w:val="0"/>
          <w:numId w:val="14"/>
        </w:numPr>
      </w:pPr>
    </w:p>
    <w:p w14:paraId="3C00D426" w14:textId="14DD0CF0" w:rsidR="00746656" w:rsidRDefault="00EE390D" w:rsidP="00746656">
      <w:r>
        <w:t>&lt;explain marginal effect here once&gt;</w:t>
      </w:r>
    </w:p>
    <w:p w14:paraId="4550CFC8" w14:textId="5B35A15D" w:rsidR="00B87999" w:rsidRDefault="00B87999" w:rsidP="00B87999">
      <w:pPr>
        <w:pStyle w:val="ListParagraph"/>
        <w:numPr>
          <w:ilvl w:val="0"/>
          <w:numId w:val="14"/>
        </w:numPr>
      </w:pPr>
      <w:r>
        <w:t>Average marginal effect AME</w:t>
      </w:r>
    </w:p>
    <w:p w14:paraId="4465DA80" w14:textId="091D0E87" w:rsidR="00B87999" w:rsidRDefault="00B87999" w:rsidP="00B87999">
      <w:pPr>
        <w:pStyle w:val="ListParagraph"/>
        <w:numPr>
          <w:ilvl w:val="0"/>
          <w:numId w:val="14"/>
        </w:numPr>
      </w:pPr>
      <w:r>
        <w:t xml:space="preserve">Marginal effect at the mean </w:t>
      </w:r>
    </w:p>
    <w:p w14:paraId="69A4D08D" w14:textId="4F4E146D" w:rsidR="00B87999" w:rsidRDefault="00B87999" w:rsidP="00B87999">
      <w:pPr>
        <w:pStyle w:val="ListParagraph"/>
        <w:numPr>
          <w:ilvl w:val="0"/>
          <w:numId w:val="14"/>
        </w:numPr>
      </w:pPr>
      <w:r>
        <w:t>…</w:t>
      </w:r>
    </w:p>
    <w:p w14:paraId="4A4779B2" w14:textId="77777777" w:rsidR="00EE390D" w:rsidRDefault="00EE390D" w:rsidP="00746656"/>
    <w:p w14:paraId="3DC494E1" w14:textId="77777777" w:rsidR="0011403F" w:rsidRDefault="0011403F" w:rsidP="00746656"/>
    <w:p w14:paraId="6FE28671" w14:textId="77777777" w:rsidR="0011403F" w:rsidRDefault="0011403F" w:rsidP="00746656"/>
    <w:p w14:paraId="2BB471EA" w14:textId="42A07AC3" w:rsidR="00F90B86" w:rsidRDefault="00182E97" w:rsidP="00F90B86">
      <w:pPr>
        <w:pStyle w:val="Heading2"/>
        <w:numPr>
          <w:ilvl w:val="1"/>
          <w:numId w:val="6"/>
        </w:numPr>
      </w:pPr>
      <w:bookmarkStart w:id="41" w:name="_Toc197002972"/>
      <w:r>
        <w:t>The effect of flood risk, perception, experience, and awareness</w:t>
      </w:r>
      <w:bookmarkEnd w:id="41"/>
      <w:r>
        <w:t xml:space="preserve"> </w:t>
      </w:r>
    </w:p>
    <w:p w14:paraId="75C80CC0" w14:textId="2E36ABF3" w:rsidR="004F0D06" w:rsidRDefault="00182E97" w:rsidP="00182E97">
      <w:pPr>
        <w:pStyle w:val="ListParagraph"/>
        <w:numPr>
          <w:ilvl w:val="0"/>
          <w:numId w:val="14"/>
        </w:numPr>
      </w:pPr>
      <w:r>
        <w:t>We hypothesized that real flood risk, individual risk perception, flood experience, and flood risk awareness are all predicting adaptation behavior</w:t>
      </w:r>
      <w:r w:rsidR="00BA70B1">
        <w:t xml:space="preserve"> (H1, H2, H3)</w:t>
      </w:r>
      <w:r>
        <w:t xml:space="preserve">. If that is the case, a household should be more likely to implement an adaptation measure if they experienced a flood before, their reported risk perception is higher, they have read or consumed information on flood disasters and preparedness, or they reside in an area of higher real flood risk. </w:t>
      </w:r>
    </w:p>
    <w:p w14:paraId="470E55D4" w14:textId="255A11C8" w:rsidR="00824948" w:rsidRDefault="00C03C1C" w:rsidP="00182E97">
      <w:pPr>
        <w:pStyle w:val="ListParagraph"/>
        <w:numPr>
          <w:ilvl w:val="0"/>
          <w:numId w:val="14"/>
        </w:numPr>
      </w:pPr>
      <w:r>
        <w:t>We are measuring real flood risk through residency inside or outside designated flood zones.</w:t>
      </w:r>
      <w:r w:rsidR="00824948">
        <w:t xml:space="preserve"> The Federal Emergency </w:t>
      </w:r>
      <w:proofErr w:type="spellStart"/>
      <w:r w:rsidR="00824948">
        <w:t>Managemen</w:t>
      </w:r>
      <w:proofErr w:type="spellEnd"/>
      <w:r w:rsidR="00824948">
        <w:t xml:space="preserve"> Agency (FEMA) is regularly auditing and updating flood risk in coastal areas. Areas in which </w:t>
      </w:r>
      <w:r w:rsidR="00B008AB">
        <w:t xml:space="preserve">FEMA </w:t>
      </w:r>
      <w:r w:rsidR="00824948">
        <w:t xml:space="preserve">computations predict a 1% </w:t>
      </w:r>
      <w:r w:rsidR="00B008AB">
        <w:t xml:space="preserve">or higher </w:t>
      </w:r>
      <w:r w:rsidR="00824948">
        <w:t>chance of flood</w:t>
      </w:r>
      <w:r w:rsidR="00B008AB">
        <w:t xml:space="preserve"> induced inundation in </w:t>
      </w:r>
      <w:commentRangeStart w:id="42"/>
      <w:r w:rsidR="00B008AB">
        <w:t xml:space="preserve">any </w:t>
      </w:r>
      <w:r w:rsidR="00B008AB">
        <w:lastRenderedPageBreak/>
        <w:t>given year</w:t>
      </w:r>
      <w:r w:rsidR="00824948">
        <w:t xml:space="preserve"> </w:t>
      </w:r>
      <w:r w:rsidR="00B008AB">
        <w:t xml:space="preserve">are classified as Special Flood Hazard Area (SFHA), colloquially referred to as flood </w:t>
      </w:r>
      <w:commentRangeEnd w:id="42"/>
      <w:r w:rsidR="00B008AB">
        <w:rPr>
          <w:rStyle w:val="CommentReference"/>
        </w:rPr>
        <w:commentReference w:id="42"/>
      </w:r>
      <w:r w:rsidR="00B008AB">
        <w:t xml:space="preserve">zone. </w:t>
      </w:r>
      <w:r>
        <w:t xml:space="preserve">We use the binary data on flood zones as a proxy for the continuous underlying distribution of real flood risk. Note that changing weather patterns are continuously affecting the </w:t>
      </w:r>
      <w:r w:rsidR="00BA70B1">
        <w:t>latent underlying</w:t>
      </w:r>
      <w:r>
        <w:t xml:space="preserve"> risk distribution, rendering attempts to realistic</w:t>
      </w:r>
      <w:r w:rsidR="00BA70B1">
        <w:t>ally</w:t>
      </w:r>
      <w:r>
        <w:t xml:space="preserve"> gauge the underlying probability distribution quasi-impossible. </w:t>
      </w:r>
    </w:p>
    <w:p w14:paraId="3DEDD0DD" w14:textId="1AE9ACC5" w:rsidR="00A84239" w:rsidRDefault="00014B95" w:rsidP="00A84239">
      <w:pPr>
        <w:pStyle w:val="ListParagraph"/>
        <w:numPr>
          <w:ilvl w:val="0"/>
          <w:numId w:val="14"/>
        </w:numPr>
      </w:pPr>
      <w:r>
        <w:t xml:space="preserve">Instead of </w:t>
      </w:r>
      <w:commentRangeStart w:id="43"/>
      <w:r>
        <w:t>asking, how “aware” respondents’ are of their exposure to flood risk, the survey instrument asks, whether the respondent has “</w:t>
      </w:r>
      <w:r w:rsidR="00A84239">
        <w:t xml:space="preserve">read, seen, or heard any information about how to get better” </w:t>
      </w:r>
      <w:r w:rsidR="00A84239">
        <w:fldChar w:fldCharType="begin"/>
      </w:r>
      <w:r w:rsidR="00C1456E">
        <w:instrText xml:space="preserve"> ADDIN ZOTERO_ITEM CSL_CITATION {"citationID":"JWUXkTj3","properties":{"formattedCitation":"({\\i{}2023 National Household Survey on Disaster Preparedness: Survey Instrument (English)}, 2023b)","plainCitation":"(2023 National Household Survey on Disaster Preparedness: Survey Instrument (English), 2023b)","dontUpdate":true,"noteIndex":0},"citationItems":[{"id":"MpOFIX5C/jN70FIfi","uris":["http://zotero.org/users/10735550/items/RC3VHS5N"],"itemData":{"id":"iWNSOppY/wzavECz7","type":"article-journal","language":"en","source":"Zotero","title":"2023 National Household Survey on Disaster Preparedness: Survey Instrument (English)","issued":{"date-parts":[["2023"]]}}}],"schema":"https://github.com/citation-style-language/schema/raw/master/csl-citation.json"} </w:instrText>
      </w:r>
      <w:r w:rsidR="00A84239">
        <w:fldChar w:fldCharType="separate"/>
      </w:r>
      <w:r w:rsidR="00A84239" w:rsidRPr="00A84239">
        <w:rPr>
          <w:rFonts w:ascii="Aptos" w:cs="Times New Roman"/>
          <w:kern w:val="0"/>
          <w:lang w:val="en-GB"/>
        </w:rPr>
        <w:t>(</w:t>
      </w:r>
      <w:r w:rsidR="00A84239" w:rsidRPr="00A84239">
        <w:rPr>
          <w:rFonts w:ascii="Aptos" w:cs="Times New Roman"/>
          <w:i/>
          <w:iCs/>
          <w:kern w:val="0"/>
          <w:lang w:val="en-GB"/>
        </w:rPr>
        <w:t>2023 National Household Survey on Disaster Preparedness: Survey Instrument (English)</w:t>
      </w:r>
      <w:r w:rsidR="00A84239" w:rsidRPr="00A84239">
        <w:rPr>
          <w:rFonts w:ascii="Aptos" w:cs="Times New Roman"/>
          <w:kern w:val="0"/>
          <w:lang w:val="en-GB"/>
        </w:rPr>
        <w:t>, 2023b</w:t>
      </w:r>
      <w:r w:rsidR="00A84239">
        <w:rPr>
          <w:rFonts w:ascii="Aptos" w:cs="Times New Roman"/>
          <w:kern w:val="0"/>
          <w:lang w:val="en-GB"/>
        </w:rPr>
        <w:t>, p.17</w:t>
      </w:r>
      <w:r w:rsidR="00A84239" w:rsidRPr="00A84239">
        <w:rPr>
          <w:rFonts w:ascii="Aptos" w:cs="Times New Roman"/>
          <w:kern w:val="0"/>
          <w:lang w:val="en-GB"/>
        </w:rPr>
        <w:t>)</w:t>
      </w:r>
      <w:r w:rsidR="00A84239">
        <w:fldChar w:fldCharType="end"/>
      </w:r>
      <w:r w:rsidR="00A84239">
        <w:t>. Awareness is thus measuring – perhaps self-induced – exposure to preparedness information campaign</w:t>
      </w:r>
      <w:commentRangeEnd w:id="43"/>
      <w:r w:rsidR="00A84239">
        <w:rPr>
          <w:rStyle w:val="CommentReference"/>
        </w:rPr>
        <w:commentReference w:id="43"/>
      </w:r>
      <w:r w:rsidR="00A84239">
        <w:t xml:space="preserve">s. </w:t>
      </w:r>
    </w:p>
    <w:p w14:paraId="6C84C15A" w14:textId="31F0CAF5" w:rsidR="00A84239" w:rsidRDefault="00A84239" w:rsidP="00A84239">
      <w:pPr>
        <w:pStyle w:val="ListParagraph"/>
        <w:numPr>
          <w:ilvl w:val="0"/>
          <w:numId w:val="14"/>
        </w:numPr>
      </w:pPr>
      <w:r>
        <w:t xml:space="preserve">Risk perception is asking respondents, how likely they think to be impacted by coastal flooding. Possible answers ranged from unlikely to likely and very likely, including also “don’t know” </w:t>
      </w:r>
      <w:r>
        <w:fldChar w:fldCharType="begin"/>
      </w:r>
      <w:r w:rsidR="00C1456E">
        <w:instrText xml:space="preserve"> ADDIN ZOTERO_ITEM CSL_CITATION {"citationID":"A9VxJxg3","properties":{"formattedCitation":"({\\i{}2023 National Household Survey on Disaster Preparedness: Survey Instrument (English)}, 2023b)","plainCitation":"(2023 National Household Survey on Disaster Preparedness: Survey Instrument (English), 2023b)","dontUpdate":true,"noteIndex":0},"citationItems":[{"id":"MpOFIX5C/jN70FIfi","uris":["http://zotero.org/users/10735550/items/RC3VHS5N"],"itemData":{"id":"iWNSOppY/wzavECz7","type":"article-journal","language":"en","source":"Zotero","title":"2023 National Household Survey on Disaster Preparedness: Survey Instrument (English)","issued":{"date-parts":[["2023"]]}}}],"schema":"https://github.com/citation-style-language/schema/raw/master/csl-citation.json"} </w:instrText>
      </w:r>
      <w:r>
        <w:fldChar w:fldCharType="separate"/>
      </w:r>
      <w:r w:rsidRPr="00A84239">
        <w:rPr>
          <w:rFonts w:ascii="Aptos" w:cs="Times New Roman"/>
          <w:kern w:val="0"/>
          <w:lang w:val="en-GB"/>
        </w:rPr>
        <w:t>(</w:t>
      </w:r>
      <w:r w:rsidRPr="00A84239">
        <w:rPr>
          <w:rFonts w:ascii="Aptos" w:cs="Times New Roman"/>
          <w:i/>
          <w:iCs/>
          <w:kern w:val="0"/>
          <w:lang w:val="en-GB"/>
        </w:rPr>
        <w:t>2023 National Household Survey on Disaster Preparedness: Survey Instrument (English)</w:t>
      </w:r>
      <w:r w:rsidRPr="00A84239">
        <w:rPr>
          <w:rFonts w:ascii="Aptos" w:cs="Times New Roman"/>
          <w:kern w:val="0"/>
          <w:lang w:val="en-GB"/>
        </w:rPr>
        <w:t>, 2023b</w:t>
      </w:r>
      <w:r>
        <w:rPr>
          <w:rFonts w:ascii="Aptos" w:cs="Times New Roman"/>
          <w:kern w:val="0"/>
          <w:lang w:val="en-GB"/>
        </w:rPr>
        <w:t>, p.19</w:t>
      </w:r>
      <w:r w:rsidRPr="00A84239">
        <w:rPr>
          <w:rFonts w:ascii="Aptos" w:cs="Times New Roman"/>
          <w:kern w:val="0"/>
          <w:lang w:val="en-GB"/>
        </w:rPr>
        <w:t>)</w:t>
      </w:r>
      <w:r>
        <w:fldChar w:fldCharType="end"/>
      </w:r>
      <w:r>
        <w:t xml:space="preserve">. </w:t>
      </w:r>
    </w:p>
    <w:p w14:paraId="78D20324" w14:textId="2001905E" w:rsidR="00A84239" w:rsidRDefault="001255A8" w:rsidP="00A84239">
      <w:pPr>
        <w:pStyle w:val="ListParagraph"/>
        <w:numPr>
          <w:ilvl w:val="0"/>
          <w:numId w:val="14"/>
        </w:numPr>
      </w:pPr>
      <w:r>
        <w:t xml:space="preserve">Experience is a binary reported and not just limited to experience in the past year but across all household members in their lifetimes. </w:t>
      </w:r>
    </w:p>
    <w:p w14:paraId="53611C5D" w14:textId="3A78F18C" w:rsidR="00BA70B1" w:rsidRDefault="00BA70B1" w:rsidP="00BA70B1">
      <w:r>
        <w:t>&lt;on our simple model&gt;</w:t>
      </w:r>
    </w:p>
    <w:p w14:paraId="7A9006F1" w14:textId="2AAEA342" w:rsidR="00BA70B1" w:rsidRDefault="00BA70B1" w:rsidP="00BA70B1">
      <w:pPr>
        <w:pStyle w:val="ListParagraph"/>
        <w:numPr>
          <w:ilvl w:val="0"/>
          <w:numId w:val="14"/>
        </w:numPr>
      </w:pPr>
      <w:r>
        <w:t xml:space="preserve">In our simple model, we hypothesize that likelihood of adaptation is a function of risk perception </w:t>
      </w:r>
      <w:r w:rsidR="00481DB7">
        <w:t xml:space="preserve">which itself is a function of real flood risk, awareness, and experience. If these equations hold true, we expect that risk perception has a stronger effect on adaptation than real flood risk, awareness, and experience. Furthermore, we would expect that real flood risk, awareness, and experience are predicting risk perception. </w:t>
      </w:r>
    </w:p>
    <w:p w14:paraId="09301A1E" w14:textId="09503911" w:rsidR="00481DB7" w:rsidRDefault="00481DB7" w:rsidP="00481DB7">
      <w:r>
        <w:t>&lt;following&gt;</w:t>
      </w:r>
    </w:p>
    <w:p w14:paraId="43216797" w14:textId="72F15703" w:rsidR="00481DB7" w:rsidRDefault="00481DB7" w:rsidP="00481DB7">
      <w:pPr>
        <w:pStyle w:val="ListParagraph"/>
        <w:numPr>
          <w:ilvl w:val="0"/>
          <w:numId w:val="14"/>
        </w:numPr>
      </w:pPr>
      <w:r>
        <w:t xml:space="preserve">In the following section (6.1.1.) we will report result from univariate models </w:t>
      </w:r>
    </w:p>
    <w:p w14:paraId="6EA934AA" w14:textId="671C4A19" w:rsidR="00481DB7" w:rsidRDefault="00481DB7" w:rsidP="00481DB7">
      <w:pPr>
        <w:pStyle w:val="ListParagraph"/>
        <w:numPr>
          <w:ilvl w:val="0"/>
          <w:numId w:val="14"/>
        </w:numPr>
      </w:pPr>
      <w:r>
        <w:t xml:space="preserve">In section 6.1.2. we will test whether equation two from our simple models holds true by estimating risk perception through real flood risk, awareness, and experience. </w:t>
      </w:r>
    </w:p>
    <w:p w14:paraId="3E88308E" w14:textId="70A7D87F" w:rsidR="00481DB7" w:rsidRDefault="00481DB7" w:rsidP="00481DB7">
      <w:pPr>
        <w:pStyle w:val="ListParagraph"/>
        <w:numPr>
          <w:ilvl w:val="0"/>
          <w:numId w:val="14"/>
        </w:numPr>
      </w:pPr>
      <w:r>
        <w:t xml:space="preserve">In section 6.1.3. we will report results from a multivariate model, </w:t>
      </w:r>
      <w:proofErr w:type="gramStart"/>
      <w:r>
        <w:t>in order to</w:t>
      </w:r>
      <w:proofErr w:type="gramEnd"/>
      <w:r>
        <w:t xml:space="preserve"> control for latent effects. It is reasonable to assume that one of the determinants can be explained away through another. </w:t>
      </w:r>
    </w:p>
    <w:p w14:paraId="38819127" w14:textId="71E778FA" w:rsidR="00481DB7" w:rsidRDefault="00481DB7" w:rsidP="00481DB7">
      <w:pPr>
        <w:pStyle w:val="ListParagraph"/>
        <w:numPr>
          <w:ilvl w:val="0"/>
          <w:numId w:val="14"/>
        </w:numPr>
      </w:pPr>
      <w:r>
        <w:t xml:space="preserve">Section 6.1.4. entails robustness checks </w:t>
      </w:r>
    </w:p>
    <w:p w14:paraId="7A06D384" w14:textId="35E1B263" w:rsidR="004F0D06" w:rsidRDefault="0011403F" w:rsidP="004F0D06">
      <w:pPr>
        <w:pStyle w:val="Heading3"/>
        <w:numPr>
          <w:ilvl w:val="2"/>
          <w:numId w:val="6"/>
        </w:numPr>
      </w:pPr>
      <w:bookmarkStart w:id="44" w:name="_Toc197002973"/>
      <w:r>
        <w:t xml:space="preserve">Univariate </w:t>
      </w:r>
      <w:r w:rsidR="00AF505A">
        <w:t>models</w:t>
      </w:r>
      <w:bookmarkEnd w:id="44"/>
      <w:r>
        <w:t xml:space="preserve"> </w:t>
      </w:r>
    </w:p>
    <w:p w14:paraId="347D2DE5" w14:textId="3AD0DEF9" w:rsidR="004F0D06" w:rsidRPr="00F90B86" w:rsidRDefault="004F0D06" w:rsidP="004F0D06">
      <w:r>
        <w:t>&lt;risk perception&gt;</w:t>
      </w:r>
    </w:p>
    <w:p w14:paraId="6C460B2E" w14:textId="7F300405" w:rsidR="00F90B86" w:rsidRDefault="00A12829" w:rsidP="00A12829">
      <w:r w:rsidRPr="00A12829">
        <w:rPr>
          <w:noProof/>
        </w:rPr>
        <w:lastRenderedPageBreak/>
        <w:drawing>
          <wp:inline distT="0" distB="0" distL="0" distR="0" wp14:anchorId="70172136" wp14:editId="20EECB5F">
            <wp:extent cx="5731510" cy="2249170"/>
            <wp:effectExtent l="0" t="0" r="0" b="0"/>
            <wp:docPr id="1903198438" name="Picture 1" descr="A table of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8438" name="Picture 1" descr="A table of numbers and text&#10;&#10;AI-generated content may be incorrect."/>
                    <pic:cNvPicPr/>
                  </pic:nvPicPr>
                  <pic:blipFill>
                    <a:blip r:embed="rId14"/>
                    <a:stretch>
                      <a:fillRect/>
                    </a:stretch>
                  </pic:blipFill>
                  <pic:spPr>
                    <a:xfrm>
                      <a:off x="0" y="0"/>
                      <a:ext cx="5731510" cy="2249170"/>
                    </a:xfrm>
                    <a:prstGeom prst="rect">
                      <a:avLst/>
                    </a:prstGeom>
                  </pic:spPr>
                </pic:pic>
              </a:graphicData>
            </a:graphic>
          </wp:inline>
        </w:drawing>
      </w:r>
    </w:p>
    <w:p w14:paraId="26FCBABE" w14:textId="5957DF90" w:rsidR="00A12829" w:rsidRDefault="00A12829" w:rsidP="00A12829">
      <w:pPr>
        <w:pStyle w:val="Caption"/>
      </w:pPr>
      <w:bookmarkStart w:id="45" w:name="_Toc195623939"/>
      <w:r>
        <w:t xml:space="preserve">Figure </w:t>
      </w:r>
      <w:r>
        <w:fldChar w:fldCharType="begin"/>
      </w:r>
      <w:r>
        <w:instrText xml:space="preserve"> SEQ Figure \* ARABIC </w:instrText>
      </w:r>
      <w:r>
        <w:fldChar w:fldCharType="separate"/>
      </w:r>
      <w:r w:rsidR="004E5AE3">
        <w:rPr>
          <w:noProof/>
        </w:rPr>
        <w:t>1</w:t>
      </w:r>
      <w:r>
        <w:fldChar w:fldCharType="end"/>
      </w:r>
      <w:r>
        <w:t>: Effect of risk perception on adaptation; selected results from probit estimation</w:t>
      </w:r>
      <w:bookmarkEnd w:id="45"/>
    </w:p>
    <w:p w14:paraId="5F14DB71" w14:textId="08EA7743" w:rsidR="00D83C7D" w:rsidRDefault="00CD4880" w:rsidP="007E692A">
      <w:pPr>
        <w:jc w:val="both"/>
      </w:pPr>
      <w:r>
        <w:t xml:space="preserve">The effect of risk perception is positive and </w:t>
      </w:r>
      <w:r w:rsidR="005D7B3D">
        <w:t xml:space="preserve">statistically </w:t>
      </w:r>
      <w:r>
        <w:t xml:space="preserve">significant on all adaptation measures.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scores are &gt; 10% for all models, indicating that risk perception has a generally positive effect on adaptation behavior across the board. </w:t>
      </w:r>
      <w:r w:rsidR="009265D2">
        <w:t xml:space="preserve">Especially </w:t>
      </w:r>
      <w:r w:rsidR="009265D2" w:rsidRPr="007E692A">
        <w:rPr>
          <w:b/>
          <w:bCs/>
        </w:rPr>
        <w:t>community involvement</w:t>
      </w:r>
      <w:r w:rsidR="009265D2">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AB5835">
        <w:rPr>
          <w:rFonts w:eastAsiaTheme="minorEastAsia"/>
        </w:rPr>
        <w:t xml:space="preserve"> </w:t>
      </w:r>
      <w:r w:rsidR="009265D2">
        <w:t>=</w:t>
      </w:r>
      <w:r w:rsidR="00AB5835">
        <w:t xml:space="preserve"> </w:t>
      </w:r>
      <w:r w:rsidR="009265D2">
        <w:t xml:space="preserve">0.297, marginal effect = 0.205), </w:t>
      </w:r>
      <w:r w:rsidR="009265D2" w:rsidRPr="007E692A">
        <w:rPr>
          <w:b/>
          <w:bCs/>
        </w:rPr>
        <w:t>insurance take up</w:t>
      </w:r>
      <w:r w:rsidR="009265D2">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AB5835">
        <w:rPr>
          <w:rFonts w:eastAsiaTheme="minorEastAsia"/>
        </w:rPr>
        <w:t xml:space="preserve"> </w:t>
      </w:r>
      <w:r w:rsidR="009265D2">
        <w:t>=</w:t>
      </w:r>
      <w:r w:rsidR="00AB5835">
        <w:t xml:space="preserve"> </w:t>
      </w:r>
      <w:r w:rsidR="009265D2">
        <w:t xml:space="preserve">0.239, marginal effect = 0.307), and </w:t>
      </w:r>
      <w:r w:rsidR="009265D2" w:rsidRPr="007E692A">
        <w:rPr>
          <w:b/>
          <w:bCs/>
        </w:rPr>
        <w:t>practicing drills</w:t>
      </w:r>
      <w:r w:rsidR="009265D2">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AB5835">
        <w:rPr>
          <w:rFonts w:eastAsiaTheme="minorEastAsia"/>
        </w:rPr>
        <w:t xml:space="preserve"> </w:t>
      </w:r>
      <w:r w:rsidR="009265D2">
        <w:t>=</w:t>
      </w:r>
      <w:r w:rsidR="00AB5835">
        <w:t xml:space="preserve"> </w:t>
      </w:r>
      <w:r w:rsidR="009265D2">
        <w:t xml:space="preserve">0.202, marginal effect = 0.145) are predicted well. Considering BIC, the </w:t>
      </w:r>
      <w:r w:rsidR="00FB1626">
        <w:t xml:space="preserve">decision to implement a family communication plan seems also reasonably well-explained by risk perception. </w:t>
      </w:r>
    </w:p>
    <w:p w14:paraId="1D31C0DB" w14:textId="77777777" w:rsidR="007E692A" w:rsidRDefault="007E692A" w:rsidP="007E692A"/>
    <w:p w14:paraId="61820A85" w14:textId="26E27D4B" w:rsidR="004F0D06" w:rsidRDefault="004F0D06" w:rsidP="004F0D06">
      <w:r>
        <w:t>&lt;experience&gt;</w:t>
      </w:r>
    </w:p>
    <w:p w14:paraId="2CC49901" w14:textId="77777777" w:rsidR="009535C5" w:rsidRDefault="009535C5" w:rsidP="009535C5">
      <w:r w:rsidRPr="00AD28C4">
        <w:rPr>
          <w:noProof/>
        </w:rPr>
        <w:drawing>
          <wp:inline distT="0" distB="0" distL="0" distR="0" wp14:anchorId="2F7CC79D" wp14:editId="61029B8A">
            <wp:extent cx="5731510" cy="2249170"/>
            <wp:effectExtent l="0" t="0" r="0" b="0"/>
            <wp:docPr id="1791651786"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786" name="Picture 1" descr="A table with numbers and text&#10;&#10;AI-generated content may be incorrect."/>
                    <pic:cNvPicPr/>
                  </pic:nvPicPr>
                  <pic:blipFill>
                    <a:blip r:embed="rId15"/>
                    <a:stretch>
                      <a:fillRect/>
                    </a:stretch>
                  </pic:blipFill>
                  <pic:spPr>
                    <a:xfrm>
                      <a:off x="0" y="0"/>
                      <a:ext cx="5731510" cy="2249170"/>
                    </a:xfrm>
                    <a:prstGeom prst="rect">
                      <a:avLst/>
                    </a:prstGeom>
                  </pic:spPr>
                </pic:pic>
              </a:graphicData>
            </a:graphic>
          </wp:inline>
        </w:drawing>
      </w:r>
    </w:p>
    <w:p w14:paraId="0D2E780F" w14:textId="6844CDF8" w:rsidR="009535C5" w:rsidRDefault="009535C5" w:rsidP="009535C5">
      <w:pPr>
        <w:pStyle w:val="Caption"/>
      </w:pPr>
      <w:bookmarkStart w:id="46" w:name="_Toc195623940"/>
      <w:r>
        <w:t xml:space="preserve">Figure </w:t>
      </w:r>
      <w:r>
        <w:fldChar w:fldCharType="begin"/>
      </w:r>
      <w:r>
        <w:instrText xml:space="preserve"> SEQ Figure \* ARABIC </w:instrText>
      </w:r>
      <w:r>
        <w:fldChar w:fldCharType="separate"/>
      </w:r>
      <w:r w:rsidR="004E5AE3">
        <w:rPr>
          <w:noProof/>
        </w:rPr>
        <w:t>2</w:t>
      </w:r>
      <w:r>
        <w:fldChar w:fldCharType="end"/>
      </w:r>
      <w:r>
        <w:t xml:space="preserve">: </w:t>
      </w:r>
      <w:r w:rsidRPr="00E815AE">
        <w:t>Effect of experience on adaptation; selected results from probit estimation</w:t>
      </w:r>
      <w:bookmarkEnd w:id="46"/>
    </w:p>
    <w:p w14:paraId="3B68E509" w14:textId="608D7E7D" w:rsidR="00AC7204" w:rsidRDefault="005D7B3D" w:rsidP="00AC7204">
      <w:pPr>
        <w:jc w:val="both"/>
      </w:pPr>
      <w:r>
        <w:t>The effect of experience is positive and statistically significant on each adaptation measure as well. However, this set of models exhibits significantly lower explanatory power with regards to both</w:t>
      </w:r>
      <w:r w:rsidR="00AB5835">
        <w:t>,</w:t>
      </w:r>
      <w:r>
        <w:t xml:space="preserve"> information criterion and explained variance. Experience best predicts </w:t>
      </w:r>
      <w:r w:rsidRPr="005D7B3D">
        <w:rPr>
          <w:b/>
          <w:bCs/>
        </w:rPr>
        <w:t>stocking up on supplies</w:t>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AB5835">
        <w:rPr>
          <w:rFonts w:eastAsiaTheme="minorEastAsia"/>
        </w:rPr>
        <w:t xml:space="preserve"> </w:t>
      </w:r>
      <w:r>
        <w:t>=</w:t>
      </w:r>
      <w:r w:rsidR="00AB5835">
        <w:t xml:space="preserve"> </w:t>
      </w:r>
      <w:r>
        <w:t xml:space="preserve">0.145, marginal effect = 0.249), </w:t>
      </w:r>
      <w:r w:rsidRPr="005D7B3D">
        <w:rPr>
          <w:b/>
          <w:bCs/>
        </w:rPr>
        <w:t>community involvement</w:t>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AB5835">
        <w:rPr>
          <w:rFonts w:eastAsiaTheme="minorEastAsia"/>
        </w:rPr>
        <w:t xml:space="preserve"> </w:t>
      </w:r>
      <w:r>
        <w:t>=</w:t>
      </w:r>
      <w:r w:rsidR="00AB5835">
        <w:t xml:space="preserve"> </w:t>
      </w:r>
      <w:r>
        <w:t xml:space="preserve">12.5, marginal effect = 0.125), and </w:t>
      </w:r>
      <w:r w:rsidRPr="005D7B3D">
        <w:rPr>
          <w:b/>
          <w:bCs/>
        </w:rPr>
        <w:t>learning evacuation routes</w:t>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AB5835">
        <w:rPr>
          <w:rFonts w:eastAsiaTheme="minorEastAsia"/>
        </w:rPr>
        <w:t xml:space="preserve"> </w:t>
      </w:r>
      <w:r>
        <w:t>=</w:t>
      </w:r>
      <w:r w:rsidR="00AB5835">
        <w:t xml:space="preserve"> </w:t>
      </w:r>
      <w:r>
        <w:t>0.11, marginal effect = 0.222).</w:t>
      </w:r>
      <w:r w:rsidR="00297CE7">
        <w:t xml:space="preserve"> Note that while on average effect sizes are smaller, the marginal effects on those adaptation measures that were predicted well are only slightly smaller, compared to effect sizes of the best-explained adaptation measures, explained by risk perception.</w:t>
      </w:r>
    </w:p>
    <w:p w14:paraId="6D41DC2B" w14:textId="77777777" w:rsidR="00AC7204" w:rsidRDefault="00AC7204" w:rsidP="00AC7204">
      <w:pPr>
        <w:jc w:val="both"/>
      </w:pPr>
    </w:p>
    <w:p w14:paraId="39DE59D0" w14:textId="5A2D5E6D" w:rsidR="00AC7204" w:rsidRDefault="00AC7204" w:rsidP="00AC7204">
      <w:pPr>
        <w:jc w:val="both"/>
      </w:pPr>
      <w:r>
        <w:lastRenderedPageBreak/>
        <w:t>It is worth noting that experience seems to predict different adaptation measures, compared to risk perception, indicating that different underlying mechanisms are driving individual behavior. When comparing model fit for supplies, community involvement, and learning evacuation routes between experience and risk perception, however, risk perception predicts all three outcome variables better. To see whether risk experience picks up the latent effect of risk perception, we will run a multivariate model in section 6.1.3.</w:t>
      </w:r>
    </w:p>
    <w:p w14:paraId="6CF584F4" w14:textId="77777777" w:rsidR="00D83C7D" w:rsidRDefault="00D83C7D" w:rsidP="00D83C7D">
      <w:pPr>
        <w:pStyle w:val="ListParagraph"/>
      </w:pPr>
    </w:p>
    <w:p w14:paraId="1A04405D" w14:textId="4DD43E3E" w:rsidR="003F4068" w:rsidRDefault="004F0D06" w:rsidP="009535C5">
      <w:r>
        <w:t>&lt;awareness&gt;</w:t>
      </w:r>
    </w:p>
    <w:p w14:paraId="010AC4AE" w14:textId="745CD9A6" w:rsidR="00B33E96" w:rsidRDefault="00B33E96" w:rsidP="003F4DD7">
      <w:r>
        <w:rPr>
          <w:noProof/>
        </w:rPr>
        <w:drawing>
          <wp:inline distT="0" distB="0" distL="0" distR="0" wp14:anchorId="2916A16E" wp14:editId="0310A526">
            <wp:extent cx="5731510" cy="2388870"/>
            <wp:effectExtent l="0" t="0" r="0" b="0"/>
            <wp:docPr id="1043887713" name="Picture 14"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87713" name="Picture 14" descr="A table with numbers and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44889FB" w14:textId="77777777" w:rsidR="003F4DD7" w:rsidRDefault="003F4DD7" w:rsidP="003F4DD7"/>
    <w:p w14:paraId="05507470" w14:textId="6CE922A7" w:rsidR="0030241B" w:rsidRDefault="00AB38F9" w:rsidP="0030241B">
      <w:pPr>
        <w:jc w:val="both"/>
      </w:pPr>
      <w:proofErr w:type="gramStart"/>
      <w:r>
        <w:t>Similar to</w:t>
      </w:r>
      <w:proofErr w:type="gramEnd"/>
      <w:r>
        <w:t xml:space="preserve"> the model results of risk experience, the effect of awareness is positive and significant on all adaptation measures, albeit at lower model fit, compared to risk perception.</w:t>
      </w:r>
      <w:r w:rsidR="0030241B">
        <w:t xml:space="preserve"> However, the difference in model fit between risk perception and awareness is much lower, compared to experience, indicating that risk awareness plays a role in household adaptation behavior. In four cases, the estimates of awareness outperformed those of risk perception with regards to BIC and R: </w:t>
      </w:r>
      <w:r w:rsidR="0030241B" w:rsidRPr="0030241B">
        <w:rPr>
          <w:b/>
          <w:bCs/>
        </w:rPr>
        <w:t>Learning evacuation routes</w:t>
      </w:r>
      <w:r w:rsidR="0030241B">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B16DD">
        <w:rPr>
          <w:rFonts w:eastAsiaTheme="minorEastAsia"/>
        </w:rPr>
        <w:t xml:space="preserve"> </w:t>
      </w:r>
      <w:r w:rsidR="0030241B">
        <w:t>=</w:t>
      </w:r>
      <w:r w:rsidR="00EB16DD">
        <w:t xml:space="preserve"> </w:t>
      </w:r>
      <w:r w:rsidR="0030241B">
        <w:t xml:space="preserve">0.168, marginal effect = 0.26), </w:t>
      </w:r>
      <w:r w:rsidR="0030241B" w:rsidRPr="0030241B">
        <w:rPr>
          <w:b/>
          <w:bCs/>
        </w:rPr>
        <w:t>stockpiling supplies</w:t>
      </w:r>
      <w:r w:rsidR="0030241B">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B16DD">
        <w:rPr>
          <w:rFonts w:eastAsiaTheme="minorEastAsia"/>
        </w:rPr>
        <w:t xml:space="preserve"> </w:t>
      </w:r>
      <w:r w:rsidR="0030241B">
        <w:t>=</w:t>
      </w:r>
      <w:r w:rsidR="00EB16DD">
        <w:t xml:space="preserve"> </w:t>
      </w:r>
      <w:r w:rsidR="0030241B">
        <w:t xml:space="preserve">0.193, marginal effect = 0.269), making an </w:t>
      </w:r>
      <w:r w:rsidR="0030241B" w:rsidRPr="0030241B">
        <w:rPr>
          <w:b/>
          <w:bCs/>
        </w:rPr>
        <w:t>emergency plan</w:t>
      </w:r>
      <w:r w:rsidR="0030241B">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B16DD">
        <w:rPr>
          <w:rFonts w:eastAsiaTheme="minorEastAsia"/>
        </w:rPr>
        <w:t xml:space="preserve"> </w:t>
      </w:r>
      <w:r w:rsidR="0030241B">
        <w:t>=</w:t>
      </w:r>
      <w:r w:rsidR="00EB16DD">
        <w:t xml:space="preserve"> </w:t>
      </w:r>
      <w:r w:rsidR="0030241B">
        <w:t xml:space="preserve">0.142, marginal effect = 0.232), and making </w:t>
      </w:r>
      <w:r w:rsidR="0030241B" w:rsidRPr="0030241B">
        <w:rPr>
          <w:b/>
          <w:bCs/>
        </w:rPr>
        <w:t>family communication plans</w:t>
      </w:r>
      <w:r w:rsidR="0030241B">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B16DD">
        <w:rPr>
          <w:rFonts w:eastAsiaTheme="minorEastAsia"/>
        </w:rPr>
        <w:t xml:space="preserve"> </w:t>
      </w:r>
      <w:r w:rsidR="0030241B">
        <w:t>=</w:t>
      </w:r>
      <w:r w:rsidR="00EB16DD">
        <w:t xml:space="preserve"> </w:t>
      </w:r>
      <w:r w:rsidR="0030241B">
        <w:t xml:space="preserve">0.129, marginal effect = 0.134). These four adaptation measures are typically recommended preparedness actions in information campaigns and flyers to the public (source). </w:t>
      </w:r>
    </w:p>
    <w:p w14:paraId="738DA6A3" w14:textId="77777777" w:rsidR="0030241B" w:rsidRPr="0030241B" w:rsidRDefault="0030241B" w:rsidP="00064C43">
      <w:pPr>
        <w:jc w:val="both"/>
      </w:pPr>
    </w:p>
    <w:p w14:paraId="5D8735A8" w14:textId="4EA49891" w:rsidR="00046556" w:rsidRDefault="00064C43" w:rsidP="00282970">
      <w:pPr>
        <w:jc w:val="both"/>
      </w:pPr>
      <w:r>
        <w:t xml:space="preserve">Although we found awareness to have a particular effect on those adaptation measures that are being promoted awareness campaigns, we also observe that model fit and marginal effect sizes are in a comparably small range of each other across outcome variables. This finding is slightly contradicting the previous, since it indicates that the effect of awareness is not limited to </w:t>
      </w:r>
      <w:proofErr w:type="gramStart"/>
      <w:r>
        <w:t>particular adaptation</w:t>
      </w:r>
      <w:proofErr w:type="gramEnd"/>
      <w:r>
        <w:t xml:space="preserve"> practices. One conceivable explanation lies in the way that awareness is being measured. Note that respondents are being asked whether they have consumed information on disaster preparedness. It is reasonable to assume that respondents </w:t>
      </w:r>
      <w:r w:rsidR="00282970">
        <w:t xml:space="preserve">with </w:t>
      </w:r>
      <w:proofErr w:type="gramStart"/>
      <w:r w:rsidR="00282970">
        <w:t>hig</w:t>
      </w:r>
      <w:r w:rsidR="00B37843">
        <w:t xml:space="preserve">h </w:t>
      </w:r>
      <w:r w:rsidR="00282970">
        <w:t>risk</w:t>
      </w:r>
      <w:proofErr w:type="gramEnd"/>
      <w:r w:rsidR="00282970">
        <w:t xml:space="preserve"> perception </w:t>
      </w:r>
      <w:r>
        <w:t>are more likely to proactively search out such information</w:t>
      </w:r>
      <w:r w:rsidR="00282970">
        <w:t xml:space="preserve">. We check for this reverse causality in section the following section. Furthermore, real flood risk and flood experience might confound awareness in that respondents who have prior experience or live in flood zones are more </w:t>
      </w:r>
      <w:r w:rsidR="00282970">
        <w:lastRenderedPageBreak/>
        <w:t xml:space="preserve">likely to seek out information on preparedness or be targeted by public information campaigns (see robustness checks in section 6.1.4.). </w:t>
      </w:r>
    </w:p>
    <w:p w14:paraId="469A34F7" w14:textId="77777777" w:rsidR="00046556" w:rsidRDefault="00046556" w:rsidP="00B37843"/>
    <w:p w14:paraId="352C4BC1" w14:textId="5BAD20DE" w:rsidR="00C35761" w:rsidRPr="004F0D06" w:rsidRDefault="00C35761" w:rsidP="00C35761">
      <w:r>
        <w:t>&lt;</w:t>
      </w:r>
      <w:r w:rsidR="00B37843">
        <w:t>real flood risk</w:t>
      </w:r>
      <w:r>
        <w:t>&gt;</w:t>
      </w:r>
    </w:p>
    <w:p w14:paraId="7F62EDA5" w14:textId="77777777" w:rsidR="00C35761" w:rsidRDefault="00C35761" w:rsidP="00C35761">
      <w:r w:rsidRPr="001B4111">
        <w:rPr>
          <w:noProof/>
        </w:rPr>
        <w:drawing>
          <wp:inline distT="0" distB="0" distL="0" distR="0" wp14:anchorId="6493C331" wp14:editId="13B42B69">
            <wp:extent cx="5731510" cy="2249170"/>
            <wp:effectExtent l="0" t="0" r="0" b="0"/>
            <wp:docPr id="1616605470"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05470" name="Picture 1" descr="A screenshot of a table&#10;&#10;AI-generated content may be incorrect."/>
                    <pic:cNvPicPr/>
                  </pic:nvPicPr>
                  <pic:blipFill>
                    <a:blip r:embed="rId17"/>
                    <a:stretch>
                      <a:fillRect/>
                    </a:stretch>
                  </pic:blipFill>
                  <pic:spPr>
                    <a:xfrm>
                      <a:off x="0" y="0"/>
                      <a:ext cx="5731510" cy="2249170"/>
                    </a:xfrm>
                    <a:prstGeom prst="rect">
                      <a:avLst/>
                    </a:prstGeom>
                  </pic:spPr>
                </pic:pic>
              </a:graphicData>
            </a:graphic>
          </wp:inline>
        </w:drawing>
      </w:r>
    </w:p>
    <w:p w14:paraId="1143DE89" w14:textId="02FFA5FD" w:rsidR="00C35761" w:rsidRDefault="00C35761" w:rsidP="00C35761">
      <w:pPr>
        <w:pStyle w:val="Caption"/>
      </w:pPr>
      <w:r>
        <w:t xml:space="preserve">Figure </w:t>
      </w:r>
      <w:r>
        <w:fldChar w:fldCharType="begin"/>
      </w:r>
      <w:r>
        <w:instrText xml:space="preserve"> SEQ Figure \* ARABIC </w:instrText>
      </w:r>
      <w:r>
        <w:fldChar w:fldCharType="separate"/>
      </w:r>
      <w:r w:rsidR="004E5AE3">
        <w:rPr>
          <w:noProof/>
        </w:rPr>
        <w:t>3</w:t>
      </w:r>
      <w:r>
        <w:fldChar w:fldCharType="end"/>
      </w:r>
      <w:r>
        <w:t xml:space="preserve">: Effect of residency inside a flood zone </w:t>
      </w:r>
      <w:r>
        <w:rPr>
          <w:noProof/>
        </w:rPr>
        <w:t>on adaptation; selected results from probit estimation</w:t>
      </w:r>
    </w:p>
    <w:p w14:paraId="34E7A3D6" w14:textId="17B9C1E4" w:rsidR="00972131" w:rsidRDefault="00B37843" w:rsidP="00972131">
      <w:pPr>
        <w:jc w:val="both"/>
      </w:pPr>
      <w:r>
        <w:t xml:space="preserve">We proxy flood risk through residency in a flood zone. </w:t>
      </w:r>
      <w:r w:rsidR="00972131">
        <w:t xml:space="preserve">The effect of real flood risk is positive and statistically significant on all adaptation measures again. Real flood risk does not describe adaptation behavior as well as perceived flood risk, lending further support to our simple model. Flood risk is best explaining the decision to </w:t>
      </w:r>
      <w:r w:rsidR="00972131" w:rsidRPr="00972131">
        <w:rPr>
          <w:b/>
          <w:bCs/>
        </w:rPr>
        <w:t>sign up for</w:t>
      </w:r>
      <w:r w:rsidR="00972131">
        <w:t xml:space="preserve"> </w:t>
      </w:r>
      <w:r w:rsidR="00972131" w:rsidRPr="00972131">
        <w:rPr>
          <w:b/>
          <w:bCs/>
        </w:rPr>
        <w:t>alerts</w:t>
      </w:r>
      <w:r w:rsidR="00972131">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B16DD">
        <w:rPr>
          <w:rFonts w:eastAsiaTheme="minorEastAsia"/>
        </w:rPr>
        <w:t xml:space="preserve"> </w:t>
      </w:r>
      <w:r w:rsidR="00972131">
        <w:t xml:space="preserve">= 0.137, marginal effect = 0.218), </w:t>
      </w:r>
      <w:r w:rsidR="00972131" w:rsidRPr="00972131">
        <w:rPr>
          <w:b/>
          <w:bCs/>
        </w:rPr>
        <w:t>practice emergency drills</w:t>
      </w:r>
      <w:r w:rsidR="00972131">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B16DD">
        <w:rPr>
          <w:rFonts w:eastAsiaTheme="minorEastAsia"/>
        </w:rPr>
        <w:t xml:space="preserve"> </w:t>
      </w:r>
      <w:r w:rsidR="00972131">
        <w:t>=</w:t>
      </w:r>
      <w:r w:rsidR="00EB16DD">
        <w:t xml:space="preserve"> </w:t>
      </w:r>
      <w:r w:rsidR="00972131">
        <w:t xml:space="preserve">0.123, marginal effect = 0.116), </w:t>
      </w:r>
      <w:r w:rsidR="00972131" w:rsidRPr="00972131">
        <w:rPr>
          <w:b/>
          <w:bCs/>
        </w:rPr>
        <w:t>get involved in the community</w:t>
      </w:r>
      <w:r w:rsidR="00972131">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B16DD">
        <w:rPr>
          <w:rFonts w:eastAsiaTheme="minorEastAsia"/>
        </w:rPr>
        <w:t xml:space="preserve"> </w:t>
      </w:r>
      <w:r w:rsidR="00972131">
        <w:t>=</w:t>
      </w:r>
      <w:r w:rsidR="00EB16DD">
        <w:t xml:space="preserve"> </w:t>
      </w:r>
      <w:r w:rsidR="00972131">
        <w:t>0.1, marginal effect = 0.118). Note, however, that estimates from flood risk perception are more robust for all three outcome variables with regards to both BIC and explained variance. As with experience,</w:t>
      </w:r>
      <w:r w:rsidR="00BF576F">
        <w:t xml:space="preserve"> the results are raising the question, whether real flood risk is a reliable determinant of adaptation behavior, rather than just picking up the latent effect of risk perception in a univariate model setup. </w:t>
      </w:r>
    </w:p>
    <w:p w14:paraId="2956CB2B" w14:textId="7BB06552" w:rsidR="00E4029F" w:rsidRDefault="00972131" w:rsidP="0011403F">
      <w:r>
        <w:t xml:space="preserve"> </w:t>
      </w:r>
    </w:p>
    <w:p w14:paraId="4C5B3C0B" w14:textId="5ECE3F14" w:rsidR="0011403F" w:rsidRDefault="00D83C7D" w:rsidP="00BF576F">
      <w:pPr>
        <w:jc w:val="both"/>
      </w:pPr>
      <w:r>
        <w:t>&lt;conclude&gt;</w:t>
      </w:r>
    </w:p>
    <w:p w14:paraId="29D89D7B" w14:textId="0BDD6B0F" w:rsidR="00587132" w:rsidRPr="00EB16DD" w:rsidRDefault="00BF576F" w:rsidP="00BF576F">
      <w:pPr>
        <w:jc w:val="both"/>
        <w:rPr>
          <w:rFonts w:eastAsiaTheme="minorEastAsia"/>
        </w:rPr>
      </w:pPr>
      <w:r>
        <w:t xml:space="preserve">The results support our simple model thus far: Risk perception is the best predictor of adaptation behavior. Based on these preliminary results,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cannot be rejected. </w:t>
      </w:r>
      <w:r w:rsidR="00587132">
        <w:t xml:space="preserve">We find support for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587132">
        <w:t xml:space="preserve"> and </w:t>
      </w:r>
      <m:oMath>
        <m:sSub>
          <m:sSubPr>
            <m:ctrlPr>
              <w:rPr>
                <w:rFonts w:ascii="Cambria Math" w:hAnsi="Cambria Math"/>
                <w:i/>
              </w:rPr>
            </m:ctrlPr>
          </m:sSubPr>
          <m:e>
            <m:r>
              <w:rPr>
                <w:rFonts w:ascii="Cambria Math" w:hAnsi="Cambria Math"/>
              </w:rPr>
              <m:t>H</m:t>
            </m:r>
          </m:e>
          <m:sub>
            <m:r>
              <w:rPr>
                <w:rFonts w:ascii="Cambria Math" w:hAnsi="Cambria Math"/>
              </w:rPr>
              <m:t>3</m:t>
            </m:r>
          </m:sub>
        </m:sSub>
      </m:oMath>
      <w:r w:rsidR="00587132">
        <w:t xml:space="preserve"> as well, albeit to lesser extent. The results hint to model misspecification. The effect of prior flood experience, and real flood risk might be explained away by the unobserved effect of risk perception. To </w:t>
      </w:r>
      <w:r>
        <w:t>design targeted policy, we would ideally want to find a determinant that can be observed naturally, e.g.,</w:t>
      </w:r>
      <w:r w:rsidR="00587132">
        <w:t xml:space="preserve"> through available data, rather than gathered survey data</w:t>
      </w:r>
      <w:r>
        <w:t xml:space="preserve">. Therefore, experience and real flood risk are particularly interesting to us, since </w:t>
      </w:r>
      <w:r w:rsidR="00587132">
        <w:t xml:space="preserve">spatial data flood zones and areas with flood damage are publicly available (source). </w:t>
      </w:r>
    </w:p>
    <w:p w14:paraId="4F977AC0" w14:textId="77777777" w:rsidR="001B428E" w:rsidRDefault="001B428E" w:rsidP="00BF576F">
      <w:pPr>
        <w:jc w:val="both"/>
      </w:pPr>
    </w:p>
    <w:p w14:paraId="01472F3D" w14:textId="769470FE" w:rsidR="001B428E" w:rsidRPr="00EB16DD" w:rsidRDefault="001B428E" w:rsidP="00BF576F">
      <w:pPr>
        <w:jc w:val="both"/>
        <w:rPr>
          <w:rFonts w:eastAsiaTheme="minorEastAsia"/>
        </w:rPr>
      </w:pPr>
      <w:r>
        <w:t xml:space="preserve">Awareness as a predictor of adaptation behavior is outperforming risk perception with regards to family communication plans, learning evacuation routes, making emergency plans and stockpiling supplies. On these preliminary results, we fail to reject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w:t>
      </w:r>
      <w:r w:rsidR="00240712">
        <w:t xml:space="preserve">As aforementioned, reverse causalities are possible: Are respondents who report awareness being made aware of risks through information campaigns or do they perceive flood risk as high a priori and thus actively seek out information to prepare? Given the way </w:t>
      </w:r>
      <w:r w:rsidR="00240712">
        <w:lastRenderedPageBreak/>
        <w:t xml:space="preserve">that awareness is being surveyed, we have reason to believe that our hypothesized direction of causality is in fact false.  </w:t>
      </w:r>
    </w:p>
    <w:p w14:paraId="2E100F4E" w14:textId="36EEFCB5" w:rsidR="001B428E" w:rsidRDefault="00240712" w:rsidP="00BF576F">
      <w:pPr>
        <w:jc w:val="both"/>
      </w:pPr>
      <w:r>
        <w:t xml:space="preserve"> </w:t>
      </w:r>
    </w:p>
    <w:p w14:paraId="690B8810" w14:textId="44C80681" w:rsidR="00AF505A" w:rsidRPr="00F54904" w:rsidRDefault="00BF576F" w:rsidP="00F54904">
      <w:pPr>
        <w:jc w:val="both"/>
        <w:rPr>
          <w:rFonts w:eastAsiaTheme="minorEastAsia"/>
        </w:rPr>
      </w:pPr>
      <w:proofErr w:type="gramStart"/>
      <w:r>
        <w:t>In order to</w:t>
      </w:r>
      <w:proofErr w:type="gramEnd"/>
      <w:r>
        <w:t xml:space="preserve"> further investigate </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m:t>
        </m:r>
      </m:oMath>
      <w:r w:rsidR="00EB16D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oMath>
      <w:r w:rsidR="00EB16DD">
        <w:rPr>
          <w:rFonts w:eastAsiaTheme="minorEastAsia"/>
        </w:rPr>
        <w:t xml:space="preserve">, </w:t>
      </w:r>
      <w:r>
        <w:t xml:space="preserve">we </w:t>
      </w:r>
      <w:r w:rsidR="00633F7B">
        <w:t>test</w:t>
      </w:r>
      <w:r>
        <w:t xml:space="preserve"> a multivariate model setup</w:t>
      </w:r>
      <w:r w:rsidR="00633F7B">
        <w:t xml:space="preserve"> in the following section</w:t>
      </w:r>
      <w:r>
        <w:t xml:space="preserve">. </w:t>
      </w:r>
      <w:r w:rsidR="00633F7B">
        <w:t>We</w:t>
      </w:r>
      <w:r>
        <w:t xml:space="preserve"> will </w:t>
      </w:r>
      <w:r w:rsidR="00633F7B">
        <w:t xml:space="preserve">furthermore </w:t>
      </w:r>
      <w:r>
        <w:t>try to predict risk perception</w:t>
      </w:r>
      <w:r w:rsidR="00633F7B">
        <w:t xml:space="preserve"> through awareness, experience, and real flood risk</w:t>
      </w:r>
      <w:r>
        <w:t xml:space="preserve">. </w:t>
      </w:r>
      <w:r w:rsidR="00633F7B">
        <w:t xml:space="preserve">If our simple model holds true, we will be able to predict risk perception and the multivariate estimation of adaptation behavior will show similar or better model fit, especially with regards to BIC.  </w:t>
      </w:r>
    </w:p>
    <w:p w14:paraId="0F6393F1" w14:textId="5273FE6C" w:rsidR="00CA5AD5" w:rsidRPr="00CA5AD5" w:rsidRDefault="00AF505A" w:rsidP="00AF505A">
      <w:pPr>
        <w:pStyle w:val="Heading3"/>
        <w:numPr>
          <w:ilvl w:val="2"/>
          <w:numId w:val="6"/>
        </w:numPr>
      </w:pPr>
      <w:bookmarkStart w:id="47" w:name="_Toc197002975"/>
      <w:r>
        <w:t>A</w:t>
      </w:r>
      <w:r w:rsidR="00B722CF">
        <w:t>dvancing ou</w:t>
      </w:r>
      <w:r w:rsidR="00F54904">
        <w:t>r</w:t>
      </w:r>
      <w:r w:rsidR="00B722CF">
        <w:t xml:space="preserve"> simple model</w:t>
      </w:r>
      <w:bookmarkEnd w:id="47"/>
    </w:p>
    <w:p w14:paraId="654D92DF" w14:textId="2785FB77" w:rsidR="00F52274" w:rsidRDefault="00CC7F9E" w:rsidP="00F52274">
      <w:r>
        <w:t>By regressing on all three determinants of flood risk together, we can find out which determinant contributes to what preparedness measure more precisely</w:t>
      </w:r>
      <w:r w:rsidR="00F52274">
        <w:t xml:space="preserve"> by controlling for</w:t>
      </w:r>
      <w:r w:rsidR="00A33776">
        <w:t xml:space="preserve"> latent effects between predictors. W</w:t>
      </w:r>
      <w:r w:rsidR="00F52274">
        <w:t>e will compare model fit against each other to identify models that are describing the data systematically better.</w:t>
      </w:r>
    </w:p>
    <w:p w14:paraId="77A09229" w14:textId="77777777" w:rsidR="00E976A2" w:rsidRDefault="00E976A2" w:rsidP="00E976A2"/>
    <w:p w14:paraId="1AC85E7D" w14:textId="551DDE51" w:rsidR="0011403F" w:rsidRDefault="00D155C2" w:rsidP="00D155C2">
      <w:pPr>
        <w:pStyle w:val="Caption"/>
        <w:rPr>
          <w:noProof/>
        </w:rPr>
      </w:pPr>
      <w:r>
        <w:rPr>
          <w:noProof/>
        </w:rPr>
        <w:drawing>
          <wp:inline distT="0" distB="0" distL="0" distR="0" wp14:anchorId="496CC959" wp14:editId="58323769">
            <wp:extent cx="5731510" cy="2531745"/>
            <wp:effectExtent l="0" t="0" r="0" b="0"/>
            <wp:docPr id="1048831317" name="Chart 1">
              <a:extLst xmlns:a="http://schemas.openxmlformats.org/drawingml/2006/main">
                <a:ext uri="{FF2B5EF4-FFF2-40B4-BE49-F238E27FC236}">
                  <a16:creationId xmlns:a16="http://schemas.microsoft.com/office/drawing/2014/main" id="{E503B387-7F4D-803B-12AD-B70C3CC4BA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t xml:space="preserve">Figure </w:t>
      </w:r>
      <w:r>
        <w:fldChar w:fldCharType="begin"/>
      </w:r>
      <w:r>
        <w:instrText xml:space="preserve"> SEQ Figure \* ARABIC </w:instrText>
      </w:r>
      <w:r>
        <w:fldChar w:fldCharType="separate"/>
      </w:r>
      <w:r w:rsidR="004E5AE3">
        <w:rPr>
          <w:noProof/>
        </w:rPr>
        <w:t>4</w:t>
      </w:r>
      <w:r>
        <w:fldChar w:fldCharType="end"/>
      </w:r>
      <w:r>
        <w:t xml:space="preserve">:BIC in multivariate v univariate </w:t>
      </w:r>
      <w:r>
        <w:rPr>
          <w:noProof/>
        </w:rPr>
        <w:t>model</w:t>
      </w:r>
    </w:p>
    <w:p w14:paraId="02CC1AAD" w14:textId="39752F69" w:rsidR="00F52274" w:rsidRDefault="00F52274" w:rsidP="00F52274"/>
    <w:p w14:paraId="5F882D71" w14:textId="36DA16BA" w:rsidR="00F52274" w:rsidRDefault="00F52274" w:rsidP="00B0552F">
      <w:pPr>
        <w:jc w:val="both"/>
      </w:pPr>
      <w:r>
        <w:t>The Bayesian information criterion</w:t>
      </w:r>
      <w:r w:rsidR="00495220">
        <w:t xml:space="preserve"> is a measure of fitness that trades off goodness-of-fit against model complexity. We thus expect the multivariate model to show higher BIC-values at equal goodness-of-fit compared to the univariate models.</w:t>
      </w:r>
      <w:r w:rsidR="00B0552F">
        <w:t xml:space="preserve"> Interestingly however, </w:t>
      </w:r>
      <w:r w:rsidR="00B0552F" w:rsidRPr="00B0552F">
        <w:rPr>
          <w:b/>
          <w:bCs/>
        </w:rPr>
        <w:t>perception outperforms the multivariate model</w:t>
      </w:r>
      <w:r w:rsidR="00B0552F">
        <w:t xml:space="preserve"> on this metric across all outcome variables, except for making an emergency plan (BIC=409 v BIC=406). Recall that the multivariate model is using all three assumed determinants of perception: awareness, experience, flood risk. However, only experience as a stand-alone predictor achieves notably less model fit</w:t>
      </w:r>
      <w:r w:rsidR="008770DD">
        <w:t xml:space="preserve"> across outcome variables</w:t>
      </w:r>
      <w:r w:rsidR="00B0552F">
        <w:t>, compared to the multivariate model.</w:t>
      </w:r>
      <w:r w:rsidR="008770DD">
        <w:t xml:space="preserve"> </w:t>
      </w:r>
      <w:r w:rsidR="008770DD" w:rsidRPr="008770DD">
        <w:rPr>
          <w:b/>
          <w:bCs/>
        </w:rPr>
        <w:t>Experience is scoring almost consistently worst, while perception is scoring almost consistently best with respect to BIC</w:t>
      </w:r>
      <w:r w:rsidR="008770DD">
        <w:t>. Next, we will evaluate goodness-of-fit with regards to how well the model explains the variance in the data.</w:t>
      </w:r>
    </w:p>
    <w:p w14:paraId="7582124D" w14:textId="68130FDA" w:rsidR="00F52274" w:rsidRDefault="00495220" w:rsidP="00F52274">
      <w:r>
        <w:tab/>
      </w:r>
    </w:p>
    <w:p w14:paraId="4941E3D5" w14:textId="0B6D78CF" w:rsidR="00D155C2" w:rsidRDefault="00D155C2" w:rsidP="00D155C2">
      <w:r>
        <w:rPr>
          <w:noProof/>
        </w:rPr>
        <w:lastRenderedPageBreak/>
        <w:drawing>
          <wp:inline distT="0" distB="0" distL="0" distR="0" wp14:anchorId="01C046A4" wp14:editId="6263AB60">
            <wp:extent cx="5731510" cy="2493645"/>
            <wp:effectExtent l="0" t="0" r="0" b="0"/>
            <wp:docPr id="1908375068" name="Chart 1">
              <a:extLst xmlns:a="http://schemas.openxmlformats.org/drawingml/2006/main">
                <a:ext uri="{FF2B5EF4-FFF2-40B4-BE49-F238E27FC236}">
                  <a16:creationId xmlns:a16="http://schemas.microsoft.com/office/drawing/2014/main" id="{0822FB51-63C3-4867-BE08-AC5472A9BD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D5B7528" w14:textId="2F8DD72C" w:rsidR="00D155C2" w:rsidRDefault="00D155C2" w:rsidP="00D155C2">
      <w:pPr>
        <w:pStyle w:val="Caption"/>
      </w:pPr>
      <w:r>
        <w:t xml:space="preserve">Figure </w:t>
      </w:r>
      <w:r>
        <w:fldChar w:fldCharType="begin"/>
      </w:r>
      <w:r>
        <w:instrText xml:space="preserve"> SEQ Figure \* ARABIC </w:instrText>
      </w:r>
      <w:r>
        <w:fldChar w:fldCharType="separate"/>
      </w:r>
      <w:r w:rsidR="004E5AE3">
        <w:rPr>
          <w:noProof/>
        </w:rPr>
        <w:t>5</w:t>
      </w:r>
      <w:r>
        <w:fldChar w:fldCharType="end"/>
      </w:r>
      <w:r>
        <w:t>: R_2 in univariate v multivariate models</w:t>
      </w:r>
    </w:p>
    <w:p w14:paraId="36C18675" w14:textId="77777777" w:rsidR="00052ED9" w:rsidRDefault="008C1A1B" w:rsidP="00F9780C">
      <w:pPr>
        <w:jc w:val="both"/>
        <w:rPr>
          <w:rFonts w:eastAsiaTheme="minorEastAsia"/>
        </w:rPr>
      </w:pPr>
      <w:r>
        <w:t xml:space="preserve">Since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does not punish model complexity, the results are less comprehensive. Nevertheless, perception scores best across all univariate models and significantly outperforms the multivariate model in predicting insurance take up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=0.24</m:t>
        </m:r>
      </m:oMath>
      <w:r w:rsidR="00F9780C">
        <w:rPr>
          <w:rFonts w:eastAsiaTheme="minorEastAsia"/>
        </w:rPr>
        <w:t xml:space="preserve"> v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=0.16</m:t>
        </m:r>
      </m:oMath>
      <w:r>
        <w:rPr>
          <w:rFonts w:eastAsiaTheme="minorEastAsia"/>
        </w:rPr>
        <w:t>) and community involvement</w:t>
      </w:r>
      <w:r w:rsidR="00F9780C">
        <w:rPr>
          <w:rFonts w:eastAsiaTheme="minorEastAsia"/>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0.30</m:t>
        </m:r>
      </m:oMath>
      <w:r w:rsidR="00F9780C">
        <w:rPr>
          <w:rFonts w:eastAsiaTheme="minorEastAsia"/>
        </w:rPr>
        <w:t xml:space="preserve"> v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=0.22</m:t>
        </m:r>
      </m:oMath>
      <w:r w:rsidR="00F9780C">
        <w:rPr>
          <w:rFonts w:eastAsiaTheme="minorEastAsia"/>
        </w:rPr>
        <w:t>)</w:t>
      </w:r>
      <w:r>
        <w:rPr>
          <w:rFonts w:eastAsiaTheme="minorEastAsia"/>
        </w:rPr>
        <w:t>.</w:t>
      </w:r>
      <w:r w:rsidR="00F9780C">
        <w:rPr>
          <w:rFonts w:eastAsiaTheme="minorEastAsia"/>
        </w:rPr>
        <w:t xml:space="preserve"> Experience and real flood risk fail to meaningfully describe the variance in the data. However, awareness </w:t>
      </w:r>
      <w:r w:rsidR="00052ED9">
        <w:rPr>
          <w:rFonts w:eastAsiaTheme="minorEastAsia"/>
        </w:rPr>
        <w:t xml:space="preserve">achieves decent model fit. </w:t>
      </w:r>
    </w:p>
    <w:p w14:paraId="10E61F6B" w14:textId="77777777" w:rsidR="00A33776" w:rsidRDefault="00A33776" w:rsidP="00F9780C">
      <w:pPr>
        <w:jc w:val="both"/>
        <w:rPr>
          <w:rFonts w:eastAsiaTheme="minorEastAsia"/>
        </w:rPr>
      </w:pPr>
    </w:p>
    <w:tbl>
      <w:tblPr>
        <w:tblW w:w="9297" w:type="dxa"/>
        <w:tblInd w:w="-5" w:type="dxa"/>
        <w:tblLook w:val="04A0" w:firstRow="1" w:lastRow="0" w:firstColumn="1" w:lastColumn="0" w:noHBand="0" w:noVBand="1"/>
      </w:tblPr>
      <w:tblGrid>
        <w:gridCol w:w="1221"/>
        <w:gridCol w:w="1387"/>
        <w:gridCol w:w="851"/>
        <w:gridCol w:w="718"/>
        <w:gridCol w:w="718"/>
        <w:gridCol w:w="598"/>
        <w:gridCol w:w="661"/>
        <w:gridCol w:w="718"/>
        <w:gridCol w:w="718"/>
        <w:gridCol w:w="752"/>
        <w:gridCol w:w="955"/>
      </w:tblGrid>
      <w:tr w:rsidR="001447AC" w:rsidRPr="0021070A" w14:paraId="400B4C4A" w14:textId="77777777" w:rsidTr="00530505">
        <w:trPr>
          <w:trHeight w:val="300"/>
        </w:trPr>
        <w:tc>
          <w:tcPr>
            <w:tcW w:w="1221" w:type="dxa"/>
            <w:tcBorders>
              <w:top w:val="single" w:sz="4" w:space="0" w:color="auto"/>
              <w:left w:val="single" w:sz="4" w:space="0" w:color="auto"/>
              <w:bottom w:val="single" w:sz="4" w:space="0" w:color="auto"/>
              <w:right w:val="single" w:sz="4" w:space="0" w:color="auto"/>
            </w:tcBorders>
            <w:shd w:val="clear" w:color="auto" w:fill="auto"/>
            <w:noWrap/>
            <w:hideMark/>
          </w:tcPr>
          <w:p w14:paraId="71FF09C1"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dependent</w:t>
            </w:r>
          </w:p>
        </w:tc>
        <w:tc>
          <w:tcPr>
            <w:tcW w:w="1387" w:type="dxa"/>
            <w:tcBorders>
              <w:top w:val="single" w:sz="4" w:space="0" w:color="auto"/>
              <w:left w:val="nil"/>
              <w:bottom w:val="single" w:sz="4" w:space="0" w:color="auto"/>
              <w:right w:val="single" w:sz="4" w:space="0" w:color="auto"/>
            </w:tcBorders>
            <w:shd w:val="clear" w:color="auto" w:fill="auto"/>
            <w:noWrap/>
            <w:hideMark/>
          </w:tcPr>
          <w:p w14:paraId="60262E51"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independent</w:t>
            </w:r>
          </w:p>
        </w:tc>
        <w:tc>
          <w:tcPr>
            <w:tcW w:w="851" w:type="dxa"/>
            <w:tcBorders>
              <w:top w:val="single" w:sz="4" w:space="0" w:color="auto"/>
              <w:left w:val="nil"/>
              <w:bottom w:val="single" w:sz="4" w:space="0" w:color="auto"/>
              <w:right w:val="single" w:sz="4" w:space="0" w:color="auto"/>
            </w:tcBorders>
            <w:shd w:val="clear" w:color="auto" w:fill="auto"/>
            <w:noWrap/>
            <w:hideMark/>
          </w:tcPr>
          <w:p w14:paraId="33CBC759"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beta</w:t>
            </w:r>
          </w:p>
        </w:tc>
        <w:tc>
          <w:tcPr>
            <w:tcW w:w="718" w:type="dxa"/>
            <w:tcBorders>
              <w:top w:val="single" w:sz="4" w:space="0" w:color="auto"/>
              <w:left w:val="nil"/>
              <w:bottom w:val="single" w:sz="4" w:space="0" w:color="auto"/>
              <w:right w:val="single" w:sz="4" w:space="0" w:color="auto"/>
            </w:tcBorders>
            <w:shd w:val="clear" w:color="auto" w:fill="auto"/>
            <w:noWrap/>
            <w:hideMark/>
          </w:tcPr>
          <w:p w14:paraId="2BAB66B8"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p</w:t>
            </w:r>
          </w:p>
        </w:tc>
        <w:tc>
          <w:tcPr>
            <w:tcW w:w="718" w:type="dxa"/>
            <w:tcBorders>
              <w:top w:val="single" w:sz="4" w:space="0" w:color="auto"/>
              <w:left w:val="nil"/>
              <w:bottom w:val="single" w:sz="4" w:space="0" w:color="auto"/>
              <w:right w:val="single" w:sz="4" w:space="0" w:color="auto"/>
            </w:tcBorders>
            <w:shd w:val="clear" w:color="auto" w:fill="auto"/>
            <w:noWrap/>
            <w:hideMark/>
          </w:tcPr>
          <w:p w14:paraId="69905BF6"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R2</w:t>
            </w:r>
          </w:p>
        </w:tc>
        <w:tc>
          <w:tcPr>
            <w:tcW w:w="598" w:type="dxa"/>
            <w:tcBorders>
              <w:top w:val="single" w:sz="4" w:space="0" w:color="auto"/>
              <w:left w:val="nil"/>
              <w:bottom w:val="single" w:sz="4" w:space="0" w:color="auto"/>
              <w:right w:val="single" w:sz="4" w:space="0" w:color="auto"/>
            </w:tcBorders>
            <w:shd w:val="clear" w:color="auto" w:fill="auto"/>
            <w:noWrap/>
            <w:hideMark/>
          </w:tcPr>
          <w:p w14:paraId="6224D245"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LLPr</w:t>
            </w:r>
          </w:p>
        </w:tc>
        <w:tc>
          <w:tcPr>
            <w:tcW w:w="661" w:type="dxa"/>
            <w:tcBorders>
              <w:top w:val="single" w:sz="4" w:space="0" w:color="auto"/>
              <w:left w:val="nil"/>
              <w:bottom w:val="single" w:sz="4" w:space="0" w:color="auto"/>
              <w:right w:val="single" w:sz="4" w:space="0" w:color="auto"/>
            </w:tcBorders>
            <w:shd w:val="clear" w:color="auto" w:fill="auto"/>
            <w:noWrap/>
            <w:hideMark/>
          </w:tcPr>
          <w:p w14:paraId="39A37C1B"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BIC</w:t>
            </w:r>
          </w:p>
        </w:tc>
        <w:tc>
          <w:tcPr>
            <w:tcW w:w="718" w:type="dxa"/>
            <w:tcBorders>
              <w:top w:val="single" w:sz="4" w:space="0" w:color="auto"/>
              <w:left w:val="nil"/>
              <w:bottom w:val="single" w:sz="4" w:space="0" w:color="auto"/>
              <w:right w:val="single" w:sz="4" w:space="0" w:color="auto"/>
            </w:tcBorders>
            <w:shd w:val="clear" w:color="auto" w:fill="auto"/>
            <w:noWrap/>
            <w:hideMark/>
          </w:tcPr>
          <w:p w14:paraId="4FDCE5E2"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T</w:t>
            </w:r>
          </w:p>
        </w:tc>
        <w:tc>
          <w:tcPr>
            <w:tcW w:w="718" w:type="dxa"/>
            <w:tcBorders>
              <w:top w:val="single" w:sz="4" w:space="0" w:color="auto"/>
              <w:left w:val="nil"/>
              <w:bottom w:val="single" w:sz="4" w:space="0" w:color="auto"/>
              <w:right w:val="single" w:sz="4" w:space="0" w:color="auto"/>
            </w:tcBorders>
            <w:shd w:val="clear" w:color="auto" w:fill="auto"/>
            <w:noWrap/>
            <w:hideMark/>
          </w:tcPr>
          <w:p w14:paraId="686BF347"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VIF</w:t>
            </w:r>
          </w:p>
        </w:tc>
        <w:tc>
          <w:tcPr>
            <w:tcW w:w="752" w:type="dxa"/>
            <w:tcBorders>
              <w:top w:val="single" w:sz="4" w:space="0" w:color="auto"/>
              <w:left w:val="nil"/>
              <w:bottom w:val="single" w:sz="4" w:space="0" w:color="auto"/>
              <w:right w:val="single" w:sz="4" w:space="0" w:color="auto"/>
            </w:tcBorders>
            <w:shd w:val="clear" w:color="auto" w:fill="auto"/>
            <w:noWrap/>
            <w:hideMark/>
          </w:tcPr>
          <w:p w14:paraId="1060E561"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dy/dx</w:t>
            </w:r>
          </w:p>
        </w:tc>
        <w:tc>
          <w:tcPr>
            <w:tcW w:w="955" w:type="dxa"/>
            <w:tcBorders>
              <w:top w:val="single" w:sz="4" w:space="0" w:color="auto"/>
              <w:left w:val="nil"/>
              <w:bottom w:val="single" w:sz="4" w:space="0" w:color="auto"/>
              <w:right w:val="single" w:sz="4" w:space="0" w:color="auto"/>
            </w:tcBorders>
            <w:shd w:val="clear" w:color="auto" w:fill="auto"/>
            <w:noWrap/>
            <w:hideMark/>
          </w:tcPr>
          <w:p w14:paraId="704C7401"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Pr(&gt;|z|)</w:t>
            </w:r>
          </w:p>
        </w:tc>
      </w:tr>
      <w:tr w:rsidR="001447AC" w:rsidRPr="0021070A" w14:paraId="4A85F4BF" w14:textId="77777777" w:rsidTr="00530505">
        <w:trPr>
          <w:trHeight w:val="300"/>
        </w:trPr>
        <w:tc>
          <w:tcPr>
            <w:tcW w:w="1221" w:type="dxa"/>
            <w:vMerge w:val="restart"/>
            <w:tcBorders>
              <w:top w:val="nil"/>
              <w:left w:val="single" w:sz="4" w:space="0" w:color="auto"/>
              <w:bottom w:val="single" w:sz="4" w:space="0" w:color="auto"/>
              <w:right w:val="single" w:sz="4" w:space="0" w:color="auto"/>
            </w:tcBorders>
            <w:shd w:val="clear" w:color="auto" w:fill="auto"/>
            <w:noWrap/>
            <w:hideMark/>
          </w:tcPr>
          <w:p w14:paraId="0C7A8B60"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 xml:space="preserve">awareness </w:t>
            </w:r>
          </w:p>
        </w:tc>
        <w:tc>
          <w:tcPr>
            <w:tcW w:w="1387" w:type="dxa"/>
            <w:tcBorders>
              <w:top w:val="nil"/>
              <w:left w:val="nil"/>
              <w:bottom w:val="single" w:sz="4" w:space="0" w:color="auto"/>
              <w:right w:val="single" w:sz="4" w:space="0" w:color="auto"/>
            </w:tcBorders>
            <w:shd w:val="clear" w:color="auto" w:fill="auto"/>
            <w:noWrap/>
            <w:hideMark/>
          </w:tcPr>
          <w:p w14:paraId="5441A935"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Intercept</w:t>
            </w:r>
          </w:p>
        </w:tc>
        <w:tc>
          <w:tcPr>
            <w:tcW w:w="851" w:type="dxa"/>
            <w:tcBorders>
              <w:top w:val="nil"/>
              <w:left w:val="nil"/>
              <w:bottom w:val="nil"/>
              <w:right w:val="nil"/>
            </w:tcBorders>
            <w:shd w:val="clear" w:color="auto" w:fill="auto"/>
            <w:noWrap/>
            <w:vAlign w:val="bottom"/>
            <w:hideMark/>
          </w:tcPr>
          <w:p w14:paraId="76052D18"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478</w:t>
            </w:r>
          </w:p>
        </w:tc>
        <w:tc>
          <w:tcPr>
            <w:tcW w:w="718" w:type="dxa"/>
            <w:tcBorders>
              <w:top w:val="nil"/>
              <w:left w:val="nil"/>
              <w:bottom w:val="nil"/>
              <w:right w:val="nil"/>
            </w:tcBorders>
            <w:shd w:val="clear" w:color="auto" w:fill="auto"/>
            <w:noWrap/>
            <w:vAlign w:val="bottom"/>
            <w:hideMark/>
          </w:tcPr>
          <w:p w14:paraId="3F9FDF90"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718" w:type="dxa"/>
            <w:vMerge w:val="restart"/>
            <w:tcBorders>
              <w:top w:val="nil"/>
              <w:left w:val="nil"/>
              <w:bottom w:val="single" w:sz="4" w:space="0" w:color="000000"/>
              <w:right w:val="nil"/>
            </w:tcBorders>
            <w:shd w:val="clear" w:color="auto" w:fill="auto"/>
            <w:noWrap/>
            <w:vAlign w:val="bottom"/>
            <w:hideMark/>
          </w:tcPr>
          <w:p w14:paraId="73507C17"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242</w:t>
            </w:r>
          </w:p>
        </w:tc>
        <w:tc>
          <w:tcPr>
            <w:tcW w:w="598" w:type="dxa"/>
            <w:tcBorders>
              <w:top w:val="nil"/>
              <w:left w:val="nil"/>
              <w:bottom w:val="nil"/>
              <w:right w:val="nil"/>
            </w:tcBorders>
            <w:shd w:val="clear" w:color="auto" w:fill="auto"/>
            <w:noWrap/>
            <w:vAlign w:val="bottom"/>
            <w:hideMark/>
          </w:tcPr>
          <w:p w14:paraId="71B563F5"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661" w:type="dxa"/>
            <w:tcBorders>
              <w:top w:val="nil"/>
              <w:left w:val="nil"/>
              <w:bottom w:val="nil"/>
              <w:right w:val="nil"/>
            </w:tcBorders>
            <w:shd w:val="clear" w:color="auto" w:fill="auto"/>
            <w:noWrap/>
            <w:vAlign w:val="bottom"/>
            <w:hideMark/>
          </w:tcPr>
          <w:p w14:paraId="56C89388"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482</w:t>
            </w:r>
          </w:p>
        </w:tc>
        <w:tc>
          <w:tcPr>
            <w:tcW w:w="718" w:type="dxa"/>
            <w:vMerge w:val="restart"/>
            <w:tcBorders>
              <w:top w:val="nil"/>
              <w:left w:val="nil"/>
              <w:bottom w:val="single" w:sz="4" w:space="0" w:color="000000"/>
              <w:right w:val="nil"/>
            </w:tcBorders>
            <w:shd w:val="clear" w:color="auto" w:fill="auto"/>
            <w:noWrap/>
            <w:vAlign w:val="bottom"/>
            <w:hideMark/>
          </w:tcPr>
          <w:p w14:paraId="67D0A70A"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758</w:t>
            </w:r>
          </w:p>
        </w:tc>
        <w:tc>
          <w:tcPr>
            <w:tcW w:w="718" w:type="dxa"/>
            <w:vMerge w:val="restart"/>
            <w:tcBorders>
              <w:top w:val="nil"/>
              <w:left w:val="nil"/>
              <w:bottom w:val="single" w:sz="4" w:space="0" w:color="000000"/>
              <w:right w:val="nil"/>
            </w:tcBorders>
            <w:shd w:val="clear" w:color="auto" w:fill="auto"/>
            <w:noWrap/>
            <w:vAlign w:val="bottom"/>
            <w:hideMark/>
          </w:tcPr>
          <w:p w14:paraId="4AA51448"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1</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319</w:t>
            </w:r>
          </w:p>
        </w:tc>
        <w:tc>
          <w:tcPr>
            <w:tcW w:w="752" w:type="dxa"/>
            <w:tcBorders>
              <w:top w:val="nil"/>
              <w:left w:val="nil"/>
              <w:bottom w:val="nil"/>
              <w:right w:val="nil"/>
            </w:tcBorders>
            <w:shd w:val="clear" w:color="auto" w:fill="auto"/>
            <w:noWrap/>
            <w:vAlign w:val="bottom"/>
            <w:hideMark/>
          </w:tcPr>
          <w:p w14:paraId="3A07EC58"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 </w:t>
            </w:r>
          </w:p>
        </w:tc>
        <w:tc>
          <w:tcPr>
            <w:tcW w:w="955" w:type="dxa"/>
            <w:tcBorders>
              <w:top w:val="nil"/>
              <w:left w:val="nil"/>
              <w:bottom w:val="nil"/>
              <w:right w:val="single" w:sz="4" w:space="0" w:color="auto"/>
            </w:tcBorders>
            <w:shd w:val="clear" w:color="auto" w:fill="auto"/>
            <w:noWrap/>
            <w:vAlign w:val="bottom"/>
            <w:hideMark/>
          </w:tcPr>
          <w:p w14:paraId="5D02ABCE"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 </w:t>
            </w:r>
          </w:p>
        </w:tc>
      </w:tr>
      <w:tr w:rsidR="001447AC" w:rsidRPr="0021070A" w14:paraId="599C3C6F" w14:textId="77777777" w:rsidTr="00530505">
        <w:trPr>
          <w:trHeight w:val="300"/>
        </w:trPr>
        <w:tc>
          <w:tcPr>
            <w:tcW w:w="1221" w:type="dxa"/>
            <w:vMerge/>
            <w:tcBorders>
              <w:top w:val="nil"/>
              <w:left w:val="single" w:sz="4" w:space="0" w:color="auto"/>
              <w:bottom w:val="single" w:sz="4" w:space="0" w:color="auto"/>
              <w:right w:val="single" w:sz="4" w:space="0" w:color="auto"/>
            </w:tcBorders>
            <w:vAlign w:val="center"/>
            <w:hideMark/>
          </w:tcPr>
          <w:p w14:paraId="100B2758" w14:textId="77777777" w:rsidR="001447AC" w:rsidRPr="0021070A" w:rsidRDefault="001447AC" w:rsidP="00530505">
            <w:pPr>
              <w:rPr>
                <w:rFonts w:ascii="Calibri" w:eastAsia="Times New Roman" w:hAnsi="Calibri" w:cs="Calibri"/>
                <w:b/>
                <w:bCs/>
                <w:kern w:val="0"/>
                <w:sz w:val="22"/>
                <w:szCs w:val="22"/>
                <w:lang w:val="en-NL" w:eastAsia="en-GB"/>
                <w14:ligatures w14:val="none"/>
              </w:rPr>
            </w:pPr>
          </w:p>
        </w:tc>
        <w:tc>
          <w:tcPr>
            <w:tcW w:w="1387" w:type="dxa"/>
            <w:tcBorders>
              <w:top w:val="nil"/>
              <w:left w:val="nil"/>
              <w:bottom w:val="single" w:sz="4" w:space="0" w:color="auto"/>
              <w:right w:val="single" w:sz="4" w:space="0" w:color="auto"/>
            </w:tcBorders>
            <w:shd w:val="clear" w:color="auto" w:fill="auto"/>
            <w:noWrap/>
            <w:hideMark/>
          </w:tcPr>
          <w:p w14:paraId="16F11A49"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experience</w:t>
            </w:r>
          </w:p>
        </w:tc>
        <w:tc>
          <w:tcPr>
            <w:tcW w:w="851" w:type="dxa"/>
            <w:tcBorders>
              <w:top w:val="nil"/>
              <w:left w:val="nil"/>
              <w:bottom w:val="nil"/>
              <w:right w:val="nil"/>
            </w:tcBorders>
            <w:shd w:val="clear" w:color="auto" w:fill="auto"/>
            <w:noWrap/>
            <w:vAlign w:val="bottom"/>
            <w:hideMark/>
          </w:tcPr>
          <w:p w14:paraId="3A8A28A7"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541</w:t>
            </w:r>
          </w:p>
        </w:tc>
        <w:tc>
          <w:tcPr>
            <w:tcW w:w="718" w:type="dxa"/>
            <w:tcBorders>
              <w:top w:val="nil"/>
              <w:left w:val="nil"/>
              <w:bottom w:val="nil"/>
              <w:right w:val="nil"/>
            </w:tcBorders>
            <w:shd w:val="clear" w:color="auto" w:fill="auto"/>
            <w:noWrap/>
            <w:vAlign w:val="bottom"/>
            <w:hideMark/>
          </w:tcPr>
          <w:p w14:paraId="6146691B"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001</w:t>
            </w:r>
          </w:p>
        </w:tc>
        <w:tc>
          <w:tcPr>
            <w:tcW w:w="718" w:type="dxa"/>
            <w:vMerge/>
            <w:tcBorders>
              <w:top w:val="nil"/>
              <w:left w:val="nil"/>
              <w:bottom w:val="single" w:sz="4" w:space="0" w:color="000000"/>
              <w:right w:val="nil"/>
            </w:tcBorders>
            <w:vAlign w:val="center"/>
            <w:hideMark/>
          </w:tcPr>
          <w:p w14:paraId="653B13DD"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598" w:type="dxa"/>
            <w:tcBorders>
              <w:top w:val="nil"/>
              <w:left w:val="nil"/>
              <w:bottom w:val="nil"/>
              <w:right w:val="nil"/>
            </w:tcBorders>
            <w:shd w:val="clear" w:color="auto" w:fill="auto"/>
            <w:noWrap/>
            <w:vAlign w:val="bottom"/>
            <w:hideMark/>
          </w:tcPr>
          <w:p w14:paraId="2675E412"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661" w:type="dxa"/>
            <w:tcBorders>
              <w:top w:val="nil"/>
              <w:left w:val="nil"/>
              <w:bottom w:val="nil"/>
              <w:right w:val="nil"/>
            </w:tcBorders>
            <w:shd w:val="clear" w:color="auto" w:fill="auto"/>
            <w:noWrap/>
            <w:vAlign w:val="bottom"/>
            <w:hideMark/>
          </w:tcPr>
          <w:p w14:paraId="13BB57C4"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482</w:t>
            </w:r>
          </w:p>
        </w:tc>
        <w:tc>
          <w:tcPr>
            <w:tcW w:w="718" w:type="dxa"/>
            <w:vMerge/>
            <w:tcBorders>
              <w:top w:val="nil"/>
              <w:left w:val="nil"/>
              <w:bottom w:val="single" w:sz="4" w:space="0" w:color="000000"/>
              <w:right w:val="nil"/>
            </w:tcBorders>
            <w:vAlign w:val="center"/>
            <w:hideMark/>
          </w:tcPr>
          <w:p w14:paraId="1522A9C9"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718" w:type="dxa"/>
            <w:vMerge/>
            <w:tcBorders>
              <w:top w:val="nil"/>
              <w:left w:val="nil"/>
              <w:bottom w:val="single" w:sz="4" w:space="0" w:color="000000"/>
              <w:right w:val="nil"/>
            </w:tcBorders>
            <w:vAlign w:val="center"/>
            <w:hideMark/>
          </w:tcPr>
          <w:p w14:paraId="6DD8449B"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752" w:type="dxa"/>
            <w:tcBorders>
              <w:top w:val="nil"/>
              <w:left w:val="nil"/>
              <w:bottom w:val="nil"/>
              <w:right w:val="nil"/>
            </w:tcBorders>
            <w:shd w:val="clear" w:color="auto" w:fill="auto"/>
            <w:noWrap/>
            <w:vAlign w:val="bottom"/>
            <w:hideMark/>
          </w:tcPr>
          <w:p w14:paraId="1CCCDE2E"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186</w:t>
            </w:r>
          </w:p>
        </w:tc>
        <w:tc>
          <w:tcPr>
            <w:tcW w:w="955" w:type="dxa"/>
            <w:tcBorders>
              <w:top w:val="nil"/>
              <w:left w:val="nil"/>
              <w:bottom w:val="nil"/>
              <w:right w:val="single" w:sz="4" w:space="0" w:color="auto"/>
            </w:tcBorders>
            <w:shd w:val="clear" w:color="auto" w:fill="auto"/>
            <w:noWrap/>
            <w:vAlign w:val="bottom"/>
            <w:hideMark/>
          </w:tcPr>
          <w:p w14:paraId="7A744587"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r>
      <w:tr w:rsidR="001447AC" w:rsidRPr="0021070A" w14:paraId="5496B65F" w14:textId="77777777" w:rsidTr="00530505">
        <w:trPr>
          <w:trHeight w:val="300"/>
        </w:trPr>
        <w:tc>
          <w:tcPr>
            <w:tcW w:w="1221" w:type="dxa"/>
            <w:vMerge/>
            <w:tcBorders>
              <w:top w:val="nil"/>
              <w:left w:val="single" w:sz="4" w:space="0" w:color="auto"/>
              <w:bottom w:val="single" w:sz="4" w:space="0" w:color="auto"/>
              <w:right w:val="single" w:sz="4" w:space="0" w:color="auto"/>
            </w:tcBorders>
            <w:vAlign w:val="center"/>
            <w:hideMark/>
          </w:tcPr>
          <w:p w14:paraId="59C759D8" w14:textId="77777777" w:rsidR="001447AC" w:rsidRPr="0021070A" w:rsidRDefault="001447AC" w:rsidP="00530505">
            <w:pPr>
              <w:rPr>
                <w:rFonts w:ascii="Calibri" w:eastAsia="Times New Roman" w:hAnsi="Calibri" w:cs="Calibri"/>
                <w:b/>
                <w:bCs/>
                <w:kern w:val="0"/>
                <w:sz w:val="22"/>
                <w:szCs w:val="22"/>
                <w:lang w:val="en-NL" w:eastAsia="en-GB"/>
                <w14:ligatures w14:val="none"/>
              </w:rPr>
            </w:pPr>
          </w:p>
        </w:tc>
        <w:tc>
          <w:tcPr>
            <w:tcW w:w="1387" w:type="dxa"/>
            <w:tcBorders>
              <w:top w:val="nil"/>
              <w:left w:val="nil"/>
              <w:bottom w:val="single" w:sz="4" w:space="0" w:color="auto"/>
              <w:right w:val="single" w:sz="4" w:space="0" w:color="auto"/>
            </w:tcBorders>
            <w:shd w:val="clear" w:color="auto" w:fill="auto"/>
            <w:noWrap/>
            <w:hideMark/>
          </w:tcPr>
          <w:p w14:paraId="4FCEA668"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floodzone</w:t>
            </w:r>
          </w:p>
        </w:tc>
        <w:tc>
          <w:tcPr>
            <w:tcW w:w="851" w:type="dxa"/>
            <w:tcBorders>
              <w:top w:val="nil"/>
              <w:left w:val="nil"/>
              <w:bottom w:val="single" w:sz="4" w:space="0" w:color="auto"/>
              <w:right w:val="nil"/>
            </w:tcBorders>
            <w:shd w:val="clear" w:color="auto" w:fill="auto"/>
            <w:noWrap/>
            <w:vAlign w:val="bottom"/>
            <w:hideMark/>
          </w:tcPr>
          <w:p w14:paraId="45D2D60C"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893</w:t>
            </w:r>
          </w:p>
        </w:tc>
        <w:tc>
          <w:tcPr>
            <w:tcW w:w="718" w:type="dxa"/>
            <w:tcBorders>
              <w:top w:val="nil"/>
              <w:left w:val="nil"/>
              <w:bottom w:val="single" w:sz="4" w:space="0" w:color="auto"/>
              <w:right w:val="nil"/>
            </w:tcBorders>
            <w:shd w:val="clear" w:color="auto" w:fill="auto"/>
            <w:noWrap/>
            <w:vAlign w:val="bottom"/>
            <w:hideMark/>
          </w:tcPr>
          <w:p w14:paraId="446A6446"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718" w:type="dxa"/>
            <w:vMerge/>
            <w:tcBorders>
              <w:top w:val="nil"/>
              <w:left w:val="nil"/>
              <w:bottom w:val="single" w:sz="4" w:space="0" w:color="000000"/>
              <w:right w:val="nil"/>
            </w:tcBorders>
            <w:vAlign w:val="center"/>
            <w:hideMark/>
          </w:tcPr>
          <w:p w14:paraId="4095AA12"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598" w:type="dxa"/>
            <w:tcBorders>
              <w:top w:val="nil"/>
              <w:left w:val="nil"/>
              <w:bottom w:val="single" w:sz="4" w:space="0" w:color="auto"/>
              <w:right w:val="nil"/>
            </w:tcBorders>
            <w:shd w:val="clear" w:color="auto" w:fill="auto"/>
            <w:noWrap/>
            <w:vAlign w:val="bottom"/>
            <w:hideMark/>
          </w:tcPr>
          <w:p w14:paraId="48AA49CF"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661" w:type="dxa"/>
            <w:tcBorders>
              <w:top w:val="nil"/>
              <w:left w:val="nil"/>
              <w:bottom w:val="single" w:sz="4" w:space="0" w:color="auto"/>
              <w:right w:val="nil"/>
            </w:tcBorders>
            <w:shd w:val="clear" w:color="auto" w:fill="auto"/>
            <w:noWrap/>
            <w:vAlign w:val="bottom"/>
            <w:hideMark/>
          </w:tcPr>
          <w:p w14:paraId="47DE58CD"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482</w:t>
            </w:r>
          </w:p>
        </w:tc>
        <w:tc>
          <w:tcPr>
            <w:tcW w:w="718" w:type="dxa"/>
            <w:vMerge/>
            <w:tcBorders>
              <w:top w:val="nil"/>
              <w:left w:val="nil"/>
              <w:bottom w:val="single" w:sz="4" w:space="0" w:color="000000"/>
              <w:right w:val="nil"/>
            </w:tcBorders>
            <w:vAlign w:val="center"/>
            <w:hideMark/>
          </w:tcPr>
          <w:p w14:paraId="380178B4"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718" w:type="dxa"/>
            <w:vMerge/>
            <w:tcBorders>
              <w:top w:val="nil"/>
              <w:left w:val="nil"/>
              <w:bottom w:val="single" w:sz="4" w:space="0" w:color="000000"/>
              <w:right w:val="nil"/>
            </w:tcBorders>
            <w:vAlign w:val="center"/>
            <w:hideMark/>
          </w:tcPr>
          <w:p w14:paraId="2B806F21"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752" w:type="dxa"/>
            <w:tcBorders>
              <w:top w:val="nil"/>
              <w:left w:val="nil"/>
              <w:bottom w:val="single" w:sz="4" w:space="0" w:color="auto"/>
              <w:right w:val="nil"/>
            </w:tcBorders>
            <w:shd w:val="clear" w:color="auto" w:fill="auto"/>
            <w:noWrap/>
            <w:vAlign w:val="bottom"/>
            <w:hideMark/>
          </w:tcPr>
          <w:p w14:paraId="79340161"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307</w:t>
            </w:r>
          </w:p>
        </w:tc>
        <w:tc>
          <w:tcPr>
            <w:tcW w:w="955" w:type="dxa"/>
            <w:tcBorders>
              <w:top w:val="nil"/>
              <w:left w:val="nil"/>
              <w:bottom w:val="single" w:sz="4" w:space="0" w:color="auto"/>
              <w:right w:val="single" w:sz="4" w:space="0" w:color="auto"/>
            </w:tcBorders>
            <w:shd w:val="clear" w:color="auto" w:fill="auto"/>
            <w:noWrap/>
            <w:vAlign w:val="bottom"/>
            <w:hideMark/>
          </w:tcPr>
          <w:p w14:paraId="5B25CF83"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r>
      <w:tr w:rsidR="001447AC" w:rsidRPr="0021070A" w14:paraId="6D2B0AF1" w14:textId="77777777" w:rsidTr="00530505">
        <w:trPr>
          <w:trHeight w:val="300"/>
        </w:trPr>
        <w:tc>
          <w:tcPr>
            <w:tcW w:w="1221" w:type="dxa"/>
            <w:vMerge w:val="restart"/>
            <w:tcBorders>
              <w:top w:val="nil"/>
              <w:left w:val="single" w:sz="4" w:space="0" w:color="auto"/>
              <w:bottom w:val="single" w:sz="4" w:space="0" w:color="auto"/>
              <w:right w:val="single" w:sz="4" w:space="0" w:color="auto"/>
            </w:tcBorders>
            <w:shd w:val="clear" w:color="auto" w:fill="auto"/>
            <w:noWrap/>
            <w:hideMark/>
          </w:tcPr>
          <w:p w14:paraId="34DF35ED"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experience</w:t>
            </w:r>
          </w:p>
        </w:tc>
        <w:tc>
          <w:tcPr>
            <w:tcW w:w="1387" w:type="dxa"/>
            <w:tcBorders>
              <w:top w:val="nil"/>
              <w:left w:val="nil"/>
              <w:bottom w:val="single" w:sz="4" w:space="0" w:color="auto"/>
              <w:right w:val="single" w:sz="4" w:space="0" w:color="auto"/>
            </w:tcBorders>
            <w:shd w:val="clear" w:color="auto" w:fill="auto"/>
            <w:noWrap/>
            <w:hideMark/>
          </w:tcPr>
          <w:p w14:paraId="72248FA6"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Intercept</w:t>
            </w:r>
          </w:p>
        </w:tc>
        <w:tc>
          <w:tcPr>
            <w:tcW w:w="851" w:type="dxa"/>
            <w:tcBorders>
              <w:top w:val="single" w:sz="4" w:space="0" w:color="auto"/>
              <w:left w:val="nil"/>
              <w:bottom w:val="nil"/>
              <w:right w:val="nil"/>
            </w:tcBorders>
            <w:shd w:val="clear" w:color="auto" w:fill="auto"/>
            <w:noWrap/>
            <w:vAlign w:val="bottom"/>
            <w:hideMark/>
          </w:tcPr>
          <w:p w14:paraId="7FA7C93D"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-1</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166</w:t>
            </w:r>
          </w:p>
        </w:tc>
        <w:tc>
          <w:tcPr>
            <w:tcW w:w="718" w:type="dxa"/>
            <w:tcBorders>
              <w:top w:val="single" w:sz="4" w:space="0" w:color="auto"/>
              <w:left w:val="nil"/>
              <w:bottom w:val="nil"/>
              <w:right w:val="nil"/>
            </w:tcBorders>
            <w:shd w:val="clear" w:color="auto" w:fill="auto"/>
            <w:noWrap/>
            <w:vAlign w:val="bottom"/>
            <w:hideMark/>
          </w:tcPr>
          <w:p w14:paraId="62E0259D"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718" w:type="dxa"/>
            <w:vMerge w:val="restart"/>
            <w:tcBorders>
              <w:top w:val="single" w:sz="4" w:space="0" w:color="auto"/>
              <w:left w:val="nil"/>
              <w:bottom w:val="single" w:sz="4" w:space="0" w:color="000000"/>
              <w:right w:val="nil"/>
            </w:tcBorders>
            <w:shd w:val="clear" w:color="auto" w:fill="auto"/>
            <w:noWrap/>
            <w:vAlign w:val="bottom"/>
            <w:hideMark/>
          </w:tcPr>
          <w:p w14:paraId="4C0FECFF"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257</w:t>
            </w:r>
          </w:p>
        </w:tc>
        <w:tc>
          <w:tcPr>
            <w:tcW w:w="598" w:type="dxa"/>
            <w:tcBorders>
              <w:top w:val="single" w:sz="4" w:space="0" w:color="auto"/>
              <w:left w:val="nil"/>
              <w:bottom w:val="nil"/>
              <w:right w:val="nil"/>
            </w:tcBorders>
            <w:shd w:val="clear" w:color="auto" w:fill="auto"/>
            <w:noWrap/>
            <w:vAlign w:val="bottom"/>
            <w:hideMark/>
          </w:tcPr>
          <w:p w14:paraId="1A03E13C"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661" w:type="dxa"/>
            <w:tcBorders>
              <w:top w:val="single" w:sz="4" w:space="0" w:color="auto"/>
              <w:left w:val="nil"/>
              <w:bottom w:val="nil"/>
              <w:right w:val="nil"/>
            </w:tcBorders>
            <w:shd w:val="clear" w:color="auto" w:fill="auto"/>
            <w:noWrap/>
            <w:vAlign w:val="bottom"/>
            <w:hideMark/>
          </w:tcPr>
          <w:p w14:paraId="21E4722C"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415</w:t>
            </w:r>
          </w:p>
        </w:tc>
        <w:tc>
          <w:tcPr>
            <w:tcW w:w="718" w:type="dxa"/>
            <w:vMerge w:val="restart"/>
            <w:tcBorders>
              <w:top w:val="single" w:sz="4" w:space="0" w:color="auto"/>
              <w:left w:val="nil"/>
              <w:bottom w:val="single" w:sz="4" w:space="0" w:color="000000"/>
              <w:right w:val="nil"/>
            </w:tcBorders>
            <w:shd w:val="clear" w:color="auto" w:fill="auto"/>
            <w:noWrap/>
            <w:vAlign w:val="bottom"/>
            <w:hideMark/>
          </w:tcPr>
          <w:p w14:paraId="53FCBE60"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743</w:t>
            </w:r>
          </w:p>
        </w:tc>
        <w:tc>
          <w:tcPr>
            <w:tcW w:w="718" w:type="dxa"/>
            <w:vMerge w:val="restart"/>
            <w:tcBorders>
              <w:top w:val="single" w:sz="4" w:space="0" w:color="auto"/>
              <w:left w:val="nil"/>
              <w:bottom w:val="single" w:sz="4" w:space="0" w:color="000000"/>
              <w:right w:val="nil"/>
            </w:tcBorders>
            <w:shd w:val="clear" w:color="auto" w:fill="auto"/>
            <w:noWrap/>
            <w:vAlign w:val="bottom"/>
            <w:hideMark/>
          </w:tcPr>
          <w:p w14:paraId="22205227"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1</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34</w:t>
            </w:r>
            <w:r>
              <w:rPr>
                <w:rFonts w:ascii="Calibri" w:eastAsia="Times New Roman" w:hAnsi="Calibri" w:cs="Calibri"/>
                <w:color w:val="000000"/>
                <w:kern w:val="0"/>
                <w:sz w:val="22"/>
                <w:szCs w:val="22"/>
                <w:lang w:val="en-NL" w:eastAsia="en-GB"/>
                <w14:ligatures w14:val="none"/>
              </w:rPr>
              <w:t>6</w:t>
            </w:r>
          </w:p>
        </w:tc>
        <w:tc>
          <w:tcPr>
            <w:tcW w:w="752" w:type="dxa"/>
            <w:tcBorders>
              <w:top w:val="single" w:sz="4" w:space="0" w:color="auto"/>
              <w:left w:val="nil"/>
              <w:bottom w:val="nil"/>
              <w:right w:val="nil"/>
            </w:tcBorders>
            <w:shd w:val="clear" w:color="auto" w:fill="auto"/>
            <w:noWrap/>
            <w:vAlign w:val="bottom"/>
            <w:hideMark/>
          </w:tcPr>
          <w:p w14:paraId="4CFC5D83"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 </w:t>
            </w:r>
          </w:p>
        </w:tc>
        <w:tc>
          <w:tcPr>
            <w:tcW w:w="955" w:type="dxa"/>
            <w:tcBorders>
              <w:top w:val="single" w:sz="4" w:space="0" w:color="auto"/>
              <w:left w:val="nil"/>
              <w:bottom w:val="nil"/>
              <w:right w:val="single" w:sz="4" w:space="0" w:color="auto"/>
            </w:tcBorders>
            <w:shd w:val="clear" w:color="auto" w:fill="auto"/>
            <w:noWrap/>
            <w:vAlign w:val="bottom"/>
            <w:hideMark/>
          </w:tcPr>
          <w:p w14:paraId="089C3F0A"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 </w:t>
            </w:r>
          </w:p>
        </w:tc>
      </w:tr>
      <w:tr w:rsidR="001447AC" w:rsidRPr="0021070A" w14:paraId="7BBF8B32" w14:textId="77777777" w:rsidTr="00530505">
        <w:trPr>
          <w:trHeight w:val="300"/>
        </w:trPr>
        <w:tc>
          <w:tcPr>
            <w:tcW w:w="1221" w:type="dxa"/>
            <w:vMerge/>
            <w:tcBorders>
              <w:top w:val="nil"/>
              <w:left w:val="single" w:sz="4" w:space="0" w:color="auto"/>
              <w:bottom w:val="single" w:sz="4" w:space="0" w:color="auto"/>
              <w:right w:val="single" w:sz="4" w:space="0" w:color="auto"/>
            </w:tcBorders>
            <w:vAlign w:val="center"/>
            <w:hideMark/>
          </w:tcPr>
          <w:p w14:paraId="274FB51D" w14:textId="77777777" w:rsidR="001447AC" w:rsidRPr="0021070A" w:rsidRDefault="001447AC" w:rsidP="00530505">
            <w:pPr>
              <w:rPr>
                <w:rFonts w:ascii="Calibri" w:eastAsia="Times New Roman" w:hAnsi="Calibri" w:cs="Calibri"/>
                <w:b/>
                <w:bCs/>
                <w:kern w:val="0"/>
                <w:sz w:val="22"/>
                <w:szCs w:val="22"/>
                <w:lang w:val="en-NL" w:eastAsia="en-GB"/>
                <w14:ligatures w14:val="none"/>
              </w:rPr>
            </w:pPr>
          </w:p>
        </w:tc>
        <w:tc>
          <w:tcPr>
            <w:tcW w:w="1387" w:type="dxa"/>
            <w:tcBorders>
              <w:top w:val="nil"/>
              <w:left w:val="nil"/>
              <w:bottom w:val="single" w:sz="4" w:space="0" w:color="auto"/>
              <w:right w:val="single" w:sz="4" w:space="0" w:color="auto"/>
            </w:tcBorders>
            <w:shd w:val="clear" w:color="auto" w:fill="auto"/>
            <w:noWrap/>
            <w:hideMark/>
          </w:tcPr>
          <w:p w14:paraId="37E3F33A"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awareness</w:t>
            </w:r>
          </w:p>
        </w:tc>
        <w:tc>
          <w:tcPr>
            <w:tcW w:w="851" w:type="dxa"/>
            <w:tcBorders>
              <w:top w:val="nil"/>
              <w:left w:val="nil"/>
              <w:bottom w:val="nil"/>
              <w:right w:val="nil"/>
            </w:tcBorders>
            <w:shd w:val="clear" w:color="auto" w:fill="auto"/>
            <w:noWrap/>
            <w:vAlign w:val="bottom"/>
            <w:hideMark/>
          </w:tcPr>
          <w:p w14:paraId="3EF6BBCE"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534</w:t>
            </w:r>
          </w:p>
        </w:tc>
        <w:tc>
          <w:tcPr>
            <w:tcW w:w="718" w:type="dxa"/>
            <w:tcBorders>
              <w:top w:val="nil"/>
              <w:left w:val="nil"/>
              <w:bottom w:val="nil"/>
              <w:right w:val="nil"/>
            </w:tcBorders>
            <w:shd w:val="clear" w:color="auto" w:fill="auto"/>
            <w:noWrap/>
            <w:vAlign w:val="bottom"/>
            <w:hideMark/>
          </w:tcPr>
          <w:p w14:paraId="1A8FAF78"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718" w:type="dxa"/>
            <w:vMerge/>
            <w:tcBorders>
              <w:top w:val="single" w:sz="4" w:space="0" w:color="auto"/>
              <w:left w:val="nil"/>
              <w:bottom w:val="single" w:sz="4" w:space="0" w:color="000000"/>
              <w:right w:val="nil"/>
            </w:tcBorders>
            <w:vAlign w:val="center"/>
            <w:hideMark/>
          </w:tcPr>
          <w:p w14:paraId="154B5C13"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598" w:type="dxa"/>
            <w:tcBorders>
              <w:top w:val="nil"/>
              <w:left w:val="nil"/>
              <w:bottom w:val="nil"/>
              <w:right w:val="nil"/>
            </w:tcBorders>
            <w:shd w:val="clear" w:color="auto" w:fill="auto"/>
            <w:noWrap/>
            <w:vAlign w:val="bottom"/>
            <w:hideMark/>
          </w:tcPr>
          <w:p w14:paraId="0717F157"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661" w:type="dxa"/>
            <w:tcBorders>
              <w:top w:val="nil"/>
              <w:left w:val="nil"/>
              <w:bottom w:val="nil"/>
              <w:right w:val="nil"/>
            </w:tcBorders>
            <w:shd w:val="clear" w:color="auto" w:fill="auto"/>
            <w:noWrap/>
            <w:vAlign w:val="bottom"/>
            <w:hideMark/>
          </w:tcPr>
          <w:p w14:paraId="3C923F11"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415</w:t>
            </w:r>
          </w:p>
        </w:tc>
        <w:tc>
          <w:tcPr>
            <w:tcW w:w="718" w:type="dxa"/>
            <w:vMerge/>
            <w:tcBorders>
              <w:top w:val="single" w:sz="4" w:space="0" w:color="auto"/>
              <w:left w:val="nil"/>
              <w:bottom w:val="single" w:sz="4" w:space="0" w:color="000000"/>
              <w:right w:val="nil"/>
            </w:tcBorders>
            <w:vAlign w:val="center"/>
            <w:hideMark/>
          </w:tcPr>
          <w:p w14:paraId="518A4C50"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718" w:type="dxa"/>
            <w:vMerge/>
            <w:tcBorders>
              <w:top w:val="single" w:sz="4" w:space="0" w:color="auto"/>
              <w:left w:val="nil"/>
              <w:bottom w:val="single" w:sz="4" w:space="0" w:color="000000"/>
              <w:right w:val="nil"/>
            </w:tcBorders>
            <w:vAlign w:val="center"/>
            <w:hideMark/>
          </w:tcPr>
          <w:p w14:paraId="419E6A6F"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752" w:type="dxa"/>
            <w:tcBorders>
              <w:top w:val="nil"/>
              <w:left w:val="nil"/>
              <w:bottom w:val="nil"/>
              <w:right w:val="nil"/>
            </w:tcBorders>
            <w:shd w:val="clear" w:color="auto" w:fill="auto"/>
            <w:noWrap/>
            <w:vAlign w:val="bottom"/>
            <w:hideMark/>
          </w:tcPr>
          <w:p w14:paraId="75660833"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155</w:t>
            </w:r>
          </w:p>
        </w:tc>
        <w:tc>
          <w:tcPr>
            <w:tcW w:w="955" w:type="dxa"/>
            <w:tcBorders>
              <w:top w:val="nil"/>
              <w:left w:val="nil"/>
              <w:bottom w:val="nil"/>
              <w:right w:val="single" w:sz="4" w:space="0" w:color="auto"/>
            </w:tcBorders>
            <w:shd w:val="clear" w:color="auto" w:fill="auto"/>
            <w:noWrap/>
            <w:vAlign w:val="bottom"/>
            <w:hideMark/>
          </w:tcPr>
          <w:p w14:paraId="66559199"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r>
      <w:tr w:rsidR="001447AC" w:rsidRPr="0021070A" w14:paraId="30007951" w14:textId="77777777" w:rsidTr="00530505">
        <w:trPr>
          <w:trHeight w:val="300"/>
        </w:trPr>
        <w:tc>
          <w:tcPr>
            <w:tcW w:w="1221" w:type="dxa"/>
            <w:vMerge/>
            <w:tcBorders>
              <w:top w:val="nil"/>
              <w:left w:val="single" w:sz="4" w:space="0" w:color="auto"/>
              <w:bottom w:val="single" w:sz="4" w:space="0" w:color="auto"/>
              <w:right w:val="single" w:sz="4" w:space="0" w:color="auto"/>
            </w:tcBorders>
            <w:vAlign w:val="center"/>
            <w:hideMark/>
          </w:tcPr>
          <w:p w14:paraId="7E4BFD96" w14:textId="77777777" w:rsidR="001447AC" w:rsidRPr="0021070A" w:rsidRDefault="001447AC" w:rsidP="00530505">
            <w:pPr>
              <w:rPr>
                <w:rFonts w:ascii="Calibri" w:eastAsia="Times New Roman" w:hAnsi="Calibri" w:cs="Calibri"/>
                <w:b/>
                <w:bCs/>
                <w:kern w:val="0"/>
                <w:sz w:val="22"/>
                <w:szCs w:val="22"/>
                <w:lang w:val="en-NL" w:eastAsia="en-GB"/>
                <w14:ligatures w14:val="none"/>
              </w:rPr>
            </w:pPr>
          </w:p>
        </w:tc>
        <w:tc>
          <w:tcPr>
            <w:tcW w:w="1387" w:type="dxa"/>
            <w:tcBorders>
              <w:top w:val="nil"/>
              <w:left w:val="nil"/>
              <w:bottom w:val="single" w:sz="4" w:space="0" w:color="auto"/>
              <w:right w:val="single" w:sz="4" w:space="0" w:color="auto"/>
            </w:tcBorders>
            <w:shd w:val="clear" w:color="auto" w:fill="auto"/>
            <w:noWrap/>
            <w:hideMark/>
          </w:tcPr>
          <w:p w14:paraId="444C706F"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floodzone</w:t>
            </w:r>
          </w:p>
        </w:tc>
        <w:tc>
          <w:tcPr>
            <w:tcW w:w="851" w:type="dxa"/>
            <w:tcBorders>
              <w:top w:val="nil"/>
              <w:left w:val="nil"/>
              <w:bottom w:val="single" w:sz="4" w:space="0" w:color="auto"/>
              <w:right w:val="nil"/>
            </w:tcBorders>
            <w:shd w:val="clear" w:color="auto" w:fill="auto"/>
            <w:noWrap/>
            <w:vAlign w:val="bottom"/>
            <w:hideMark/>
          </w:tcPr>
          <w:p w14:paraId="43821F6D"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926</w:t>
            </w:r>
          </w:p>
        </w:tc>
        <w:tc>
          <w:tcPr>
            <w:tcW w:w="718" w:type="dxa"/>
            <w:tcBorders>
              <w:top w:val="nil"/>
              <w:left w:val="nil"/>
              <w:bottom w:val="single" w:sz="4" w:space="0" w:color="auto"/>
              <w:right w:val="nil"/>
            </w:tcBorders>
            <w:shd w:val="clear" w:color="auto" w:fill="auto"/>
            <w:noWrap/>
            <w:vAlign w:val="bottom"/>
            <w:hideMark/>
          </w:tcPr>
          <w:p w14:paraId="71FC6EEA"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718" w:type="dxa"/>
            <w:vMerge/>
            <w:tcBorders>
              <w:top w:val="single" w:sz="4" w:space="0" w:color="auto"/>
              <w:left w:val="nil"/>
              <w:bottom w:val="single" w:sz="4" w:space="0" w:color="000000"/>
              <w:right w:val="nil"/>
            </w:tcBorders>
            <w:vAlign w:val="center"/>
            <w:hideMark/>
          </w:tcPr>
          <w:p w14:paraId="7C37EA6F"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598" w:type="dxa"/>
            <w:tcBorders>
              <w:top w:val="nil"/>
              <w:left w:val="nil"/>
              <w:bottom w:val="single" w:sz="4" w:space="0" w:color="auto"/>
              <w:right w:val="nil"/>
            </w:tcBorders>
            <w:shd w:val="clear" w:color="auto" w:fill="auto"/>
            <w:noWrap/>
            <w:vAlign w:val="bottom"/>
            <w:hideMark/>
          </w:tcPr>
          <w:p w14:paraId="0829A607"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661" w:type="dxa"/>
            <w:tcBorders>
              <w:top w:val="nil"/>
              <w:left w:val="nil"/>
              <w:bottom w:val="single" w:sz="4" w:space="0" w:color="auto"/>
              <w:right w:val="nil"/>
            </w:tcBorders>
            <w:shd w:val="clear" w:color="auto" w:fill="auto"/>
            <w:noWrap/>
            <w:vAlign w:val="bottom"/>
            <w:hideMark/>
          </w:tcPr>
          <w:p w14:paraId="40D31E34"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415</w:t>
            </w:r>
          </w:p>
        </w:tc>
        <w:tc>
          <w:tcPr>
            <w:tcW w:w="718" w:type="dxa"/>
            <w:vMerge/>
            <w:tcBorders>
              <w:top w:val="single" w:sz="4" w:space="0" w:color="auto"/>
              <w:left w:val="nil"/>
              <w:bottom w:val="single" w:sz="4" w:space="0" w:color="000000"/>
              <w:right w:val="nil"/>
            </w:tcBorders>
            <w:vAlign w:val="center"/>
            <w:hideMark/>
          </w:tcPr>
          <w:p w14:paraId="7E3A8B8D"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718" w:type="dxa"/>
            <w:vMerge/>
            <w:tcBorders>
              <w:top w:val="single" w:sz="4" w:space="0" w:color="auto"/>
              <w:left w:val="nil"/>
              <w:bottom w:val="single" w:sz="4" w:space="0" w:color="000000"/>
              <w:right w:val="nil"/>
            </w:tcBorders>
            <w:vAlign w:val="center"/>
            <w:hideMark/>
          </w:tcPr>
          <w:p w14:paraId="2708982F"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752" w:type="dxa"/>
            <w:tcBorders>
              <w:top w:val="nil"/>
              <w:left w:val="nil"/>
              <w:bottom w:val="single" w:sz="4" w:space="0" w:color="auto"/>
              <w:right w:val="nil"/>
            </w:tcBorders>
            <w:shd w:val="clear" w:color="auto" w:fill="auto"/>
            <w:noWrap/>
            <w:vAlign w:val="bottom"/>
            <w:hideMark/>
          </w:tcPr>
          <w:p w14:paraId="0FC31593"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269</w:t>
            </w:r>
          </w:p>
        </w:tc>
        <w:tc>
          <w:tcPr>
            <w:tcW w:w="955" w:type="dxa"/>
            <w:tcBorders>
              <w:top w:val="nil"/>
              <w:left w:val="nil"/>
              <w:bottom w:val="single" w:sz="4" w:space="0" w:color="auto"/>
              <w:right w:val="single" w:sz="4" w:space="0" w:color="auto"/>
            </w:tcBorders>
            <w:shd w:val="clear" w:color="auto" w:fill="auto"/>
            <w:noWrap/>
            <w:vAlign w:val="bottom"/>
            <w:hideMark/>
          </w:tcPr>
          <w:p w14:paraId="4A1F5B5A"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r>
      <w:tr w:rsidR="001447AC" w:rsidRPr="0021070A" w14:paraId="360223FC" w14:textId="77777777" w:rsidTr="00530505">
        <w:trPr>
          <w:trHeight w:val="300"/>
        </w:trPr>
        <w:tc>
          <w:tcPr>
            <w:tcW w:w="1221" w:type="dxa"/>
            <w:vMerge w:val="restart"/>
            <w:tcBorders>
              <w:top w:val="nil"/>
              <w:left w:val="single" w:sz="4" w:space="0" w:color="auto"/>
              <w:bottom w:val="single" w:sz="4" w:space="0" w:color="auto"/>
              <w:right w:val="single" w:sz="4" w:space="0" w:color="auto"/>
            </w:tcBorders>
            <w:shd w:val="clear" w:color="auto" w:fill="auto"/>
            <w:noWrap/>
            <w:hideMark/>
          </w:tcPr>
          <w:p w14:paraId="1D3AE84D"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floodzone</w:t>
            </w:r>
          </w:p>
        </w:tc>
        <w:tc>
          <w:tcPr>
            <w:tcW w:w="1387" w:type="dxa"/>
            <w:tcBorders>
              <w:top w:val="nil"/>
              <w:left w:val="nil"/>
              <w:bottom w:val="single" w:sz="4" w:space="0" w:color="auto"/>
              <w:right w:val="single" w:sz="4" w:space="0" w:color="auto"/>
            </w:tcBorders>
            <w:shd w:val="clear" w:color="auto" w:fill="auto"/>
            <w:noWrap/>
            <w:hideMark/>
          </w:tcPr>
          <w:p w14:paraId="77EE9D92"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Intercept</w:t>
            </w:r>
          </w:p>
        </w:tc>
        <w:tc>
          <w:tcPr>
            <w:tcW w:w="851" w:type="dxa"/>
            <w:tcBorders>
              <w:top w:val="nil"/>
              <w:left w:val="nil"/>
              <w:bottom w:val="nil"/>
              <w:right w:val="nil"/>
            </w:tcBorders>
            <w:shd w:val="clear" w:color="auto" w:fill="auto"/>
            <w:noWrap/>
            <w:vAlign w:val="bottom"/>
            <w:hideMark/>
          </w:tcPr>
          <w:p w14:paraId="181FF4CF"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-1</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252</w:t>
            </w:r>
          </w:p>
        </w:tc>
        <w:tc>
          <w:tcPr>
            <w:tcW w:w="718" w:type="dxa"/>
            <w:tcBorders>
              <w:top w:val="nil"/>
              <w:left w:val="nil"/>
              <w:bottom w:val="nil"/>
              <w:right w:val="nil"/>
            </w:tcBorders>
            <w:shd w:val="clear" w:color="auto" w:fill="auto"/>
            <w:noWrap/>
            <w:vAlign w:val="bottom"/>
            <w:hideMark/>
          </w:tcPr>
          <w:p w14:paraId="1CFF6BF6"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718" w:type="dxa"/>
            <w:vMerge w:val="restart"/>
            <w:tcBorders>
              <w:top w:val="nil"/>
              <w:left w:val="nil"/>
              <w:bottom w:val="single" w:sz="4" w:space="0" w:color="000000"/>
              <w:right w:val="nil"/>
            </w:tcBorders>
            <w:shd w:val="clear" w:color="auto" w:fill="auto"/>
            <w:noWrap/>
            <w:vAlign w:val="bottom"/>
            <w:hideMark/>
          </w:tcPr>
          <w:p w14:paraId="0DDD9024"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322</w:t>
            </w:r>
          </w:p>
        </w:tc>
        <w:tc>
          <w:tcPr>
            <w:tcW w:w="598" w:type="dxa"/>
            <w:tcBorders>
              <w:top w:val="nil"/>
              <w:left w:val="nil"/>
              <w:bottom w:val="nil"/>
              <w:right w:val="nil"/>
            </w:tcBorders>
            <w:shd w:val="clear" w:color="auto" w:fill="auto"/>
            <w:noWrap/>
            <w:vAlign w:val="bottom"/>
            <w:hideMark/>
          </w:tcPr>
          <w:p w14:paraId="07EF6B68"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661" w:type="dxa"/>
            <w:tcBorders>
              <w:top w:val="nil"/>
              <w:left w:val="nil"/>
              <w:bottom w:val="nil"/>
              <w:right w:val="nil"/>
            </w:tcBorders>
            <w:shd w:val="clear" w:color="auto" w:fill="auto"/>
            <w:noWrap/>
            <w:vAlign w:val="bottom"/>
            <w:hideMark/>
          </w:tcPr>
          <w:p w14:paraId="06F81C59"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407</w:t>
            </w:r>
          </w:p>
        </w:tc>
        <w:tc>
          <w:tcPr>
            <w:tcW w:w="718" w:type="dxa"/>
            <w:vMerge w:val="restart"/>
            <w:tcBorders>
              <w:top w:val="nil"/>
              <w:left w:val="nil"/>
              <w:bottom w:val="single" w:sz="4" w:space="0" w:color="000000"/>
              <w:right w:val="nil"/>
            </w:tcBorders>
            <w:shd w:val="clear" w:color="auto" w:fill="auto"/>
            <w:noWrap/>
            <w:vAlign w:val="bottom"/>
            <w:hideMark/>
          </w:tcPr>
          <w:p w14:paraId="77643235"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678</w:t>
            </w:r>
          </w:p>
        </w:tc>
        <w:tc>
          <w:tcPr>
            <w:tcW w:w="718" w:type="dxa"/>
            <w:vMerge w:val="restart"/>
            <w:tcBorders>
              <w:top w:val="nil"/>
              <w:left w:val="nil"/>
              <w:bottom w:val="single" w:sz="4" w:space="0" w:color="000000"/>
              <w:right w:val="nil"/>
            </w:tcBorders>
            <w:shd w:val="clear" w:color="auto" w:fill="auto"/>
            <w:noWrap/>
            <w:vAlign w:val="bottom"/>
            <w:hideMark/>
          </w:tcPr>
          <w:p w14:paraId="59E71E14"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1</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47</w:t>
            </w:r>
            <w:r>
              <w:rPr>
                <w:rFonts w:ascii="Calibri" w:eastAsia="Times New Roman" w:hAnsi="Calibri" w:cs="Calibri"/>
                <w:color w:val="000000"/>
                <w:kern w:val="0"/>
                <w:sz w:val="22"/>
                <w:szCs w:val="22"/>
                <w:lang w:val="en-NL" w:eastAsia="en-GB"/>
                <w14:ligatures w14:val="none"/>
              </w:rPr>
              <w:t>5</w:t>
            </w:r>
          </w:p>
        </w:tc>
        <w:tc>
          <w:tcPr>
            <w:tcW w:w="752" w:type="dxa"/>
            <w:tcBorders>
              <w:top w:val="nil"/>
              <w:left w:val="nil"/>
              <w:bottom w:val="nil"/>
              <w:right w:val="nil"/>
            </w:tcBorders>
            <w:shd w:val="clear" w:color="auto" w:fill="auto"/>
            <w:noWrap/>
            <w:vAlign w:val="bottom"/>
            <w:hideMark/>
          </w:tcPr>
          <w:p w14:paraId="1279C4A7" w14:textId="77777777" w:rsidR="001447AC" w:rsidRPr="0021070A" w:rsidRDefault="001447AC" w:rsidP="00530505">
            <w:pPr>
              <w:jc w:val="center"/>
              <w:rPr>
                <w:rFonts w:ascii="Calibri" w:eastAsia="Times New Roman" w:hAnsi="Calibri" w:cs="Calibri"/>
                <w:color w:val="000000"/>
                <w:kern w:val="0"/>
                <w:sz w:val="22"/>
                <w:szCs w:val="22"/>
                <w:lang w:val="en-NL" w:eastAsia="en-GB"/>
                <w14:ligatures w14:val="none"/>
              </w:rPr>
            </w:pPr>
          </w:p>
        </w:tc>
        <w:tc>
          <w:tcPr>
            <w:tcW w:w="955" w:type="dxa"/>
            <w:tcBorders>
              <w:top w:val="nil"/>
              <w:left w:val="nil"/>
              <w:bottom w:val="nil"/>
              <w:right w:val="single" w:sz="4" w:space="0" w:color="auto"/>
            </w:tcBorders>
            <w:shd w:val="clear" w:color="auto" w:fill="auto"/>
            <w:noWrap/>
            <w:vAlign w:val="bottom"/>
            <w:hideMark/>
          </w:tcPr>
          <w:p w14:paraId="6479F6E9"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 </w:t>
            </w:r>
          </w:p>
        </w:tc>
      </w:tr>
      <w:tr w:rsidR="001447AC" w:rsidRPr="0021070A" w14:paraId="0A5D814B" w14:textId="77777777" w:rsidTr="00530505">
        <w:trPr>
          <w:trHeight w:val="300"/>
        </w:trPr>
        <w:tc>
          <w:tcPr>
            <w:tcW w:w="1221" w:type="dxa"/>
            <w:vMerge/>
            <w:tcBorders>
              <w:top w:val="nil"/>
              <w:left w:val="single" w:sz="4" w:space="0" w:color="auto"/>
              <w:bottom w:val="single" w:sz="4" w:space="0" w:color="auto"/>
              <w:right w:val="single" w:sz="4" w:space="0" w:color="auto"/>
            </w:tcBorders>
            <w:vAlign w:val="center"/>
            <w:hideMark/>
          </w:tcPr>
          <w:p w14:paraId="0B2B3E23" w14:textId="77777777" w:rsidR="001447AC" w:rsidRPr="0021070A" w:rsidRDefault="001447AC" w:rsidP="00530505">
            <w:pPr>
              <w:rPr>
                <w:rFonts w:ascii="Calibri" w:eastAsia="Times New Roman" w:hAnsi="Calibri" w:cs="Calibri"/>
                <w:b/>
                <w:bCs/>
                <w:kern w:val="0"/>
                <w:sz w:val="22"/>
                <w:szCs w:val="22"/>
                <w:lang w:val="en-NL" w:eastAsia="en-GB"/>
                <w14:ligatures w14:val="none"/>
              </w:rPr>
            </w:pPr>
          </w:p>
        </w:tc>
        <w:tc>
          <w:tcPr>
            <w:tcW w:w="1387" w:type="dxa"/>
            <w:tcBorders>
              <w:top w:val="nil"/>
              <w:left w:val="nil"/>
              <w:bottom w:val="single" w:sz="4" w:space="0" w:color="auto"/>
              <w:right w:val="single" w:sz="4" w:space="0" w:color="auto"/>
            </w:tcBorders>
            <w:shd w:val="clear" w:color="auto" w:fill="auto"/>
            <w:noWrap/>
            <w:hideMark/>
          </w:tcPr>
          <w:p w14:paraId="14FB720D"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awareness</w:t>
            </w:r>
          </w:p>
        </w:tc>
        <w:tc>
          <w:tcPr>
            <w:tcW w:w="851" w:type="dxa"/>
            <w:tcBorders>
              <w:top w:val="nil"/>
              <w:left w:val="nil"/>
              <w:bottom w:val="nil"/>
              <w:right w:val="nil"/>
            </w:tcBorders>
            <w:shd w:val="clear" w:color="auto" w:fill="auto"/>
            <w:noWrap/>
            <w:vAlign w:val="bottom"/>
            <w:hideMark/>
          </w:tcPr>
          <w:p w14:paraId="0D530C15"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864</w:t>
            </w:r>
          </w:p>
        </w:tc>
        <w:tc>
          <w:tcPr>
            <w:tcW w:w="718" w:type="dxa"/>
            <w:tcBorders>
              <w:top w:val="nil"/>
              <w:left w:val="nil"/>
              <w:bottom w:val="nil"/>
              <w:right w:val="nil"/>
            </w:tcBorders>
            <w:shd w:val="clear" w:color="auto" w:fill="auto"/>
            <w:noWrap/>
            <w:vAlign w:val="bottom"/>
            <w:hideMark/>
          </w:tcPr>
          <w:p w14:paraId="46032D50"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718" w:type="dxa"/>
            <w:vMerge/>
            <w:tcBorders>
              <w:top w:val="nil"/>
              <w:left w:val="nil"/>
              <w:bottom w:val="single" w:sz="4" w:space="0" w:color="000000"/>
              <w:right w:val="nil"/>
            </w:tcBorders>
            <w:vAlign w:val="center"/>
            <w:hideMark/>
          </w:tcPr>
          <w:p w14:paraId="02EE2BEF"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598" w:type="dxa"/>
            <w:tcBorders>
              <w:top w:val="nil"/>
              <w:left w:val="nil"/>
              <w:bottom w:val="nil"/>
              <w:right w:val="nil"/>
            </w:tcBorders>
            <w:shd w:val="clear" w:color="auto" w:fill="auto"/>
            <w:noWrap/>
            <w:vAlign w:val="bottom"/>
            <w:hideMark/>
          </w:tcPr>
          <w:p w14:paraId="06182973"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661" w:type="dxa"/>
            <w:tcBorders>
              <w:top w:val="nil"/>
              <w:left w:val="nil"/>
              <w:bottom w:val="nil"/>
              <w:right w:val="nil"/>
            </w:tcBorders>
            <w:shd w:val="clear" w:color="auto" w:fill="auto"/>
            <w:noWrap/>
            <w:vAlign w:val="bottom"/>
            <w:hideMark/>
          </w:tcPr>
          <w:p w14:paraId="67FAC80A"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407</w:t>
            </w:r>
          </w:p>
        </w:tc>
        <w:tc>
          <w:tcPr>
            <w:tcW w:w="718" w:type="dxa"/>
            <w:vMerge/>
            <w:tcBorders>
              <w:top w:val="nil"/>
              <w:left w:val="nil"/>
              <w:bottom w:val="single" w:sz="4" w:space="0" w:color="000000"/>
              <w:right w:val="nil"/>
            </w:tcBorders>
            <w:vAlign w:val="center"/>
            <w:hideMark/>
          </w:tcPr>
          <w:p w14:paraId="1AD91F5E"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718" w:type="dxa"/>
            <w:vMerge/>
            <w:tcBorders>
              <w:top w:val="nil"/>
              <w:left w:val="nil"/>
              <w:bottom w:val="single" w:sz="4" w:space="0" w:color="000000"/>
              <w:right w:val="nil"/>
            </w:tcBorders>
            <w:vAlign w:val="center"/>
            <w:hideMark/>
          </w:tcPr>
          <w:p w14:paraId="16950F06"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752" w:type="dxa"/>
            <w:tcBorders>
              <w:top w:val="nil"/>
              <w:left w:val="nil"/>
              <w:bottom w:val="nil"/>
              <w:right w:val="nil"/>
            </w:tcBorders>
            <w:shd w:val="clear" w:color="auto" w:fill="auto"/>
            <w:noWrap/>
            <w:vAlign w:val="bottom"/>
            <w:hideMark/>
          </w:tcPr>
          <w:p w14:paraId="6F6E23A8"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246</w:t>
            </w:r>
          </w:p>
        </w:tc>
        <w:tc>
          <w:tcPr>
            <w:tcW w:w="955" w:type="dxa"/>
            <w:tcBorders>
              <w:top w:val="nil"/>
              <w:left w:val="nil"/>
              <w:bottom w:val="nil"/>
              <w:right w:val="single" w:sz="4" w:space="0" w:color="auto"/>
            </w:tcBorders>
            <w:shd w:val="clear" w:color="auto" w:fill="auto"/>
            <w:noWrap/>
            <w:vAlign w:val="bottom"/>
            <w:hideMark/>
          </w:tcPr>
          <w:p w14:paraId="6F5AD2FF"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r>
      <w:tr w:rsidR="001447AC" w:rsidRPr="0021070A" w14:paraId="1E85CEB4" w14:textId="77777777" w:rsidTr="00530505">
        <w:trPr>
          <w:trHeight w:val="300"/>
        </w:trPr>
        <w:tc>
          <w:tcPr>
            <w:tcW w:w="1221" w:type="dxa"/>
            <w:vMerge/>
            <w:tcBorders>
              <w:top w:val="nil"/>
              <w:left w:val="single" w:sz="4" w:space="0" w:color="auto"/>
              <w:bottom w:val="single" w:sz="4" w:space="0" w:color="auto"/>
              <w:right w:val="single" w:sz="4" w:space="0" w:color="auto"/>
            </w:tcBorders>
            <w:vAlign w:val="center"/>
            <w:hideMark/>
          </w:tcPr>
          <w:p w14:paraId="4035C914" w14:textId="77777777" w:rsidR="001447AC" w:rsidRPr="0021070A" w:rsidRDefault="001447AC" w:rsidP="00530505">
            <w:pPr>
              <w:rPr>
                <w:rFonts w:ascii="Calibri" w:eastAsia="Times New Roman" w:hAnsi="Calibri" w:cs="Calibri"/>
                <w:b/>
                <w:bCs/>
                <w:kern w:val="0"/>
                <w:sz w:val="22"/>
                <w:szCs w:val="22"/>
                <w:lang w:val="en-NL" w:eastAsia="en-GB"/>
                <w14:ligatures w14:val="none"/>
              </w:rPr>
            </w:pPr>
          </w:p>
        </w:tc>
        <w:tc>
          <w:tcPr>
            <w:tcW w:w="1387" w:type="dxa"/>
            <w:tcBorders>
              <w:top w:val="nil"/>
              <w:left w:val="nil"/>
              <w:bottom w:val="single" w:sz="4" w:space="0" w:color="auto"/>
              <w:right w:val="single" w:sz="4" w:space="0" w:color="auto"/>
            </w:tcBorders>
            <w:shd w:val="clear" w:color="auto" w:fill="auto"/>
            <w:noWrap/>
            <w:hideMark/>
          </w:tcPr>
          <w:p w14:paraId="6A6FCBE5" w14:textId="77777777" w:rsidR="001447AC" w:rsidRPr="0021070A" w:rsidRDefault="001447AC" w:rsidP="00530505">
            <w:pPr>
              <w:jc w:val="center"/>
              <w:rPr>
                <w:rFonts w:ascii="Calibri" w:eastAsia="Times New Roman" w:hAnsi="Calibri" w:cs="Calibri"/>
                <w:b/>
                <w:bCs/>
                <w:kern w:val="0"/>
                <w:sz w:val="22"/>
                <w:szCs w:val="22"/>
                <w:lang w:val="en-NL" w:eastAsia="en-GB"/>
                <w14:ligatures w14:val="none"/>
              </w:rPr>
            </w:pPr>
            <w:r w:rsidRPr="0021070A">
              <w:rPr>
                <w:rFonts w:ascii="Calibri" w:eastAsia="Times New Roman" w:hAnsi="Calibri" w:cs="Calibri"/>
                <w:b/>
                <w:bCs/>
                <w:kern w:val="0"/>
                <w:sz w:val="22"/>
                <w:szCs w:val="22"/>
                <w:lang w:val="en-NL" w:eastAsia="en-GB"/>
                <w14:ligatures w14:val="none"/>
              </w:rPr>
              <w:t>experience</w:t>
            </w:r>
          </w:p>
        </w:tc>
        <w:tc>
          <w:tcPr>
            <w:tcW w:w="851" w:type="dxa"/>
            <w:tcBorders>
              <w:top w:val="nil"/>
              <w:left w:val="nil"/>
              <w:bottom w:val="single" w:sz="4" w:space="0" w:color="auto"/>
              <w:right w:val="nil"/>
            </w:tcBorders>
            <w:shd w:val="clear" w:color="auto" w:fill="auto"/>
            <w:noWrap/>
            <w:vAlign w:val="bottom"/>
            <w:hideMark/>
          </w:tcPr>
          <w:p w14:paraId="5DEE02E8"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924</w:t>
            </w:r>
          </w:p>
        </w:tc>
        <w:tc>
          <w:tcPr>
            <w:tcW w:w="718" w:type="dxa"/>
            <w:tcBorders>
              <w:top w:val="nil"/>
              <w:left w:val="nil"/>
              <w:bottom w:val="single" w:sz="4" w:space="0" w:color="auto"/>
              <w:right w:val="nil"/>
            </w:tcBorders>
            <w:shd w:val="clear" w:color="auto" w:fill="auto"/>
            <w:noWrap/>
            <w:vAlign w:val="bottom"/>
            <w:hideMark/>
          </w:tcPr>
          <w:p w14:paraId="0EF25BA5"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718" w:type="dxa"/>
            <w:vMerge/>
            <w:tcBorders>
              <w:top w:val="nil"/>
              <w:left w:val="nil"/>
              <w:bottom w:val="single" w:sz="4" w:space="0" w:color="000000"/>
              <w:right w:val="nil"/>
            </w:tcBorders>
            <w:vAlign w:val="center"/>
            <w:hideMark/>
          </w:tcPr>
          <w:p w14:paraId="02B288DC"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598" w:type="dxa"/>
            <w:tcBorders>
              <w:top w:val="nil"/>
              <w:left w:val="nil"/>
              <w:bottom w:val="single" w:sz="4" w:space="0" w:color="auto"/>
              <w:right w:val="nil"/>
            </w:tcBorders>
            <w:shd w:val="clear" w:color="auto" w:fill="auto"/>
            <w:noWrap/>
            <w:vAlign w:val="bottom"/>
            <w:hideMark/>
          </w:tcPr>
          <w:p w14:paraId="16391114"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c>
          <w:tcPr>
            <w:tcW w:w="661" w:type="dxa"/>
            <w:tcBorders>
              <w:top w:val="nil"/>
              <w:left w:val="nil"/>
              <w:bottom w:val="single" w:sz="4" w:space="0" w:color="auto"/>
              <w:right w:val="nil"/>
            </w:tcBorders>
            <w:shd w:val="clear" w:color="auto" w:fill="auto"/>
            <w:noWrap/>
            <w:vAlign w:val="bottom"/>
            <w:hideMark/>
          </w:tcPr>
          <w:p w14:paraId="2650E5BD"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407</w:t>
            </w:r>
          </w:p>
        </w:tc>
        <w:tc>
          <w:tcPr>
            <w:tcW w:w="718" w:type="dxa"/>
            <w:vMerge/>
            <w:tcBorders>
              <w:top w:val="nil"/>
              <w:left w:val="nil"/>
              <w:bottom w:val="single" w:sz="4" w:space="0" w:color="000000"/>
              <w:right w:val="nil"/>
            </w:tcBorders>
            <w:vAlign w:val="center"/>
            <w:hideMark/>
          </w:tcPr>
          <w:p w14:paraId="088A5A5B"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718" w:type="dxa"/>
            <w:vMerge/>
            <w:tcBorders>
              <w:top w:val="nil"/>
              <w:left w:val="nil"/>
              <w:bottom w:val="single" w:sz="4" w:space="0" w:color="000000"/>
              <w:right w:val="nil"/>
            </w:tcBorders>
            <w:vAlign w:val="center"/>
            <w:hideMark/>
          </w:tcPr>
          <w:p w14:paraId="3EB90E9B" w14:textId="77777777" w:rsidR="001447AC" w:rsidRPr="0021070A" w:rsidRDefault="001447AC" w:rsidP="00530505">
            <w:pPr>
              <w:rPr>
                <w:rFonts w:ascii="Calibri" w:eastAsia="Times New Roman" w:hAnsi="Calibri" w:cs="Calibri"/>
                <w:color w:val="000000"/>
                <w:kern w:val="0"/>
                <w:sz w:val="22"/>
                <w:szCs w:val="22"/>
                <w:lang w:val="en-NL" w:eastAsia="en-GB"/>
                <w14:ligatures w14:val="none"/>
              </w:rPr>
            </w:pPr>
          </w:p>
        </w:tc>
        <w:tc>
          <w:tcPr>
            <w:tcW w:w="752" w:type="dxa"/>
            <w:tcBorders>
              <w:top w:val="nil"/>
              <w:left w:val="nil"/>
              <w:bottom w:val="single" w:sz="4" w:space="0" w:color="auto"/>
              <w:right w:val="nil"/>
            </w:tcBorders>
            <w:shd w:val="clear" w:color="auto" w:fill="auto"/>
            <w:noWrap/>
            <w:vAlign w:val="bottom"/>
            <w:hideMark/>
          </w:tcPr>
          <w:p w14:paraId="5C7216F7"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21070A">
              <w:rPr>
                <w:rFonts w:ascii="Calibri" w:eastAsia="Times New Roman" w:hAnsi="Calibri" w:cs="Calibri"/>
                <w:color w:val="000000"/>
                <w:kern w:val="0"/>
                <w:sz w:val="22"/>
                <w:szCs w:val="22"/>
                <w:lang w:val="en-NL" w:eastAsia="en-GB"/>
                <w14:ligatures w14:val="none"/>
              </w:rPr>
              <w:t>263</w:t>
            </w:r>
          </w:p>
        </w:tc>
        <w:tc>
          <w:tcPr>
            <w:tcW w:w="955" w:type="dxa"/>
            <w:tcBorders>
              <w:top w:val="nil"/>
              <w:left w:val="nil"/>
              <w:bottom w:val="single" w:sz="4" w:space="0" w:color="auto"/>
              <w:right w:val="single" w:sz="4" w:space="0" w:color="auto"/>
            </w:tcBorders>
            <w:shd w:val="clear" w:color="auto" w:fill="auto"/>
            <w:noWrap/>
            <w:vAlign w:val="bottom"/>
            <w:hideMark/>
          </w:tcPr>
          <w:p w14:paraId="1FE7E696" w14:textId="77777777" w:rsidR="001447AC" w:rsidRPr="0021070A" w:rsidRDefault="001447AC" w:rsidP="00530505">
            <w:pPr>
              <w:jc w:val="right"/>
              <w:rPr>
                <w:rFonts w:ascii="Calibri" w:eastAsia="Times New Roman" w:hAnsi="Calibri" w:cs="Calibri"/>
                <w:color w:val="000000"/>
                <w:kern w:val="0"/>
                <w:sz w:val="22"/>
                <w:szCs w:val="22"/>
                <w:lang w:val="en-NL" w:eastAsia="en-GB"/>
                <w14:ligatures w14:val="none"/>
              </w:rPr>
            </w:pPr>
            <w:r w:rsidRPr="0021070A">
              <w:rPr>
                <w:rFonts w:ascii="Calibri" w:eastAsia="Times New Roman" w:hAnsi="Calibri" w:cs="Calibri"/>
                <w:color w:val="000000"/>
                <w:kern w:val="0"/>
                <w:sz w:val="22"/>
                <w:szCs w:val="22"/>
                <w:lang w:val="en-NL" w:eastAsia="en-GB"/>
                <w14:ligatures w14:val="none"/>
              </w:rPr>
              <w:t>0</w:t>
            </w:r>
          </w:p>
        </w:tc>
      </w:tr>
    </w:tbl>
    <w:p w14:paraId="11FEAB51" w14:textId="42606248" w:rsidR="001447AC" w:rsidRPr="001447AC" w:rsidRDefault="001447AC" w:rsidP="001447AC">
      <w:pPr>
        <w:pStyle w:val="Caption"/>
      </w:pPr>
      <w:r>
        <w:t xml:space="preserve">Table </w:t>
      </w:r>
      <w:r>
        <w:fldChar w:fldCharType="begin"/>
      </w:r>
      <w:r>
        <w:instrText xml:space="preserve"> SEQ Table \* ARABIC </w:instrText>
      </w:r>
      <w:r>
        <w:fldChar w:fldCharType="separate"/>
      </w:r>
      <w:r>
        <w:rPr>
          <w:noProof/>
        </w:rPr>
        <w:t>3</w:t>
      </w:r>
      <w:r>
        <w:fldChar w:fldCharType="end"/>
      </w:r>
      <w:r>
        <w:t xml:space="preserve">: Robustness Check for the regression of adaptation behavior on awareness, experience, and </w:t>
      </w:r>
      <w:proofErr w:type="spellStart"/>
      <w:r>
        <w:t>floodzone</w:t>
      </w:r>
      <w:proofErr w:type="spellEnd"/>
      <w:r>
        <w:t xml:space="preserve">. </w:t>
      </w:r>
    </w:p>
    <w:p w14:paraId="03B04340" w14:textId="1B7FCBDB" w:rsidR="00A33776" w:rsidRDefault="00A33776" w:rsidP="0087252D">
      <w:pPr>
        <w:jc w:val="both"/>
        <w:rPr>
          <w:rFonts w:eastAsiaTheme="minorEastAsia"/>
        </w:rPr>
      </w:pPr>
      <w:r>
        <w:rPr>
          <w:rFonts w:eastAsiaTheme="minorEastAsia"/>
        </w:rPr>
        <w:t xml:space="preserve">To check for robustness, we iteratively regressed predictors </w:t>
      </w:r>
      <w:r w:rsidR="0087252D">
        <w:rPr>
          <w:rFonts w:eastAsiaTheme="minorEastAsia"/>
        </w:rPr>
        <w:t>on each other (see Figure___). The Variance Inflation Factor is between 1 and 3, not indicating multi collinearity. The T-value (</w:t>
      </w:r>
      <m:oMath>
        <m:r>
          <w:rPr>
            <w:rFonts w:ascii="Cambria Math" w:eastAsiaTheme="minorEastAsia" w:hAnsi="Cambria Math"/>
          </w:rPr>
          <m:t>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87252D">
        <w:rPr>
          <w:rFonts w:eastAsiaTheme="minorEastAsia"/>
        </w:rPr>
        <w:t xml:space="preserve">) is sufficient given the amount of variables deployed </w:t>
      </w:r>
      <w:r w:rsidR="0087252D">
        <w:rPr>
          <w:rFonts w:eastAsiaTheme="minorEastAsia"/>
        </w:rPr>
        <w:fldChar w:fldCharType="begin"/>
      </w:r>
      <w:r w:rsidR="0087252D">
        <w:rPr>
          <w:rFonts w:eastAsiaTheme="minorEastAsia"/>
        </w:rPr>
        <w:instrText xml:space="preserve"> ADDIN ZOTERO_ITEM CSL_CITATION {"citationID":"7iO7aOQp","properties":{"formattedCitation":"(Veall &amp; Zimmermann, 1994)","plainCitation":"(Veall &amp; Zimmermann, 1994)","noteIndex":0},"citationItems":[{"id":1299,"uris":["http://zotero.org/users/10735550/items/I2P6XF2I"],"itemData":{"id":1299,"type":"article-journal","abstract":"Many applied researchers of limited dependent variable models found it disadvantageous that a widely accepted Pseudo-R2 does not exist for this type of estimation. The paper provides guidance for researchers in choosing a Pseudo-R 2 in the binary probit case. The starting point is that R 2 is best understood in the ordinary least squares (OLS) case with continuous data, which is chosen as the reference situation. It is considered which Pseudo-R z is best able to mimic the OLS-R 2. The results are surprisingly clear: a measure suggested by McKelveyZavoina performs the best under our criterion. However, in the more likely case of low PseudoRZ's, a normalization of a measure proposed by Aldrich-Nelson which we suggest is almost as good as the McKelvey-Zavoina, and is in general easier to calculate. We also show that if the underlying R 2 is predicted using cubic regressions given the Pseudo-R 2, all measures perform much better.","container-title":"Quality &amp; Quantity","DOI":"10.1007/BF01102759","ISSN":"0033-5177, 1573-7845","issue":"2","journalAbbreviation":"Qual Quant","language":"en","license":"http://www.springer.com/tdm","page":"151-164","source":"DOI.org (Crossref)","title":"Evaluating Pseudo-R2's for binary probit models","volume":"28","author":[{"family":"Veall","given":"Michael R."},{"family":"Zimmermann","given":"Klaus F."}],"issued":{"date-parts":[["1994",5]]}}}],"schema":"https://github.com/citation-style-language/schema/raw/master/csl-citation.json"} </w:instrText>
      </w:r>
      <w:r w:rsidR="0087252D">
        <w:rPr>
          <w:rFonts w:eastAsiaTheme="minorEastAsia"/>
        </w:rPr>
        <w:fldChar w:fldCharType="separate"/>
      </w:r>
      <w:r w:rsidR="0087252D">
        <w:rPr>
          <w:rFonts w:eastAsiaTheme="minorEastAsia"/>
          <w:noProof/>
        </w:rPr>
        <w:t>(Veall &amp; Zimmermann, 1994)</w:t>
      </w:r>
      <w:r w:rsidR="0087252D">
        <w:rPr>
          <w:rFonts w:eastAsiaTheme="minorEastAsia"/>
        </w:rPr>
        <w:fldChar w:fldCharType="end"/>
      </w:r>
      <w:r w:rsidR="0087252D">
        <w:rPr>
          <w:rFonts w:eastAsiaTheme="minorEastAsia"/>
        </w:rPr>
        <w:t xml:space="preserve">. Recalling section ___EDA, correlation between the variables deployed is relatively high, however, ranging from 0.27 between awareness and perception to 0.55 between real flood risk and perception. Overall, model results seem to not be </w:t>
      </w:r>
      <w:r w:rsidR="00B80AA1">
        <w:rPr>
          <w:rFonts w:eastAsiaTheme="minorEastAsia"/>
        </w:rPr>
        <w:t>biased</w:t>
      </w:r>
      <w:r w:rsidR="0087252D">
        <w:rPr>
          <w:rFonts w:eastAsiaTheme="minorEastAsia"/>
        </w:rPr>
        <w:t xml:space="preserve"> by multi collinearity</w:t>
      </w:r>
      <w:r w:rsidR="00B80AA1">
        <w:rPr>
          <w:rFonts w:eastAsiaTheme="minorEastAsia"/>
        </w:rPr>
        <w:t xml:space="preserve"> among regressors</w:t>
      </w:r>
      <w:r w:rsidR="0087252D">
        <w:rPr>
          <w:rFonts w:eastAsiaTheme="minorEastAsia"/>
        </w:rPr>
        <w:t xml:space="preserve">. </w:t>
      </w:r>
    </w:p>
    <w:p w14:paraId="0D77FA00" w14:textId="77777777" w:rsidR="00052ED9" w:rsidRDefault="00052ED9" w:rsidP="00F9780C">
      <w:pPr>
        <w:jc w:val="both"/>
        <w:rPr>
          <w:rFonts w:eastAsiaTheme="minorEastAsia"/>
        </w:rPr>
      </w:pPr>
    </w:p>
    <w:p w14:paraId="78A89EF9" w14:textId="496B0176" w:rsidR="00CC7F9E" w:rsidRDefault="00052ED9" w:rsidP="00B722CF">
      <w:pPr>
        <w:jc w:val="both"/>
      </w:pPr>
      <w:r>
        <w:rPr>
          <w:rFonts w:eastAsiaTheme="minorEastAsia"/>
        </w:rPr>
        <w:t xml:space="preserve">Perception appears to be the best determinant of adaptation behavior thus far. The multivariate model that is using all three hypothesized determinants of risk perception to predict adaptation behavior is not explaining the data significantly better. Interestingly, risk awareness seems to explain adaptation behavior better than the other determinants </w:t>
      </w:r>
      <w:r w:rsidR="00A33776">
        <w:rPr>
          <w:rFonts w:eastAsiaTheme="minorEastAsia"/>
        </w:rPr>
        <w:t xml:space="preserve">of </w:t>
      </w:r>
      <w:r>
        <w:rPr>
          <w:rFonts w:eastAsiaTheme="minorEastAsia"/>
        </w:rPr>
        <w:t xml:space="preserve">risk perception. The question arises, whether our assumption that risk perception is a </w:t>
      </w:r>
      <w:r>
        <w:rPr>
          <w:rFonts w:eastAsiaTheme="minorEastAsia"/>
        </w:rPr>
        <w:lastRenderedPageBreak/>
        <w:t>function of awareness is correct.</w:t>
      </w:r>
      <w:r w:rsidR="00A33776">
        <w:rPr>
          <w:rFonts w:eastAsiaTheme="minorEastAsia"/>
        </w:rPr>
        <w:t xml:space="preserve"> To check for this assumption, we next regress risk perception on risk awareness, real flood risk and flood experience.</w:t>
      </w:r>
      <w:r>
        <w:rPr>
          <w:rFonts w:eastAsiaTheme="minorEastAsia"/>
        </w:rPr>
        <w:t xml:space="preserve"> </w:t>
      </w:r>
      <w:r>
        <w:t xml:space="preserve"> </w:t>
      </w:r>
    </w:p>
    <w:p w14:paraId="64607DB2" w14:textId="77777777" w:rsidR="00B722CF" w:rsidRDefault="00B722CF" w:rsidP="00B722CF">
      <w:pPr>
        <w:jc w:val="both"/>
      </w:pPr>
    </w:p>
    <w:tbl>
      <w:tblPr>
        <w:tblW w:w="7480" w:type="dxa"/>
        <w:tblLook w:val="04A0" w:firstRow="1" w:lastRow="0" w:firstColumn="1" w:lastColumn="0" w:noHBand="0" w:noVBand="1"/>
      </w:tblPr>
      <w:tblGrid>
        <w:gridCol w:w="1220"/>
        <w:gridCol w:w="1387"/>
        <w:gridCol w:w="800"/>
        <w:gridCol w:w="740"/>
        <w:gridCol w:w="740"/>
        <w:gridCol w:w="598"/>
        <w:gridCol w:w="551"/>
        <w:gridCol w:w="752"/>
        <w:gridCol w:w="955"/>
      </w:tblGrid>
      <w:tr w:rsidR="00CC7F9E" w:rsidRPr="00E87450" w14:paraId="3414136D" w14:textId="77777777" w:rsidTr="00530505">
        <w:trPr>
          <w:trHeight w:val="300"/>
        </w:trPr>
        <w:tc>
          <w:tcPr>
            <w:tcW w:w="1220" w:type="dxa"/>
            <w:tcBorders>
              <w:top w:val="single" w:sz="4" w:space="0" w:color="auto"/>
              <w:left w:val="single" w:sz="4" w:space="0" w:color="auto"/>
              <w:bottom w:val="single" w:sz="4" w:space="0" w:color="auto"/>
              <w:right w:val="single" w:sz="4" w:space="0" w:color="auto"/>
            </w:tcBorders>
            <w:shd w:val="clear" w:color="auto" w:fill="auto"/>
            <w:noWrap/>
            <w:hideMark/>
          </w:tcPr>
          <w:p w14:paraId="77E79CBB" w14:textId="77777777" w:rsidR="00CC7F9E" w:rsidRPr="00E87450" w:rsidRDefault="00CC7F9E" w:rsidP="00530505">
            <w:pPr>
              <w:jc w:val="center"/>
              <w:rPr>
                <w:rFonts w:ascii="Calibri" w:eastAsia="Times New Roman" w:hAnsi="Calibri" w:cs="Calibri"/>
                <w:b/>
                <w:bCs/>
                <w:kern w:val="0"/>
                <w:sz w:val="22"/>
                <w:szCs w:val="22"/>
                <w:lang w:val="en-NL" w:eastAsia="en-GB"/>
                <w14:ligatures w14:val="none"/>
              </w:rPr>
            </w:pPr>
            <w:r w:rsidRPr="00E87450">
              <w:rPr>
                <w:rFonts w:ascii="Calibri" w:eastAsia="Times New Roman" w:hAnsi="Calibri" w:cs="Calibri"/>
                <w:b/>
                <w:bCs/>
                <w:kern w:val="0"/>
                <w:sz w:val="22"/>
                <w:szCs w:val="22"/>
                <w:lang w:val="en-NL" w:eastAsia="en-GB"/>
                <w14:ligatures w14:val="none"/>
              </w:rPr>
              <w:t>dependent</w:t>
            </w:r>
          </w:p>
        </w:tc>
        <w:tc>
          <w:tcPr>
            <w:tcW w:w="1360" w:type="dxa"/>
            <w:tcBorders>
              <w:top w:val="single" w:sz="4" w:space="0" w:color="auto"/>
              <w:left w:val="nil"/>
              <w:bottom w:val="single" w:sz="4" w:space="0" w:color="auto"/>
              <w:right w:val="single" w:sz="4" w:space="0" w:color="auto"/>
            </w:tcBorders>
            <w:shd w:val="clear" w:color="auto" w:fill="auto"/>
            <w:noWrap/>
            <w:hideMark/>
          </w:tcPr>
          <w:p w14:paraId="0B74AFE4" w14:textId="77777777" w:rsidR="00CC7F9E" w:rsidRPr="00E87450" w:rsidRDefault="00CC7F9E" w:rsidP="00530505">
            <w:pPr>
              <w:jc w:val="center"/>
              <w:rPr>
                <w:rFonts w:ascii="Calibri" w:eastAsia="Times New Roman" w:hAnsi="Calibri" w:cs="Calibri"/>
                <w:b/>
                <w:bCs/>
                <w:kern w:val="0"/>
                <w:sz w:val="22"/>
                <w:szCs w:val="22"/>
                <w:lang w:val="en-NL" w:eastAsia="en-GB"/>
                <w14:ligatures w14:val="none"/>
              </w:rPr>
            </w:pPr>
            <w:r w:rsidRPr="00E87450">
              <w:rPr>
                <w:rFonts w:ascii="Calibri" w:eastAsia="Times New Roman" w:hAnsi="Calibri" w:cs="Calibri"/>
                <w:b/>
                <w:bCs/>
                <w:kern w:val="0"/>
                <w:sz w:val="22"/>
                <w:szCs w:val="22"/>
                <w:lang w:val="en-NL" w:eastAsia="en-GB"/>
                <w14:ligatures w14:val="none"/>
              </w:rPr>
              <w:t>independent</w:t>
            </w:r>
          </w:p>
        </w:tc>
        <w:tc>
          <w:tcPr>
            <w:tcW w:w="800" w:type="dxa"/>
            <w:tcBorders>
              <w:top w:val="single" w:sz="4" w:space="0" w:color="auto"/>
              <w:left w:val="nil"/>
              <w:bottom w:val="single" w:sz="4" w:space="0" w:color="auto"/>
              <w:right w:val="single" w:sz="4" w:space="0" w:color="auto"/>
            </w:tcBorders>
            <w:shd w:val="clear" w:color="auto" w:fill="auto"/>
            <w:noWrap/>
            <w:hideMark/>
          </w:tcPr>
          <w:p w14:paraId="168C7E58" w14:textId="77777777" w:rsidR="00CC7F9E" w:rsidRPr="00E87450" w:rsidRDefault="00CC7F9E" w:rsidP="00530505">
            <w:pPr>
              <w:jc w:val="center"/>
              <w:rPr>
                <w:rFonts w:ascii="Calibri" w:eastAsia="Times New Roman" w:hAnsi="Calibri" w:cs="Calibri"/>
                <w:b/>
                <w:bCs/>
                <w:kern w:val="0"/>
                <w:sz w:val="22"/>
                <w:szCs w:val="22"/>
                <w:lang w:val="en-NL" w:eastAsia="en-GB"/>
                <w14:ligatures w14:val="none"/>
              </w:rPr>
            </w:pPr>
            <w:r w:rsidRPr="00E87450">
              <w:rPr>
                <w:rFonts w:ascii="Calibri" w:eastAsia="Times New Roman" w:hAnsi="Calibri" w:cs="Calibri"/>
                <w:b/>
                <w:bCs/>
                <w:kern w:val="0"/>
                <w:sz w:val="22"/>
                <w:szCs w:val="22"/>
                <w:lang w:val="en-NL" w:eastAsia="en-GB"/>
                <w14:ligatures w14:val="none"/>
              </w:rPr>
              <w:t>effect</w:t>
            </w:r>
          </w:p>
        </w:tc>
        <w:tc>
          <w:tcPr>
            <w:tcW w:w="740" w:type="dxa"/>
            <w:tcBorders>
              <w:top w:val="single" w:sz="4" w:space="0" w:color="auto"/>
              <w:left w:val="nil"/>
              <w:bottom w:val="single" w:sz="4" w:space="0" w:color="auto"/>
              <w:right w:val="single" w:sz="4" w:space="0" w:color="auto"/>
            </w:tcBorders>
            <w:shd w:val="clear" w:color="auto" w:fill="auto"/>
            <w:noWrap/>
            <w:hideMark/>
          </w:tcPr>
          <w:p w14:paraId="26D7B882" w14:textId="77777777" w:rsidR="00CC7F9E" w:rsidRPr="00E87450" w:rsidRDefault="00CC7F9E" w:rsidP="00530505">
            <w:pPr>
              <w:jc w:val="center"/>
              <w:rPr>
                <w:rFonts w:ascii="Calibri" w:eastAsia="Times New Roman" w:hAnsi="Calibri" w:cs="Calibri"/>
                <w:b/>
                <w:bCs/>
                <w:kern w:val="0"/>
                <w:sz w:val="22"/>
                <w:szCs w:val="22"/>
                <w:lang w:val="en-NL" w:eastAsia="en-GB"/>
                <w14:ligatures w14:val="none"/>
              </w:rPr>
            </w:pPr>
            <w:r w:rsidRPr="00E87450">
              <w:rPr>
                <w:rFonts w:ascii="Calibri" w:eastAsia="Times New Roman" w:hAnsi="Calibri" w:cs="Calibri"/>
                <w:b/>
                <w:bCs/>
                <w:kern w:val="0"/>
                <w:sz w:val="22"/>
                <w:szCs w:val="22"/>
                <w:lang w:val="en-NL" w:eastAsia="en-GB"/>
                <w14:ligatures w14:val="none"/>
              </w:rPr>
              <w:t>p</w:t>
            </w:r>
          </w:p>
        </w:tc>
        <w:tc>
          <w:tcPr>
            <w:tcW w:w="740" w:type="dxa"/>
            <w:tcBorders>
              <w:top w:val="single" w:sz="4" w:space="0" w:color="auto"/>
              <w:left w:val="nil"/>
              <w:bottom w:val="single" w:sz="4" w:space="0" w:color="auto"/>
              <w:right w:val="single" w:sz="4" w:space="0" w:color="auto"/>
            </w:tcBorders>
            <w:shd w:val="clear" w:color="auto" w:fill="auto"/>
            <w:noWrap/>
            <w:hideMark/>
          </w:tcPr>
          <w:p w14:paraId="3CCE1218" w14:textId="77777777" w:rsidR="00CC7F9E" w:rsidRPr="00E87450" w:rsidRDefault="00CC7F9E" w:rsidP="00530505">
            <w:pPr>
              <w:jc w:val="center"/>
              <w:rPr>
                <w:rFonts w:ascii="Calibri" w:eastAsia="Times New Roman" w:hAnsi="Calibri" w:cs="Calibri"/>
                <w:b/>
                <w:bCs/>
                <w:kern w:val="0"/>
                <w:sz w:val="22"/>
                <w:szCs w:val="22"/>
                <w:lang w:val="en-NL" w:eastAsia="en-GB"/>
                <w14:ligatures w14:val="none"/>
              </w:rPr>
            </w:pPr>
            <w:r w:rsidRPr="00E87450">
              <w:rPr>
                <w:rFonts w:ascii="Calibri" w:eastAsia="Times New Roman" w:hAnsi="Calibri" w:cs="Calibri"/>
                <w:b/>
                <w:bCs/>
                <w:kern w:val="0"/>
                <w:sz w:val="22"/>
                <w:szCs w:val="22"/>
                <w:lang w:val="en-NL" w:eastAsia="en-GB"/>
                <w14:ligatures w14:val="none"/>
              </w:rPr>
              <w:t>R_2</w:t>
            </w:r>
          </w:p>
        </w:tc>
        <w:tc>
          <w:tcPr>
            <w:tcW w:w="540" w:type="dxa"/>
            <w:tcBorders>
              <w:top w:val="single" w:sz="4" w:space="0" w:color="auto"/>
              <w:left w:val="nil"/>
              <w:bottom w:val="single" w:sz="4" w:space="0" w:color="auto"/>
              <w:right w:val="single" w:sz="4" w:space="0" w:color="auto"/>
            </w:tcBorders>
            <w:shd w:val="clear" w:color="auto" w:fill="auto"/>
            <w:noWrap/>
            <w:hideMark/>
          </w:tcPr>
          <w:p w14:paraId="4898E568" w14:textId="77777777" w:rsidR="00CC7F9E" w:rsidRPr="00E87450" w:rsidRDefault="00CC7F9E" w:rsidP="00530505">
            <w:pPr>
              <w:jc w:val="center"/>
              <w:rPr>
                <w:rFonts w:ascii="Calibri" w:eastAsia="Times New Roman" w:hAnsi="Calibri" w:cs="Calibri"/>
                <w:b/>
                <w:bCs/>
                <w:kern w:val="0"/>
                <w:sz w:val="22"/>
                <w:szCs w:val="22"/>
                <w:lang w:val="en-NL" w:eastAsia="en-GB"/>
                <w14:ligatures w14:val="none"/>
              </w:rPr>
            </w:pPr>
            <w:r w:rsidRPr="00E87450">
              <w:rPr>
                <w:rFonts w:ascii="Calibri" w:eastAsia="Times New Roman" w:hAnsi="Calibri" w:cs="Calibri"/>
                <w:b/>
                <w:bCs/>
                <w:kern w:val="0"/>
                <w:sz w:val="22"/>
                <w:szCs w:val="22"/>
                <w:lang w:val="en-NL" w:eastAsia="en-GB"/>
                <w14:ligatures w14:val="none"/>
              </w:rPr>
              <w:t>LLPr</w:t>
            </w:r>
          </w:p>
        </w:tc>
        <w:tc>
          <w:tcPr>
            <w:tcW w:w="500" w:type="dxa"/>
            <w:tcBorders>
              <w:top w:val="single" w:sz="4" w:space="0" w:color="auto"/>
              <w:left w:val="nil"/>
              <w:bottom w:val="single" w:sz="4" w:space="0" w:color="auto"/>
              <w:right w:val="single" w:sz="4" w:space="0" w:color="auto"/>
            </w:tcBorders>
            <w:shd w:val="clear" w:color="auto" w:fill="auto"/>
            <w:noWrap/>
            <w:hideMark/>
          </w:tcPr>
          <w:p w14:paraId="2CA59396" w14:textId="77777777" w:rsidR="00CC7F9E" w:rsidRPr="00E87450" w:rsidRDefault="00CC7F9E" w:rsidP="00530505">
            <w:pPr>
              <w:jc w:val="center"/>
              <w:rPr>
                <w:rFonts w:ascii="Calibri" w:eastAsia="Times New Roman" w:hAnsi="Calibri" w:cs="Calibri"/>
                <w:b/>
                <w:bCs/>
                <w:kern w:val="0"/>
                <w:sz w:val="22"/>
                <w:szCs w:val="22"/>
                <w:lang w:val="en-NL" w:eastAsia="en-GB"/>
                <w14:ligatures w14:val="none"/>
              </w:rPr>
            </w:pPr>
            <w:r w:rsidRPr="00E87450">
              <w:rPr>
                <w:rFonts w:ascii="Calibri" w:eastAsia="Times New Roman" w:hAnsi="Calibri" w:cs="Calibri"/>
                <w:b/>
                <w:bCs/>
                <w:kern w:val="0"/>
                <w:sz w:val="22"/>
                <w:szCs w:val="22"/>
                <w:lang w:val="en-NL" w:eastAsia="en-GB"/>
                <w14:ligatures w14:val="none"/>
              </w:rPr>
              <w:t>BIC</w:t>
            </w:r>
          </w:p>
        </w:tc>
        <w:tc>
          <w:tcPr>
            <w:tcW w:w="740" w:type="dxa"/>
            <w:tcBorders>
              <w:top w:val="single" w:sz="4" w:space="0" w:color="auto"/>
              <w:left w:val="nil"/>
              <w:bottom w:val="single" w:sz="4" w:space="0" w:color="auto"/>
              <w:right w:val="single" w:sz="4" w:space="0" w:color="auto"/>
            </w:tcBorders>
            <w:shd w:val="clear" w:color="auto" w:fill="auto"/>
            <w:noWrap/>
            <w:hideMark/>
          </w:tcPr>
          <w:p w14:paraId="671B9BEF" w14:textId="77777777" w:rsidR="00CC7F9E" w:rsidRPr="00E87450" w:rsidRDefault="00CC7F9E" w:rsidP="00530505">
            <w:pPr>
              <w:jc w:val="center"/>
              <w:rPr>
                <w:rFonts w:ascii="Calibri" w:eastAsia="Times New Roman" w:hAnsi="Calibri" w:cs="Calibri"/>
                <w:b/>
                <w:bCs/>
                <w:kern w:val="0"/>
                <w:sz w:val="22"/>
                <w:szCs w:val="22"/>
                <w:lang w:val="en-NL" w:eastAsia="en-GB"/>
                <w14:ligatures w14:val="none"/>
              </w:rPr>
            </w:pPr>
            <w:r w:rsidRPr="00E87450">
              <w:rPr>
                <w:rFonts w:ascii="Calibri" w:eastAsia="Times New Roman" w:hAnsi="Calibri" w:cs="Calibri"/>
                <w:b/>
                <w:bCs/>
                <w:kern w:val="0"/>
                <w:sz w:val="22"/>
                <w:szCs w:val="22"/>
                <w:lang w:val="en-NL" w:eastAsia="en-GB"/>
                <w14:ligatures w14:val="none"/>
              </w:rPr>
              <w:t>dy/dx</w:t>
            </w:r>
          </w:p>
        </w:tc>
        <w:tc>
          <w:tcPr>
            <w:tcW w:w="840" w:type="dxa"/>
            <w:tcBorders>
              <w:top w:val="single" w:sz="4" w:space="0" w:color="auto"/>
              <w:left w:val="nil"/>
              <w:bottom w:val="single" w:sz="4" w:space="0" w:color="auto"/>
              <w:right w:val="single" w:sz="4" w:space="0" w:color="auto"/>
            </w:tcBorders>
            <w:shd w:val="clear" w:color="auto" w:fill="auto"/>
            <w:noWrap/>
            <w:hideMark/>
          </w:tcPr>
          <w:p w14:paraId="293A13BD" w14:textId="77777777" w:rsidR="00CC7F9E" w:rsidRPr="00E87450" w:rsidRDefault="00CC7F9E" w:rsidP="00530505">
            <w:pPr>
              <w:jc w:val="center"/>
              <w:rPr>
                <w:rFonts w:ascii="Calibri" w:eastAsia="Times New Roman" w:hAnsi="Calibri" w:cs="Calibri"/>
                <w:b/>
                <w:bCs/>
                <w:kern w:val="0"/>
                <w:sz w:val="22"/>
                <w:szCs w:val="22"/>
                <w:lang w:val="en-NL" w:eastAsia="en-GB"/>
                <w14:ligatures w14:val="none"/>
              </w:rPr>
            </w:pPr>
            <w:r w:rsidRPr="00E87450">
              <w:rPr>
                <w:rFonts w:ascii="Calibri" w:eastAsia="Times New Roman" w:hAnsi="Calibri" w:cs="Calibri"/>
                <w:b/>
                <w:bCs/>
                <w:kern w:val="0"/>
                <w:sz w:val="22"/>
                <w:szCs w:val="22"/>
                <w:lang w:val="en-NL" w:eastAsia="en-GB"/>
                <w14:ligatures w14:val="none"/>
              </w:rPr>
              <w:t>Pr(&gt;|z|)</w:t>
            </w:r>
          </w:p>
        </w:tc>
      </w:tr>
      <w:tr w:rsidR="00CC7F9E" w:rsidRPr="00E87450" w14:paraId="04702031" w14:textId="77777777" w:rsidTr="00530505">
        <w:trPr>
          <w:trHeight w:val="300"/>
        </w:trPr>
        <w:tc>
          <w:tcPr>
            <w:tcW w:w="1220" w:type="dxa"/>
            <w:vMerge w:val="restart"/>
            <w:tcBorders>
              <w:top w:val="nil"/>
              <w:left w:val="single" w:sz="4" w:space="0" w:color="auto"/>
              <w:bottom w:val="single" w:sz="4" w:space="0" w:color="auto"/>
              <w:right w:val="single" w:sz="4" w:space="0" w:color="auto"/>
            </w:tcBorders>
            <w:shd w:val="clear" w:color="auto" w:fill="auto"/>
            <w:noWrap/>
            <w:hideMark/>
          </w:tcPr>
          <w:p w14:paraId="013A074E" w14:textId="77777777" w:rsidR="00CC7F9E" w:rsidRPr="00E87450" w:rsidRDefault="00CC7F9E" w:rsidP="00530505">
            <w:pPr>
              <w:jc w:val="center"/>
              <w:rPr>
                <w:rFonts w:ascii="Calibri" w:eastAsia="Times New Roman" w:hAnsi="Calibri" w:cs="Calibri"/>
                <w:b/>
                <w:bCs/>
                <w:kern w:val="0"/>
                <w:sz w:val="22"/>
                <w:szCs w:val="22"/>
                <w:lang w:val="en-NL" w:eastAsia="en-GB"/>
                <w14:ligatures w14:val="none"/>
              </w:rPr>
            </w:pPr>
            <w:r w:rsidRPr="00E87450">
              <w:rPr>
                <w:rFonts w:ascii="Calibri" w:eastAsia="Times New Roman" w:hAnsi="Calibri" w:cs="Calibri"/>
                <w:b/>
                <w:bCs/>
                <w:kern w:val="0"/>
                <w:sz w:val="22"/>
                <w:szCs w:val="22"/>
                <w:lang w:val="en-NL" w:eastAsia="en-GB"/>
                <w14:ligatures w14:val="none"/>
              </w:rPr>
              <w:t xml:space="preserve">perception </w:t>
            </w:r>
          </w:p>
        </w:tc>
        <w:tc>
          <w:tcPr>
            <w:tcW w:w="1360" w:type="dxa"/>
            <w:tcBorders>
              <w:top w:val="nil"/>
              <w:left w:val="nil"/>
              <w:bottom w:val="single" w:sz="4" w:space="0" w:color="auto"/>
              <w:right w:val="single" w:sz="4" w:space="0" w:color="auto"/>
            </w:tcBorders>
            <w:shd w:val="clear" w:color="auto" w:fill="auto"/>
            <w:noWrap/>
            <w:hideMark/>
          </w:tcPr>
          <w:p w14:paraId="2A36F27C" w14:textId="77777777" w:rsidR="00CC7F9E" w:rsidRPr="00E87450" w:rsidRDefault="00CC7F9E" w:rsidP="00530505">
            <w:pPr>
              <w:jc w:val="center"/>
              <w:rPr>
                <w:rFonts w:ascii="Calibri" w:eastAsia="Times New Roman" w:hAnsi="Calibri" w:cs="Calibri"/>
                <w:b/>
                <w:bCs/>
                <w:kern w:val="0"/>
                <w:sz w:val="22"/>
                <w:szCs w:val="22"/>
                <w:lang w:val="en-NL" w:eastAsia="en-GB"/>
                <w14:ligatures w14:val="none"/>
              </w:rPr>
            </w:pPr>
            <w:r w:rsidRPr="00E87450">
              <w:rPr>
                <w:rFonts w:ascii="Calibri" w:eastAsia="Times New Roman" w:hAnsi="Calibri" w:cs="Calibri"/>
                <w:b/>
                <w:bCs/>
                <w:kern w:val="0"/>
                <w:sz w:val="22"/>
                <w:szCs w:val="22"/>
                <w:lang w:val="en-NL" w:eastAsia="en-GB"/>
                <w14:ligatures w14:val="none"/>
              </w:rPr>
              <w:t>Intercept</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19014CE7"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E87450">
              <w:rPr>
                <w:rFonts w:ascii="Calibri" w:eastAsia="Times New Roman" w:hAnsi="Calibri" w:cs="Calibri"/>
                <w:color w:val="000000"/>
                <w:kern w:val="0"/>
                <w:sz w:val="22"/>
                <w:szCs w:val="22"/>
                <w:lang w:val="en-NL" w:eastAsia="en-GB"/>
                <w14:ligatures w14:val="none"/>
              </w:rPr>
              <w:t>516</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FEE54"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p>
        </w:tc>
        <w:tc>
          <w:tcPr>
            <w:tcW w:w="74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4C96FBBF"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E87450">
              <w:rPr>
                <w:rFonts w:ascii="Calibri" w:eastAsia="Times New Roman" w:hAnsi="Calibri" w:cs="Calibri"/>
                <w:color w:val="000000"/>
                <w:kern w:val="0"/>
                <w:sz w:val="22"/>
                <w:szCs w:val="22"/>
                <w:lang w:val="en-NL" w:eastAsia="en-GB"/>
                <w14:ligatures w14:val="none"/>
              </w:rPr>
              <w:t>561</w:t>
            </w:r>
          </w:p>
        </w:tc>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44ADD8"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p>
        </w:tc>
        <w:tc>
          <w:tcPr>
            <w:tcW w:w="50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00CE210C"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387</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D67A36"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p>
        </w:tc>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B53F2" w14:textId="77777777" w:rsidR="00CC7F9E" w:rsidRPr="00E87450" w:rsidRDefault="00CC7F9E" w:rsidP="00530505">
            <w:pPr>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 </w:t>
            </w:r>
          </w:p>
        </w:tc>
      </w:tr>
      <w:tr w:rsidR="00CC7F9E" w:rsidRPr="00E87450" w14:paraId="4FA90600" w14:textId="77777777" w:rsidTr="00530505">
        <w:trPr>
          <w:trHeight w:val="300"/>
        </w:trPr>
        <w:tc>
          <w:tcPr>
            <w:tcW w:w="1220" w:type="dxa"/>
            <w:vMerge/>
            <w:tcBorders>
              <w:top w:val="nil"/>
              <w:left w:val="single" w:sz="4" w:space="0" w:color="auto"/>
              <w:bottom w:val="single" w:sz="4" w:space="0" w:color="auto"/>
              <w:right w:val="single" w:sz="4" w:space="0" w:color="auto"/>
            </w:tcBorders>
            <w:vAlign w:val="center"/>
            <w:hideMark/>
          </w:tcPr>
          <w:p w14:paraId="5C8FB0E5" w14:textId="77777777" w:rsidR="00CC7F9E" w:rsidRPr="00E87450" w:rsidRDefault="00CC7F9E" w:rsidP="00530505">
            <w:pPr>
              <w:rPr>
                <w:rFonts w:ascii="Calibri" w:eastAsia="Times New Roman" w:hAnsi="Calibri" w:cs="Calibri"/>
                <w:b/>
                <w:bCs/>
                <w:kern w:val="0"/>
                <w:sz w:val="22"/>
                <w:szCs w:val="22"/>
                <w:lang w:val="en-NL" w:eastAsia="en-GB"/>
                <w14:ligatures w14:val="none"/>
              </w:rPr>
            </w:pPr>
          </w:p>
        </w:tc>
        <w:tc>
          <w:tcPr>
            <w:tcW w:w="1360" w:type="dxa"/>
            <w:tcBorders>
              <w:top w:val="nil"/>
              <w:left w:val="nil"/>
              <w:bottom w:val="single" w:sz="4" w:space="0" w:color="auto"/>
              <w:right w:val="single" w:sz="4" w:space="0" w:color="auto"/>
            </w:tcBorders>
            <w:shd w:val="clear" w:color="auto" w:fill="auto"/>
            <w:noWrap/>
            <w:hideMark/>
          </w:tcPr>
          <w:p w14:paraId="0F822AC5" w14:textId="77777777" w:rsidR="00CC7F9E" w:rsidRPr="00E87450" w:rsidRDefault="00CC7F9E" w:rsidP="00530505">
            <w:pPr>
              <w:jc w:val="center"/>
              <w:rPr>
                <w:rFonts w:ascii="Calibri" w:eastAsia="Times New Roman" w:hAnsi="Calibri" w:cs="Calibri"/>
                <w:b/>
                <w:bCs/>
                <w:kern w:val="0"/>
                <w:sz w:val="22"/>
                <w:szCs w:val="22"/>
                <w:lang w:val="en-NL" w:eastAsia="en-GB"/>
                <w14:ligatures w14:val="none"/>
              </w:rPr>
            </w:pPr>
            <w:r w:rsidRPr="00E87450">
              <w:rPr>
                <w:rFonts w:ascii="Calibri" w:eastAsia="Times New Roman" w:hAnsi="Calibri" w:cs="Calibri"/>
                <w:b/>
                <w:bCs/>
                <w:kern w:val="0"/>
                <w:sz w:val="22"/>
                <w:szCs w:val="22"/>
                <w:lang w:val="en-NL" w:eastAsia="en-GB"/>
                <w14:ligatures w14:val="none"/>
              </w:rPr>
              <w:t>awareness</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0FAF786C"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E87450">
              <w:rPr>
                <w:rFonts w:ascii="Calibri" w:eastAsia="Times New Roman" w:hAnsi="Calibri" w:cs="Calibri"/>
                <w:color w:val="000000"/>
                <w:kern w:val="0"/>
                <w:sz w:val="22"/>
                <w:szCs w:val="22"/>
                <w:lang w:val="en-NL" w:eastAsia="en-GB"/>
                <w14:ligatures w14:val="none"/>
              </w:rPr>
              <w:t>103</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AB8B31"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E87450">
              <w:rPr>
                <w:rFonts w:ascii="Calibri" w:eastAsia="Times New Roman" w:hAnsi="Calibri" w:cs="Calibri"/>
                <w:color w:val="000000"/>
                <w:kern w:val="0"/>
                <w:sz w:val="22"/>
                <w:szCs w:val="22"/>
                <w:lang w:val="en-NL" w:eastAsia="en-GB"/>
                <w14:ligatures w14:val="none"/>
              </w:rPr>
              <w:t>525</w:t>
            </w:r>
          </w:p>
        </w:tc>
        <w:tc>
          <w:tcPr>
            <w:tcW w:w="740" w:type="dxa"/>
            <w:vMerge/>
            <w:tcBorders>
              <w:top w:val="nil"/>
              <w:left w:val="single" w:sz="4" w:space="0" w:color="auto"/>
              <w:bottom w:val="single" w:sz="4" w:space="0" w:color="000000"/>
              <w:right w:val="single" w:sz="4" w:space="0" w:color="auto"/>
            </w:tcBorders>
            <w:vAlign w:val="center"/>
            <w:hideMark/>
          </w:tcPr>
          <w:p w14:paraId="2507CD57" w14:textId="77777777" w:rsidR="00CC7F9E" w:rsidRPr="00E87450" w:rsidRDefault="00CC7F9E" w:rsidP="00530505">
            <w:pPr>
              <w:rPr>
                <w:rFonts w:ascii="Calibri" w:eastAsia="Times New Roman" w:hAnsi="Calibri" w:cs="Calibri"/>
                <w:color w:val="000000"/>
                <w:kern w:val="0"/>
                <w:sz w:val="22"/>
                <w:szCs w:val="22"/>
                <w:lang w:val="en-NL" w:eastAsia="en-GB"/>
                <w14:ligatures w14:val="none"/>
              </w:rPr>
            </w:pPr>
          </w:p>
        </w:tc>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D43B8"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p>
        </w:tc>
        <w:tc>
          <w:tcPr>
            <w:tcW w:w="500" w:type="dxa"/>
            <w:vMerge/>
            <w:tcBorders>
              <w:top w:val="nil"/>
              <w:left w:val="single" w:sz="4" w:space="0" w:color="auto"/>
              <w:bottom w:val="single" w:sz="4" w:space="0" w:color="000000"/>
              <w:right w:val="single" w:sz="4" w:space="0" w:color="auto"/>
            </w:tcBorders>
            <w:vAlign w:val="center"/>
            <w:hideMark/>
          </w:tcPr>
          <w:p w14:paraId="0FFBBDC4" w14:textId="77777777" w:rsidR="00CC7F9E" w:rsidRPr="00E87450" w:rsidRDefault="00CC7F9E" w:rsidP="00530505">
            <w:pPr>
              <w:rPr>
                <w:rFonts w:ascii="Calibri" w:eastAsia="Times New Roman" w:hAnsi="Calibri" w:cs="Calibri"/>
                <w:color w:val="000000"/>
                <w:kern w:val="0"/>
                <w:sz w:val="22"/>
                <w:szCs w:val="22"/>
                <w:lang w:val="en-NL" w:eastAsia="en-GB"/>
                <w14:ligatures w14:val="none"/>
              </w:rPr>
            </w:pP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ABCC76"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E87450">
              <w:rPr>
                <w:rFonts w:ascii="Calibri" w:eastAsia="Times New Roman" w:hAnsi="Calibri" w:cs="Calibri"/>
                <w:color w:val="000000"/>
                <w:kern w:val="0"/>
                <w:sz w:val="22"/>
                <w:szCs w:val="22"/>
                <w:lang w:val="en-NL" w:eastAsia="en-GB"/>
                <w14:ligatures w14:val="none"/>
              </w:rPr>
              <w:t>027</w:t>
            </w:r>
          </w:p>
        </w:tc>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FB6EA"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E87450">
              <w:rPr>
                <w:rFonts w:ascii="Calibri" w:eastAsia="Times New Roman" w:hAnsi="Calibri" w:cs="Calibri"/>
                <w:color w:val="000000"/>
                <w:kern w:val="0"/>
                <w:sz w:val="22"/>
                <w:szCs w:val="22"/>
                <w:lang w:val="en-NL" w:eastAsia="en-GB"/>
                <w14:ligatures w14:val="none"/>
              </w:rPr>
              <w:t>524</w:t>
            </w:r>
          </w:p>
        </w:tc>
      </w:tr>
      <w:tr w:rsidR="00CC7F9E" w:rsidRPr="00E87450" w14:paraId="52FCF383" w14:textId="77777777" w:rsidTr="00530505">
        <w:trPr>
          <w:trHeight w:val="300"/>
        </w:trPr>
        <w:tc>
          <w:tcPr>
            <w:tcW w:w="1220" w:type="dxa"/>
            <w:vMerge/>
            <w:tcBorders>
              <w:top w:val="nil"/>
              <w:left w:val="single" w:sz="4" w:space="0" w:color="auto"/>
              <w:bottom w:val="single" w:sz="4" w:space="0" w:color="auto"/>
              <w:right w:val="single" w:sz="4" w:space="0" w:color="auto"/>
            </w:tcBorders>
            <w:vAlign w:val="center"/>
            <w:hideMark/>
          </w:tcPr>
          <w:p w14:paraId="2258036C" w14:textId="77777777" w:rsidR="00CC7F9E" w:rsidRPr="00E87450" w:rsidRDefault="00CC7F9E" w:rsidP="00530505">
            <w:pPr>
              <w:rPr>
                <w:rFonts w:ascii="Calibri" w:eastAsia="Times New Roman" w:hAnsi="Calibri" w:cs="Calibri"/>
                <w:b/>
                <w:bCs/>
                <w:kern w:val="0"/>
                <w:sz w:val="22"/>
                <w:szCs w:val="22"/>
                <w:lang w:val="en-NL" w:eastAsia="en-GB"/>
                <w14:ligatures w14:val="none"/>
              </w:rPr>
            </w:pPr>
          </w:p>
        </w:tc>
        <w:tc>
          <w:tcPr>
            <w:tcW w:w="1360" w:type="dxa"/>
            <w:tcBorders>
              <w:top w:val="nil"/>
              <w:left w:val="nil"/>
              <w:bottom w:val="single" w:sz="4" w:space="0" w:color="auto"/>
              <w:right w:val="single" w:sz="4" w:space="0" w:color="auto"/>
            </w:tcBorders>
            <w:shd w:val="clear" w:color="auto" w:fill="auto"/>
            <w:noWrap/>
            <w:hideMark/>
          </w:tcPr>
          <w:p w14:paraId="2587FC69" w14:textId="77777777" w:rsidR="00CC7F9E" w:rsidRPr="00E87450" w:rsidRDefault="00CC7F9E" w:rsidP="00530505">
            <w:pPr>
              <w:jc w:val="center"/>
              <w:rPr>
                <w:rFonts w:ascii="Calibri" w:eastAsia="Times New Roman" w:hAnsi="Calibri" w:cs="Calibri"/>
                <w:b/>
                <w:bCs/>
                <w:kern w:val="0"/>
                <w:sz w:val="22"/>
                <w:szCs w:val="22"/>
                <w:lang w:val="en-NL" w:eastAsia="en-GB"/>
                <w14:ligatures w14:val="none"/>
              </w:rPr>
            </w:pPr>
            <w:r w:rsidRPr="00E87450">
              <w:rPr>
                <w:rFonts w:ascii="Calibri" w:eastAsia="Times New Roman" w:hAnsi="Calibri" w:cs="Calibri"/>
                <w:b/>
                <w:bCs/>
                <w:kern w:val="0"/>
                <w:sz w:val="22"/>
                <w:szCs w:val="22"/>
                <w:lang w:val="en-NL" w:eastAsia="en-GB"/>
                <w14:ligatures w14:val="none"/>
              </w:rPr>
              <w:t>experience</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6CEB0822"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E87450">
              <w:rPr>
                <w:rFonts w:ascii="Calibri" w:eastAsia="Times New Roman" w:hAnsi="Calibri" w:cs="Calibri"/>
                <w:color w:val="000000"/>
                <w:kern w:val="0"/>
                <w:sz w:val="22"/>
                <w:szCs w:val="22"/>
                <w:lang w:val="en-NL" w:eastAsia="en-GB"/>
                <w14:ligatures w14:val="none"/>
              </w:rPr>
              <w:t>896</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3DED7"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p>
        </w:tc>
        <w:tc>
          <w:tcPr>
            <w:tcW w:w="740" w:type="dxa"/>
            <w:vMerge/>
            <w:tcBorders>
              <w:top w:val="nil"/>
              <w:left w:val="single" w:sz="4" w:space="0" w:color="auto"/>
              <w:bottom w:val="single" w:sz="4" w:space="0" w:color="000000"/>
              <w:right w:val="single" w:sz="4" w:space="0" w:color="auto"/>
            </w:tcBorders>
            <w:vAlign w:val="center"/>
            <w:hideMark/>
          </w:tcPr>
          <w:p w14:paraId="1CA89388" w14:textId="77777777" w:rsidR="00CC7F9E" w:rsidRPr="00E87450" w:rsidRDefault="00CC7F9E" w:rsidP="00530505">
            <w:pPr>
              <w:rPr>
                <w:rFonts w:ascii="Calibri" w:eastAsia="Times New Roman" w:hAnsi="Calibri" w:cs="Calibri"/>
                <w:color w:val="000000"/>
                <w:kern w:val="0"/>
                <w:sz w:val="22"/>
                <w:szCs w:val="22"/>
                <w:lang w:val="en-NL" w:eastAsia="en-GB"/>
                <w14:ligatures w14:val="none"/>
              </w:rPr>
            </w:pPr>
          </w:p>
        </w:tc>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08F71"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p>
        </w:tc>
        <w:tc>
          <w:tcPr>
            <w:tcW w:w="500" w:type="dxa"/>
            <w:vMerge/>
            <w:tcBorders>
              <w:top w:val="nil"/>
              <w:left w:val="single" w:sz="4" w:space="0" w:color="auto"/>
              <w:bottom w:val="single" w:sz="4" w:space="0" w:color="000000"/>
              <w:right w:val="single" w:sz="4" w:space="0" w:color="auto"/>
            </w:tcBorders>
            <w:vAlign w:val="center"/>
            <w:hideMark/>
          </w:tcPr>
          <w:p w14:paraId="03FB9D06" w14:textId="77777777" w:rsidR="00CC7F9E" w:rsidRPr="00E87450" w:rsidRDefault="00CC7F9E" w:rsidP="00530505">
            <w:pPr>
              <w:rPr>
                <w:rFonts w:ascii="Calibri" w:eastAsia="Times New Roman" w:hAnsi="Calibri" w:cs="Calibri"/>
                <w:color w:val="000000"/>
                <w:kern w:val="0"/>
                <w:sz w:val="22"/>
                <w:szCs w:val="22"/>
                <w:lang w:val="en-NL" w:eastAsia="en-GB"/>
                <w14:ligatures w14:val="none"/>
              </w:rPr>
            </w:pP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C3A0C8"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E87450">
              <w:rPr>
                <w:rFonts w:ascii="Calibri" w:eastAsia="Times New Roman" w:hAnsi="Calibri" w:cs="Calibri"/>
                <w:color w:val="000000"/>
                <w:kern w:val="0"/>
                <w:sz w:val="22"/>
                <w:szCs w:val="22"/>
                <w:lang w:val="en-NL" w:eastAsia="en-GB"/>
                <w14:ligatures w14:val="none"/>
              </w:rPr>
              <w:t>238</w:t>
            </w:r>
          </w:p>
        </w:tc>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BFBEF"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p>
        </w:tc>
      </w:tr>
      <w:tr w:rsidR="00CC7F9E" w:rsidRPr="00E87450" w14:paraId="7B2CA2D5" w14:textId="77777777" w:rsidTr="00530505">
        <w:trPr>
          <w:trHeight w:val="300"/>
        </w:trPr>
        <w:tc>
          <w:tcPr>
            <w:tcW w:w="1220" w:type="dxa"/>
            <w:vMerge/>
            <w:tcBorders>
              <w:top w:val="nil"/>
              <w:left w:val="single" w:sz="4" w:space="0" w:color="auto"/>
              <w:bottom w:val="single" w:sz="4" w:space="0" w:color="auto"/>
              <w:right w:val="single" w:sz="4" w:space="0" w:color="auto"/>
            </w:tcBorders>
            <w:vAlign w:val="center"/>
            <w:hideMark/>
          </w:tcPr>
          <w:p w14:paraId="4D16D3D0" w14:textId="77777777" w:rsidR="00CC7F9E" w:rsidRPr="00E87450" w:rsidRDefault="00CC7F9E" w:rsidP="00530505">
            <w:pPr>
              <w:rPr>
                <w:rFonts w:ascii="Calibri" w:eastAsia="Times New Roman" w:hAnsi="Calibri" w:cs="Calibri"/>
                <w:b/>
                <w:bCs/>
                <w:kern w:val="0"/>
                <w:sz w:val="22"/>
                <w:szCs w:val="22"/>
                <w:lang w:val="en-NL" w:eastAsia="en-GB"/>
                <w14:ligatures w14:val="none"/>
              </w:rPr>
            </w:pPr>
          </w:p>
        </w:tc>
        <w:tc>
          <w:tcPr>
            <w:tcW w:w="1360" w:type="dxa"/>
            <w:tcBorders>
              <w:top w:val="nil"/>
              <w:left w:val="nil"/>
              <w:bottom w:val="single" w:sz="4" w:space="0" w:color="auto"/>
              <w:right w:val="single" w:sz="4" w:space="0" w:color="auto"/>
            </w:tcBorders>
            <w:shd w:val="clear" w:color="auto" w:fill="auto"/>
            <w:noWrap/>
            <w:hideMark/>
          </w:tcPr>
          <w:p w14:paraId="7FC8A9A0" w14:textId="77777777" w:rsidR="00CC7F9E" w:rsidRPr="00E87450" w:rsidRDefault="00CC7F9E" w:rsidP="00530505">
            <w:pPr>
              <w:jc w:val="center"/>
              <w:rPr>
                <w:rFonts w:ascii="Calibri" w:eastAsia="Times New Roman" w:hAnsi="Calibri" w:cs="Calibri"/>
                <w:b/>
                <w:bCs/>
                <w:kern w:val="0"/>
                <w:sz w:val="22"/>
                <w:szCs w:val="22"/>
                <w:lang w:val="en-NL" w:eastAsia="en-GB"/>
                <w14:ligatures w14:val="none"/>
              </w:rPr>
            </w:pPr>
            <w:r w:rsidRPr="00E87450">
              <w:rPr>
                <w:rFonts w:ascii="Calibri" w:eastAsia="Times New Roman" w:hAnsi="Calibri" w:cs="Calibri"/>
                <w:b/>
                <w:bCs/>
                <w:kern w:val="0"/>
                <w:sz w:val="22"/>
                <w:szCs w:val="22"/>
                <w:lang w:val="en-NL" w:eastAsia="en-GB"/>
                <w14:ligatures w14:val="none"/>
              </w:rPr>
              <w:t>floodzone</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502061E0"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1</w:t>
            </w:r>
            <w:r>
              <w:rPr>
                <w:rFonts w:ascii="Calibri" w:eastAsia="Times New Roman" w:hAnsi="Calibri" w:cs="Calibri"/>
                <w:color w:val="000000"/>
                <w:kern w:val="0"/>
                <w:sz w:val="22"/>
                <w:szCs w:val="22"/>
                <w:lang w:val="en-NL" w:eastAsia="en-GB"/>
                <w14:ligatures w14:val="none"/>
              </w:rPr>
              <w:t>.</w:t>
            </w:r>
            <w:r w:rsidRPr="00E87450">
              <w:rPr>
                <w:rFonts w:ascii="Calibri" w:eastAsia="Times New Roman" w:hAnsi="Calibri" w:cs="Calibri"/>
                <w:color w:val="000000"/>
                <w:kern w:val="0"/>
                <w:sz w:val="22"/>
                <w:szCs w:val="22"/>
                <w:lang w:val="en-NL" w:eastAsia="en-GB"/>
                <w14:ligatures w14:val="none"/>
              </w:rPr>
              <w:t>876</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57A6DF"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p>
        </w:tc>
        <w:tc>
          <w:tcPr>
            <w:tcW w:w="740" w:type="dxa"/>
            <w:vMerge/>
            <w:tcBorders>
              <w:top w:val="nil"/>
              <w:left w:val="single" w:sz="4" w:space="0" w:color="auto"/>
              <w:bottom w:val="single" w:sz="4" w:space="0" w:color="000000"/>
              <w:right w:val="single" w:sz="4" w:space="0" w:color="auto"/>
            </w:tcBorders>
            <w:vAlign w:val="center"/>
            <w:hideMark/>
          </w:tcPr>
          <w:p w14:paraId="0EA959FC" w14:textId="77777777" w:rsidR="00CC7F9E" w:rsidRPr="00E87450" w:rsidRDefault="00CC7F9E" w:rsidP="00530505">
            <w:pPr>
              <w:rPr>
                <w:rFonts w:ascii="Calibri" w:eastAsia="Times New Roman" w:hAnsi="Calibri" w:cs="Calibri"/>
                <w:color w:val="000000"/>
                <w:kern w:val="0"/>
                <w:sz w:val="22"/>
                <w:szCs w:val="22"/>
                <w:lang w:val="en-NL" w:eastAsia="en-GB"/>
                <w14:ligatures w14:val="none"/>
              </w:rPr>
            </w:pPr>
          </w:p>
        </w:tc>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EDC907"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p>
        </w:tc>
        <w:tc>
          <w:tcPr>
            <w:tcW w:w="500" w:type="dxa"/>
            <w:vMerge/>
            <w:tcBorders>
              <w:top w:val="nil"/>
              <w:left w:val="single" w:sz="4" w:space="0" w:color="auto"/>
              <w:bottom w:val="single" w:sz="4" w:space="0" w:color="000000"/>
              <w:right w:val="single" w:sz="4" w:space="0" w:color="auto"/>
            </w:tcBorders>
            <w:vAlign w:val="center"/>
            <w:hideMark/>
          </w:tcPr>
          <w:p w14:paraId="6A45D906" w14:textId="77777777" w:rsidR="00CC7F9E" w:rsidRPr="00E87450" w:rsidRDefault="00CC7F9E" w:rsidP="00530505">
            <w:pPr>
              <w:rPr>
                <w:rFonts w:ascii="Calibri" w:eastAsia="Times New Roman" w:hAnsi="Calibri" w:cs="Calibri"/>
                <w:color w:val="000000"/>
                <w:kern w:val="0"/>
                <w:sz w:val="22"/>
                <w:szCs w:val="22"/>
                <w:lang w:val="en-NL" w:eastAsia="en-GB"/>
                <w14:ligatures w14:val="none"/>
              </w:rPr>
            </w:pP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A39FF6"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r>
              <w:rPr>
                <w:rFonts w:ascii="Calibri" w:eastAsia="Times New Roman" w:hAnsi="Calibri" w:cs="Calibri"/>
                <w:color w:val="000000"/>
                <w:kern w:val="0"/>
                <w:sz w:val="22"/>
                <w:szCs w:val="22"/>
                <w:lang w:val="en-NL" w:eastAsia="en-GB"/>
                <w14:ligatures w14:val="none"/>
              </w:rPr>
              <w:t>.</w:t>
            </w:r>
            <w:r w:rsidRPr="00E87450">
              <w:rPr>
                <w:rFonts w:ascii="Calibri" w:eastAsia="Times New Roman" w:hAnsi="Calibri" w:cs="Calibri"/>
                <w:color w:val="000000"/>
                <w:kern w:val="0"/>
                <w:sz w:val="22"/>
                <w:szCs w:val="22"/>
                <w:lang w:val="en-NL" w:eastAsia="en-GB"/>
                <w14:ligatures w14:val="none"/>
              </w:rPr>
              <w:t>499</w:t>
            </w:r>
          </w:p>
        </w:tc>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3C5F9B" w14:textId="77777777" w:rsidR="00CC7F9E" w:rsidRPr="00E87450" w:rsidRDefault="00CC7F9E" w:rsidP="00530505">
            <w:pPr>
              <w:jc w:val="right"/>
              <w:rPr>
                <w:rFonts w:ascii="Calibri" w:eastAsia="Times New Roman" w:hAnsi="Calibri" w:cs="Calibri"/>
                <w:color w:val="000000"/>
                <w:kern w:val="0"/>
                <w:sz w:val="22"/>
                <w:szCs w:val="22"/>
                <w:lang w:val="en-NL" w:eastAsia="en-GB"/>
                <w14:ligatures w14:val="none"/>
              </w:rPr>
            </w:pPr>
            <w:r w:rsidRPr="00E87450">
              <w:rPr>
                <w:rFonts w:ascii="Calibri" w:eastAsia="Times New Roman" w:hAnsi="Calibri" w:cs="Calibri"/>
                <w:color w:val="000000"/>
                <w:kern w:val="0"/>
                <w:sz w:val="22"/>
                <w:szCs w:val="22"/>
                <w:lang w:val="en-NL" w:eastAsia="en-GB"/>
                <w14:ligatures w14:val="none"/>
              </w:rPr>
              <w:t>0</w:t>
            </w:r>
          </w:p>
        </w:tc>
      </w:tr>
    </w:tbl>
    <w:p w14:paraId="7A6FCA4C" w14:textId="77777777" w:rsidR="00CC7F9E" w:rsidRDefault="00CC7F9E" w:rsidP="00CC7F9E">
      <w:pPr>
        <w:pStyle w:val="Caption"/>
      </w:pPr>
      <w:r>
        <w:t xml:space="preserve">Table </w:t>
      </w:r>
      <w:r>
        <w:fldChar w:fldCharType="begin"/>
      </w:r>
      <w:r>
        <w:instrText xml:space="preserve"> SEQ Table \* ARABIC </w:instrText>
      </w:r>
      <w:r>
        <w:fldChar w:fldCharType="separate"/>
      </w:r>
      <w:r>
        <w:rPr>
          <w:noProof/>
        </w:rPr>
        <w:t>4</w:t>
      </w:r>
      <w:r>
        <w:fldChar w:fldCharType="end"/>
      </w:r>
      <w:r>
        <w:t>: Predicting flood risk perception through awareness, experience, and flood zone</w:t>
      </w:r>
    </w:p>
    <w:p w14:paraId="2DB0CEA8" w14:textId="4EF92C35" w:rsidR="00CC7F9E" w:rsidRDefault="00CC7F9E" w:rsidP="00CC7F9E">
      <w:pPr>
        <w:jc w:val="both"/>
      </w:pPr>
      <w:r>
        <w:t xml:space="preserve">Awareness is not predicting risk perception (p = 0.525). The finding is in line with the low correlation of 0.27 between awareness and perception </w:t>
      </w:r>
      <w:r w:rsidRPr="00F15838">
        <w:rPr>
          <w:i/>
          <w:iCs/>
        </w:rPr>
        <w:t>(see section EDA</w:t>
      </w:r>
      <w:r>
        <w:t xml:space="preserve">). However, the regression of </w:t>
      </w:r>
      <w:r w:rsidR="00EF6FA9">
        <w:t>awareness on perception</w:t>
      </w:r>
      <w:r>
        <w:t xml:space="preserve"> is statistically significant, </w:t>
      </w:r>
      <w:r w:rsidR="00A33776">
        <w:t xml:space="preserve">further indicating reverse causalities between the two variables. </w:t>
      </w:r>
    </w:p>
    <w:p w14:paraId="55217B65" w14:textId="77777777" w:rsidR="00A33776" w:rsidRDefault="00A33776" w:rsidP="00CC7F9E">
      <w:pPr>
        <w:jc w:val="both"/>
      </w:pPr>
    </w:p>
    <w:p w14:paraId="7213D7D2" w14:textId="3F5DCF44" w:rsidR="00A33776" w:rsidRDefault="004E5AE3" w:rsidP="00CC7F9E">
      <w:pPr>
        <w:jc w:val="both"/>
      </w:pPr>
      <w:r>
        <w:t>In light</w:t>
      </w:r>
      <w:r w:rsidR="00A33776">
        <w:t xml:space="preserve"> these results, we can </w:t>
      </w:r>
      <w:r>
        <w:t xml:space="preserve">slightly </w:t>
      </w:r>
      <w:r w:rsidR="00B74911">
        <w:t xml:space="preserve">revise </w:t>
      </w:r>
      <w:r w:rsidR="00A33776">
        <w:t xml:space="preserve">our simple model. </w:t>
      </w:r>
      <w:r>
        <w:t>Perception seems to predict awareness</w:t>
      </w:r>
      <w:r w:rsidR="00EE0ED5">
        <w:t xml:space="preserve"> but not vice versa</w:t>
      </w:r>
      <w:r>
        <w:t xml:space="preserve">. Both, prediction and awareness proved reliable </w:t>
      </w:r>
      <w:r w:rsidR="00EE0ED5">
        <w:t>determinants</w:t>
      </w:r>
      <w:r>
        <w:t xml:space="preserve"> of adaptation behavior. Real flood risk and flood experience seem to play only an indirect role in household-level adaptation decisions. We thus revise Equation 2 in our simple model to the following (see also Figure___).</w:t>
      </w:r>
    </w:p>
    <w:p w14:paraId="0281B55D" w14:textId="77777777" w:rsidR="004E5AE3" w:rsidRDefault="004E5AE3" w:rsidP="00CC7F9E">
      <w:pPr>
        <w:jc w:val="both"/>
      </w:pPr>
    </w:p>
    <w:p w14:paraId="550486C4" w14:textId="77777777" w:rsidR="004E5AE3" w:rsidRDefault="004E5AE3" w:rsidP="004E5AE3">
      <w:pPr>
        <w:rPr>
          <w:rFonts w:eastAsiaTheme="minorEastAsia"/>
          <w:sz w:val="22"/>
          <w:szCs w:val="22"/>
        </w:rPr>
      </w:pPr>
      <w:r>
        <w:rPr>
          <w:rFonts w:eastAsiaTheme="minorEastAsia"/>
          <w:sz w:val="22"/>
          <w:szCs w:val="22"/>
        </w:rPr>
        <w:t xml:space="preserve">Eq1: </w:t>
      </w:r>
      <m:oMath>
        <m:r>
          <m:rPr>
            <m:sty m:val="p"/>
          </m:rPr>
          <w:rPr>
            <w:rFonts w:ascii="Cambria Math" w:eastAsiaTheme="minorEastAsia" w:hAnsi="Cambria Math"/>
            <w:sz w:val="22"/>
            <w:szCs w:val="22"/>
          </w:rPr>
          <m:t>α</m:t>
        </m:r>
        <m:r>
          <w:rPr>
            <w:rFonts w:ascii="Cambria Math" w:eastAsiaTheme="minorEastAsia" w:hAnsi="Cambria Math"/>
            <w:sz w:val="22"/>
            <w:szCs w:val="22"/>
          </w:rPr>
          <m:t>=π*</m:t>
        </m:r>
        <m:sSub>
          <m:sSubPr>
            <m:ctrlPr>
              <w:rPr>
                <w:rFonts w:ascii="Cambria Math" w:eastAsiaTheme="minorEastAsia" w:hAnsi="Cambria Math"/>
                <w:i/>
                <w:sz w:val="22"/>
                <w:szCs w:val="22"/>
              </w:rPr>
            </m:ctrlPr>
          </m:sSubPr>
          <m:e>
            <m:r>
              <w:rPr>
                <w:rFonts w:ascii="Cambria Math" w:eastAsiaTheme="minorEastAsia" w:hAnsi="Cambria Math"/>
                <w:sz w:val="22"/>
                <w:szCs w:val="22"/>
              </w:rPr>
              <m:t>(c</m:t>
            </m:r>
          </m:e>
          <m:sub>
            <m:r>
              <w:rPr>
                <w:rFonts w:ascii="Cambria Math" w:eastAsiaTheme="minorEastAsia" w:hAnsi="Cambria Math"/>
                <w:sz w:val="22"/>
                <w:szCs w:val="22"/>
              </w:rPr>
              <m:t>f</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c</m:t>
            </m:r>
          </m:e>
          <m:sub>
            <m:r>
              <w:rPr>
                <w:rFonts w:ascii="Cambria Math" w:eastAsiaTheme="minorEastAsia" w:hAnsi="Cambria Math"/>
                <w:sz w:val="22"/>
                <w:szCs w:val="22"/>
              </w:rPr>
              <m:t>α</m:t>
            </m:r>
          </m:sub>
        </m:sSub>
        <m:r>
          <w:rPr>
            <w:rFonts w:ascii="Cambria Math" w:eastAsiaTheme="minorEastAsia" w:hAnsi="Cambria Math"/>
            <w:sz w:val="22"/>
            <w:szCs w:val="22"/>
          </w:rPr>
          <m:t>)</m:t>
        </m:r>
      </m:oMath>
    </w:p>
    <w:p w14:paraId="6FB4CCDF" w14:textId="2BD99037" w:rsidR="004E5AE3" w:rsidRPr="00301296" w:rsidRDefault="004E5AE3" w:rsidP="004E5AE3">
      <w:pPr>
        <w:rPr>
          <w:rFonts w:eastAsiaTheme="minorEastAsia"/>
          <w:sz w:val="22"/>
          <w:szCs w:val="22"/>
        </w:rPr>
      </w:pPr>
      <w:r>
        <w:rPr>
          <w:rFonts w:eastAsiaTheme="minorEastAsia"/>
          <w:sz w:val="22"/>
          <w:szCs w:val="22"/>
        </w:rPr>
        <w:t xml:space="preserve">Eq2: </w:t>
      </w:r>
      <m:oMath>
        <m:r>
          <w:rPr>
            <w:rFonts w:ascii="Cambria Math" w:eastAsiaTheme="minorEastAsia" w:hAnsi="Cambria Math"/>
            <w:sz w:val="22"/>
            <w:szCs w:val="22"/>
          </w:rPr>
          <m:t>a=f</m:t>
        </m:r>
        <m:d>
          <m:dPr>
            <m:ctrlPr>
              <w:rPr>
                <w:rFonts w:ascii="Cambria Math" w:eastAsiaTheme="minorEastAsia" w:hAnsi="Cambria Math"/>
                <w:i/>
                <w:sz w:val="22"/>
                <w:szCs w:val="22"/>
              </w:rPr>
            </m:ctrlPr>
          </m:dPr>
          <m:e>
            <m:r>
              <w:rPr>
                <w:rFonts w:ascii="Cambria Math" w:eastAsiaTheme="minorEastAsia" w:hAnsi="Cambria Math"/>
                <w:sz w:val="22"/>
                <w:szCs w:val="22"/>
              </w:rPr>
              <m:t>π</m:t>
            </m:r>
          </m:e>
        </m:d>
      </m:oMath>
      <w:r>
        <w:rPr>
          <w:rFonts w:eastAsiaTheme="minorEastAsia"/>
          <w:sz w:val="22"/>
          <w:szCs w:val="22"/>
        </w:rPr>
        <w:t xml:space="preserve">, where </w:t>
      </w:r>
      <m:oMath>
        <m:r>
          <w:rPr>
            <w:rFonts w:ascii="Cambria Math" w:eastAsiaTheme="minorEastAsia" w:hAnsi="Cambria Math"/>
            <w:sz w:val="22"/>
            <w:szCs w:val="22"/>
          </w:rPr>
          <m:t xml:space="preserve">  π=f(f,e)</m:t>
        </m:r>
      </m:oMath>
    </w:p>
    <w:p w14:paraId="2FFD9287" w14:textId="77777777" w:rsidR="004E5AE3" w:rsidRDefault="004E5AE3" w:rsidP="00CC7F9E">
      <w:pPr>
        <w:jc w:val="both"/>
      </w:pPr>
    </w:p>
    <w:p w14:paraId="72F4BF0C" w14:textId="77777777" w:rsidR="00CC7F9E" w:rsidRDefault="00CC7F9E" w:rsidP="00CC7F9E">
      <w:pPr>
        <w:pStyle w:val="ListParagraph"/>
        <w:jc w:val="both"/>
      </w:pPr>
    </w:p>
    <w:p w14:paraId="25A9383C" w14:textId="70063F17" w:rsidR="00E768D8" w:rsidRDefault="004E5AE3" w:rsidP="00E768D8">
      <w:r w:rsidRPr="004E5AE3">
        <w:rPr>
          <w:noProof/>
        </w:rPr>
        <w:drawing>
          <wp:inline distT="0" distB="0" distL="0" distR="0" wp14:anchorId="3AAF4BBE" wp14:editId="33138193">
            <wp:extent cx="5778230" cy="1804207"/>
            <wp:effectExtent l="0" t="0" r="635" b="0"/>
            <wp:docPr id="62251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10469" name=""/>
                    <pic:cNvPicPr/>
                  </pic:nvPicPr>
                  <pic:blipFill rotWithShape="1">
                    <a:blip r:embed="rId20"/>
                    <a:srcRect l="14915" t="16071" r="30075" b="53392"/>
                    <a:stretch/>
                  </pic:blipFill>
                  <pic:spPr bwMode="auto">
                    <a:xfrm>
                      <a:off x="0" y="0"/>
                      <a:ext cx="5934835" cy="1853106"/>
                    </a:xfrm>
                    <a:prstGeom prst="rect">
                      <a:avLst/>
                    </a:prstGeom>
                    <a:ln>
                      <a:noFill/>
                    </a:ln>
                    <a:extLst>
                      <a:ext uri="{53640926-AAD7-44D8-BBD7-CCE9431645EC}">
                        <a14:shadowObscured xmlns:a14="http://schemas.microsoft.com/office/drawing/2010/main"/>
                      </a:ext>
                    </a:extLst>
                  </pic:spPr>
                </pic:pic>
              </a:graphicData>
            </a:graphic>
          </wp:inline>
        </w:drawing>
      </w:r>
    </w:p>
    <w:p w14:paraId="60DB030B" w14:textId="2600DD75" w:rsidR="004E5AE3" w:rsidRDefault="004E5AE3" w:rsidP="004E5AE3">
      <w:pPr>
        <w:pStyle w:val="Caption"/>
      </w:pPr>
      <w:r>
        <w:t xml:space="preserve">Figure </w:t>
      </w:r>
      <w:r>
        <w:fldChar w:fldCharType="begin"/>
      </w:r>
      <w:r>
        <w:instrText xml:space="preserve"> SEQ Figure \* ARABIC </w:instrText>
      </w:r>
      <w:r>
        <w:fldChar w:fldCharType="separate"/>
      </w:r>
      <w:r>
        <w:rPr>
          <w:noProof/>
        </w:rPr>
        <w:t>6</w:t>
      </w:r>
      <w:r>
        <w:fldChar w:fldCharType="end"/>
      </w:r>
      <w:r>
        <w:t>: Direction of causality based on the results</w:t>
      </w:r>
    </w:p>
    <w:p w14:paraId="4B8F9D80" w14:textId="77777777" w:rsidR="004E5AE3" w:rsidRDefault="004E5AE3" w:rsidP="004E5AE3"/>
    <w:p w14:paraId="105FE36C" w14:textId="3400AF16" w:rsidR="004E5AE3" w:rsidRDefault="004E5AE3" w:rsidP="004E5AE3">
      <w:r>
        <w:t>&lt;conclude&gt;</w:t>
      </w:r>
    </w:p>
    <w:p w14:paraId="1212FF8D" w14:textId="4B1DC5DB" w:rsidR="003C7BEC" w:rsidRDefault="003C7BEC" w:rsidP="00FC0FB1">
      <w:pPr>
        <w:jc w:val="both"/>
      </w:pPr>
      <w:r>
        <w:t>Households that perceive their individual risk of coastal flooding as high, are model likely to read up preparation information. Note that consuming information on how to prepare for flooding has been defined as awareness in our dataset. We cannot measure the spatial distribution of risk perception on a large scale without conducting costly surveys. Instead, we can extrapolate flood experience from satellite data and real flood risk from readily available flood risk data. Our results indicate that there is a more accurate predictor of adaptation behavior that we can measure at large scale and low cost. For instance, google searches on how to prepare for coastal flooding can predict adaptation behavior globally, granted position data is provided alongside. W</w:t>
      </w:r>
      <w:commentRangeStart w:id="48"/>
      <w:r>
        <w:t xml:space="preserve">e identify this as a further </w:t>
      </w:r>
      <w:r>
        <w:lastRenderedPageBreak/>
        <w:t>avenue of research</w:t>
      </w:r>
      <w:r w:rsidR="00311264">
        <w:t>, for instance, whether our results hold true outside of the data set and outside id the United States</w:t>
      </w:r>
      <w:r>
        <w:t xml:space="preserve">. </w:t>
      </w:r>
      <w:commentRangeEnd w:id="48"/>
      <w:r>
        <w:rPr>
          <w:rStyle w:val="CommentReference"/>
        </w:rPr>
        <w:commentReference w:id="48"/>
      </w:r>
    </w:p>
    <w:p w14:paraId="5090C4B9" w14:textId="29112707" w:rsidR="00DB7AB4" w:rsidRDefault="003C7BEC" w:rsidP="004E5AE3">
      <w:r>
        <w:t xml:space="preserve"> </w:t>
      </w:r>
    </w:p>
    <w:p w14:paraId="7E74ED59" w14:textId="4208D30C" w:rsidR="0011403F" w:rsidRDefault="00542C67" w:rsidP="007C47A1">
      <w:pPr>
        <w:pStyle w:val="Heading2"/>
        <w:numPr>
          <w:ilvl w:val="1"/>
          <w:numId w:val="6"/>
        </w:numPr>
      </w:pPr>
      <w:r>
        <w:t>The effect o</w:t>
      </w:r>
      <w:r w:rsidR="00B722CF">
        <w:t>f</w:t>
      </w:r>
      <w:r>
        <w:t xml:space="preserve"> insurance on adaptation behavior</w:t>
      </w:r>
    </w:p>
    <w:p w14:paraId="154C5DAB" w14:textId="77777777" w:rsidR="00542C67" w:rsidRDefault="00542C67" w:rsidP="00542C67"/>
    <w:p w14:paraId="24D1C140" w14:textId="0A243D30" w:rsidR="00623D32" w:rsidRDefault="00112E12" w:rsidP="00623D32">
      <w:pPr>
        <w:jc w:val="both"/>
      </w:pPr>
      <w:r>
        <w:t>Since data is available at least for the US-based NFIP program, flood insurance take up is posing another interesting determinant for adaptation behavior. The literature is postulating a positive effect of flood insurance on other adaptation behavior (see H5 in section___).</w:t>
      </w:r>
      <w:r w:rsidR="00623D32">
        <w:t xml:space="preserve"> The economic rationale behind this finding, however, is not straight-forward.</w:t>
      </w:r>
    </w:p>
    <w:p w14:paraId="6129CDDD" w14:textId="29C8FBD0" w:rsidR="00623D32" w:rsidRDefault="00623D32" w:rsidP="00623D32">
      <w:pPr>
        <w:jc w:val="both"/>
      </w:pPr>
    </w:p>
    <w:p w14:paraId="0DCF416B" w14:textId="69142478" w:rsidR="006554C7" w:rsidRDefault="00623D32" w:rsidP="00623D32">
      <w:pPr>
        <w:jc w:val="both"/>
      </w:pPr>
      <w:r>
        <w:t xml:space="preserve">Insurance has a smoothing effect on household income (source). </w:t>
      </w:r>
      <w:r w:rsidR="006554C7">
        <w:t>The s</w:t>
      </w:r>
      <w:r>
        <w:t xml:space="preserve">moothing out </w:t>
      </w:r>
      <w:r w:rsidR="006554C7">
        <w:t xml:space="preserve">of </w:t>
      </w:r>
      <w:r>
        <w:t>damage</w:t>
      </w:r>
      <w:r w:rsidR="006554C7">
        <w:t>-related cost</w:t>
      </w:r>
      <w:r>
        <w:t xml:space="preserve"> across periods in time, as well as a general decline in monthly disposable income post insurance premiums should disincentivize households to spend more on </w:t>
      </w:r>
      <w:r w:rsidR="009F69BD">
        <w:t xml:space="preserve">substitutes like other </w:t>
      </w:r>
      <w:r w:rsidR="00F54904">
        <w:t>anticipatory</w:t>
      </w:r>
      <w:r w:rsidR="009F69BD">
        <w:t xml:space="preserve"> adaptation</w:t>
      </w:r>
      <w:r w:rsidR="00F54904">
        <w:t xml:space="preserve"> that also invests into long-term preparedness</w:t>
      </w:r>
      <w:r w:rsidR="009F69BD">
        <w:t xml:space="preserve">. For instance, households might decide against </w:t>
      </w:r>
      <w:r>
        <w:t>costly structural adaptation</w:t>
      </w:r>
      <w:r w:rsidR="009F69BD">
        <w:t xml:space="preserve"> such as elevating the property if that property is already insured. </w:t>
      </w:r>
    </w:p>
    <w:p w14:paraId="10CACCC9" w14:textId="77777777" w:rsidR="006554C7" w:rsidRDefault="006554C7" w:rsidP="00623D32">
      <w:pPr>
        <w:jc w:val="both"/>
      </w:pPr>
    </w:p>
    <w:p w14:paraId="36F27C1A" w14:textId="2E3FE278" w:rsidR="00623D32" w:rsidRDefault="00623D32" w:rsidP="00623D32">
      <w:pPr>
        <w:jc w:val="both"/>
      </w:pPr>
      <w:r>
        <w:t xml:space="preserve">On the other hand, the NFIP program offers premium reductions in certain cases if policy holders implement </w:t>
      </w:r>
      <w:r w:rsidR="009F69BD">
        <w:t xml:space="preserve">said </w:t>
      </w:r>
      <w:r>
        <w:t xml:space="preserve">structural adaptation, </w:t>
      </w:r>
      <w:r w:rsidR="009F69BD">
        <w:t xml:space="preserve">rather </w:t>
      </w:r>
      <w:r>
        <w:t>suggesting a positive relationship</w:t>
      </w:r>
      <w:r w:rsidR="009F69BD">
        <w:t xml:space="preserve"> (source: NFIP CRS system)</w:t>
      </w:r>
      <w:r>
        <w:t>.</w:t>
      </w:r>
      <w:r w:rsidR="006554C7">
        <w:t xml:space="preserve"> Moreover</w:t>
      </w:r>
      <w:r w:rsidR="00F54904">
        <w:t xml:space="preserve">, </w:t>
      </w:r>
      <w:r w:rsidR="006554C7">
        <w:t xml:space="preserve">investments into short-term coping capacity should not be impacted by insurance take up and its effect on income. Firstly, some such </w:t>
      </w:r>
      <w:r w:rsidR="00F54904">
        <w:t xml:space="preserve">adaptation </w:t>
      </w:r>
      <w:r w:rsidR="006554C7">
        <w:t xml:space="preserve">measures </w:t>
      </w:r>
      <w:r w:rsidR="00F54904">
        <w:t>like</w:t>
      </w:r>
      <w:r w:rsidR="006554C7">
        <w:t xml:space="preserve"> taking part in drills and signing up for flood alerts</w:t>
      </w:r>
      <w:r w:rsidR="00F54904">
        <w:t xml:space="preserve"> are neglectably cheap</w:t>
      </w:r>
      <w:r w:rsidR="006554C7">
        <w:t xml:space="preserve">. Secondly, </w:t>
      </w:r>
      <w:r w:rsidR="00F54904">
        <w:t xml:space="preserve">while property insurance relieves financial burden and thus increases long-term preparedness, it has no effect on the ability to cope with danger to lives and adverse effects on livelihoods in the immediate aftermath of a flood disaster. </w:t>
      </w:r>
    </w:p>
    <w:p w14:paraId="271E8257" w14:textId="77777777" w:rsidR="0073701B" w:rsidRDefault="0073701B" w:rsidP="00623D32">
      <w:pPr>
        <w:jc w:val="both"/>
      </w:pPr>
    </w:p>
    <w:p w14:paraId="033748D9" w14:textId="52B12578" w:rsidR="0073701B" w:rsidRDefault="0073701B" w:rsidP="00623D32">
      <w:pPr>
        <w:jc w:val="both"/>
      </w:pPr>
      <w:r>
        <w:t>&lt;psychological theory&gt;</w:t>
      </w:r>
    </w:p>
    <w:p w14:paraId="65661402" w14:textId="77777777" w:rsidR="00082895" w:rsidRDefault="00082895" w:rsidP="00623D32">
      <w:pPr>
        <w:jc w:val="both"/>
      </w:pPr>
    </w:p>
    <w:p w14:paraId="3B86BF8E" w14:textId="63231B7E" w:rsidR="001A60AF" w:rsidRDefault="001A60AF" w:rsidP="001A60AF"/>
    <w:p w14:paraId="52F180E3" w14:textId="1E3D94EB" w:rsidR="00112E12" w:rsidRDefault="00112E12" w:rsidP="001A60AF">
      <w:r>
        <w:t>Risk signaling effect of insurance (2.0)</w:t>
      </w:r>
      <w:r w:rsidRPr="001A60AF">
        <w:rPr>
          <w:b/>
          <w:bCs/>
        </w:rPr>
        <w:t>: positive effec</w:t>
      </w:r>
      <w:r>
        <w:t>t</w:t>
      </w:r>
    </w:p>
    <w:p w14:paraId="15EA5CF5" w14:textId="77777777" w:rsidR="00112E12" w:rsidRDefault="00112E12" w:rsidP="00112E12">
      <w:pPr>
        <w:pStyle w:val="ListParagraph"/>
        <w:numPr>
          <w:ilvl w:val="3"/>
          <w:numId w:val="14"/>
        </w:numPr>
      </w:pPr>
      <w:commentRangeStart w:id="49"/>
      <w:r>
        <w:t xml:space="preserve">Should have a positive effect on awareness in this case </w:t>
      </w:r>
      <w:commentRangeEnd w:id="49"/>
      <w:r>
        <w:rPr>
          <w:rStyle w:val="CommentReference"/>
        </w:rPr>
        <w:commentReference w:id="49"/>
      </w:r>
    </w:p>
    <w:p w14:paraId="0590B0B1" w14:textId="77777777" w:rsidR="00112E12" w:rsidRDefault="00112E12" w:rsidP="00542C67"/>
    <w:p w14:paraId="0DF818CE" w14:textId="0D298BF6" w:rsidR="00112E12" w:rsidRDefault="00112E12" w:rsidP="00542C67">
      <w:r>
        <w:t xml:space="preserve">&lt;economic </w:t>
      </w:r>
      <w:proofErr w:type="spellStart"/>
      <w:r>
        <w:t>reational</w:t>
      </w:r>
      <w:proofErr w:type="spellEnd"/>
      <w:r>
        <w:t>&gt;</w:t>
      </w:r>
    </w:p>
    <w:p w14:paraId="652F208F" w14:textId="750EEEAE" w:rsidR="00542C67" w:rsidRDefault="00112E12" w:rsidP="00542C67">
      <w:r>
        <w:t xml:space="preserve">, </w:t>
      </w:r>
    </w:p>
    <w:p w14:paraId="2DB23939" w14:textId="77777777" w:rsidR="00542C67" w:rsidRDefault="00542C67" w:rsidP="00542C67">
      <w:pPr>
        <w:pStyle w:val="ListParagraph"/>
        <w:numPr>
          <w:ilvl w:val="0"/>
          <w:numId w:val="6"/>
        </w:numPr>
      </w:pPr>
      <w:r>
        <w:t xml:space="preserve">we will investigate another promising determinant that has been identified in the literature but is not the hypotheses identified in the literature that are not captured by our simple model. </w:t>
      </w:r>
    </w:p>
    <w:p w14:paraId="5773A47E" w14:textId="77777777" w:rsidR="00542C67" w:rsidRPr="00542C67" w:rsidRDefault="00542C67" w:rsidP="00542C67"/>
    <w:p w14:paraId="01C45C1A" w14:textId="661EE090" w:rsidR="008D769B" w:rsidRDefault="008D769B" w:rsidP="00BC1F4C">
      <w:pPr>
        <w:pStyle w:val="ListParagraph"/>
        <w:numPr>
          <w:ilvl w:val="0"/>
          <w:numId w:val="14"/>
        </w:numPr>
      </w:pPr>
      <w:r>
        <w:t>H5</w:t>
      </w:r>
    </w:p>
    <w:p w14:paraId="6D0A2367" w14:textId="7660FC84" w:rsidR="00BC1F4C" w:rsidRDefault="00BC1F4C" w:rsidP="00BC1F4C">
      <w:pPr>
        <w:pStyle w:val="ListParagraph"/>
        <w:numPr>
          <w:ilvl w:val="0"/>
          <w:numId w:val="14"/>
        </w:numPr>
      </w:pPr>
      <w:r>
        <w:t xml:space="preserve">outside of our model </w:t>
      </w:r>
    </w:p>
    <w:p w14:paraId="5700AE98" w14:textId="783EE659" w:rsidR="00BC1F4C" w:rsidRDefault="00BC1F4C" w:rsidP="00BC1F4C">
      <w:pPr>
        <w:pStyle w:val="ListParagraph"/>
        <w:numPr>
          <w:ilvl w:val="0"/>
          <w:numId w:val="14"/>
        </w:numPr>
      </w:pPr>
      <w:r>
        <w:t xml:space="preserve">the literature is reporting a positive effect of insurance on adaptation </w:t>
      </w:r>
    </w:p>
    <w:p w14:paraId="4DA1C4CB" w14:textId="56AB3907" w:rsidR="00BC1F4C" w:rsidRPr="00BC1F4C" w:rsidRDefault="00BC1F4C" w:rsidP="00BC1F4C">
      <w:pPr>
        <w:pStyle w:val="ListParagraph"/>
        <w:numPr>
          <w:ilvl w:val="0"/>
          <w:numId w:val="14"/>
        </w:numPr>
      </w:pPr>
      <w:r>
        <w:t xml:space="preserve">economic rational? </w:t>
      </w:r>
    </w:p>
    <w:p w14:paraId="5D00FFF3" w14:textId="0D48AE23" w:rsidR="00B72EAA" w:rsidRDefault="00D42BCD" w:rsidP="00D42BCD">
      <w:r w:rsidRPr="00D42BCD">
        <w:rPr>
          <w:noProof/>
        </w:rPr>
        <w:lastRenderedPageBreak/>
        <w:drawing>
          <wp:inline distT="0" distB="0" distL="0" distR="0" wp14:anchorId="384D3A53" wp14:editId="23166A69">
            <wp:extent cx="5731510" cy="2248535"/>
            <wp:effectExtent l="0" t="0" r="0" b="0"/>
            <wp:docPr id="70432983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29833" name="Picture 1" descr="A table with numbers and letters&#10;&#10;AI-generated content may be incorrect."/>
                    <pic:cNvPicPr/>
                  </pic:nvPicPr>
                  <pic:blipFill>
                    <a:blip r:embed="rId21"/>
                    <a:stretch>
                      <a:fillRect/>
                    </a:stretch>
                  </pic:blipFill>
                  <pic:spPr>
                    <a:xfrm>
                      <a:off x="0" y="0"/>
                      <a:ext cx="5731510" cy="2248535"/>
                    </a:xfrm>
                    <a:prstGeom prst="rect">
                      <a:avLst/>
                    </a:prstGeom>
                  </pic:spPr>
                </pic:pic>
              </a:graphicData>
            </a:graphic>
          </wp:inline>
        </w:drawing>
      </w:r>
    </w:p>
    <w:p w14:paraId="2BC542DB" w14:textId="2EB54406" w:rsidR="00263CB2" w:rsidRDefault="00263CB2" w:rsidP="00263CB2">
      <w:pPr>
        <w:pStyle w:val="Caption"/>
      </w:pPr>
      <w:r>
        <w:t xml:space="preserve">Figure </w:t>
      </w:r>
      <w:r>
        <w:fldChar w:fldCharType="begin"/>
      </w:r>
      <w:r>
        <w:instrText xml:space="preserve"> SEQ Figure \* ARABIC </w:instrText>
      </w:r>
      <w:r>
        <w:fldChar w:fldCharType="separate"/>
      </w:r>
      <w:r w:rsidR="004E5AE3">
        <w:rPr>
          <w:noProof/>
        </w:rPr>
        <w:t>7</w:t>
      </w:r>
      <w:r>
        <w:fldChar w:fldCharType="end"/>
      </w:r>
      <w:r>
        <w:t>: Effect of insurance on adaptation</w:t>
      </w:r>
    </w:p>
    <w:p w14:paraId="21D771A3" w14:textId="00003C35" w:rsidR="00D76BFB" w:rsidRDefault="00D76BFB" w:rsidP="00D76BFB">
      <w:pPr>
        <w:pStyle w:val="ListParagraph"/>
        <w:numPr>
          <w:ilvl w:val="0"/>
          <w:numId w:val="14"/>
        </w:numPr>
      </w:pPr>
      <w:r>
        <w:t>The effect of insurance is large and significa</w:t>
      </w:r>
      <w:r w:rsidR="00A25E2E">
        <w:t xml:space="preserve">nt across all adaptation measures </w:t>
      </w:r>
    </w:p>
    <w:p w14:paraId="71451592" w14:textId="2C6571F9" w:rsidR="00A25E2E" w:rsidRDefault="00A25E2E" w:rsidP="00A25E2E">
      <w:pPr>
        <w:pStyle w:val="ListParagraph"/>
        <w:numPr>
          <w:ilvl w:val="1"/>
          <w:numId w:val="14"/>
        </w:numPr>
      </w:pPr>
      <w:r>
        <w:t>learned routes (33%)</w:t>
      </w:r>
    </w:p>
    <w:p w14:paraId="52369B56" w14:textId="5E3B05C7" w:rsidR="00A25E2E" w:rsidRDefault="00A25E2E" w:rsidP="00A25E2E">
      <w:pPr>
        <w:pStyle w:val="ListParagraph"/>
        <w:numPr>
          <w:ilvl w:val="1"/>
          <w:numId w:val="14"/>
        </w:numPr>
      </w:pPr>
      <w:r>
        <w:t>documents (27%)</w:t>
      </w:r>
    </w:p>
    <w:p w14:paraId="1C35EF97" w14:textId="0D60617C" w:rsidR="00A25E2E" w:rsidRDefault="00A25E2E" w:rsidP="00A25E2E">
      <w:pPr>
        <w:pStyle w:val="ListParagraph"/>
        <w:numPr>
          <w:ilvl w:val="1"/>
          <w:numId w:val="14"/>
        </w:numPr>
      </w:pPr>
      <w:r>
        <w:t>alerts (26%)</w:t>
      </w:r>
    </w:p>
    <w:p w14:paraId="70028998" w14:textId="1B080643" w:rsidR="00A25E2E" w:rsidRDefault="00A25E2E" w:rsidP="00A25E2E">
      <w:pPr>
        <w:pStyle w:val="ListParagraph"/>
        <w:numPr>
          <w:ilvl w:val="1"/>
          <w:numId w:val="14"/>
        </w:numPr>
      </w:pPr>
      <w:r>
        <w:t>supplies (25%)</w:t>
      </w:r>
    </w:p>
    <w:p w14:paraId="22A3359E" w14:textId="0D2AC0B6" w:rsidR="00D42BCD" w:rsidRDefault="00D47EB5" w:rsidP="00D42BCD">
      <w:r>
        <w:t xml:space="preserve">  </w:t>
      </w:r>
    </w:p>
    <w:p w14:paraId="513C62FF" w14:textId="16A30716" w:rsidR="00B72EAA" w:rsidRDefault="008D769B" w:rsidP="007C47A1">
      <w:pPr>
        <w:pStyle w:val="Heading3"/>
        <w:numPr>
          <w:ilvl w:val="2"/>
          <w:numId w:val="6"/>
        </w:numPr>
      </w:pPr>
      <w:bookmarkStart w:id="50" w:name="_Toc197002979"/>
      <w:r>
        <w:t>The</w:t>
      </w:r>
      <w:r w:rsidR="00B72EAA">
        <w:t xml:space="preserve"> effect of efficacy on adaptation</w:t>
      </w:r>
      <w:bookmarkEnd w:id="50"/>
    </w:p>
    <w:p w14:paraId="3CB010CA" w14:textId="4EA0984E" w:rsidR="008D769B" w:rsidRDefault="008D769B" w:rsidP="008D769B">
      <w:pPr>
        <w:pStyle w:val="ListParagraph"/>
        <w:numPr>
          <w:ilvl w:val="0"/>
          <w:numId w:val="14"/>
        </w:numPr>
      </w:pPr>
      <w:r>
        <w:t>H6</w:t>
      </w:r>
    </w:p>
    <w:p w14:paraId="4A563AB4" w14:textId="5C10A69F" w:rsidR="008D769B" w:rsidRPr="008D769B" w:rsidRDefault="008D769B" w:rsidP="008D769B">
      <w:pPr>
        <w:pStyle w:val="ListParagraph"/>
        <w:numPr>
          <w:ilvl w:val="0"/>
          <w:numId w:val="14"/>
        </w:numPr>
      </w:pPr>
      <w:r>
        <w:t xml:space="preserve">Outside of our model but reported in the literature </w:t>
      </w:r>
    </w:p>
    <w:p w14:paraId="0C67F068" w14:textId="77777777" w:rsidR="001370A6" w:rsidRDefault="001370A6" w:rsidP="00366226">
      <w:r w:rsidRPr="001370A6">
        <w:rPr>
          <w:noProof/>
        </w:rPr>
        <w:drawing>
          <wp:inline distT="0" distB="0" distL="0" distR="0" wp14:anchorId="6A5D93F4" wp14:editId="39A87D59">
            <wp:extent cx="5731510" cy="2218690"/>
            <wp:effectExtent l="0" t="0" r="0" b="3810"/>
            <wp:docPr id="157086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67927" name=""/>
                    <pic:cNvPicPr/>
                  </pic:nvPicPr>
                  <pic:blipFill>
                    <a:blip r:embed="rId22"/>
                    <a:stretch>
                      <a:fillRect/>
                    </a:stretch>
                  </pic:blipFill>
                  <pic:spPr>
                    <a:xfrm>
                      <a:off x="0" y="0"/>
                      <a:ext cx="5731510" cy="2218690"/>
                    </a:xfrm>
                    <a:prstGeom prst="rect">
                      <a:avLst/>
                    </a:prstGeom>
                  </pic:spPr>
                </pic:pic>
              </a:graphicData>
            </a:graphic>
          </wp:inline>
        </w:drawing>
      </w:r>
    </w:p>
    <w:p w14:paraId="034B8DEC" w14:textId="118AE614" w:rsidR="00263CB2" w:rsidRDefault="00263CB2" w:rsidP="00263CB2">
      <w:pPr>
        <w:pStyle w:val="Caption"/>
      </w:pPr>
      <w:r>
        <w:t xml:space="preserve">Figure </w:t>
      </w:r>
      <w:r>
        <w:fldChar w:fldCharType="begin"/>
      </w:r>
      <w:r>
        <w:instrText xml:space="preserve"> SEQ Figure \* ARABIC </w:instrText>
      </w:r>
      <w:r>
        <w:fldChar w:fldCharType="separate"/>
      </w:r>
      <w:r w:rsidR="004E5AE3">
        <w:rPr>
          <w:noProof/>
        </w:rPr>
        <w:t>8</w:t>
      </w:r>
      <w:r>
        <w:fldChar w:fldCharType="end"/>
      </w:r>
      <w:r>
        <w:t>: Effect of efficacy on adaptation</w:t>
      </w:r>
    </w:p>
    <w:p w14:paraId="695C4AEA" w14:textId="77777777" w:rsidR="00263CB2" w:rsidRDefault="00263CB2" w:rsidP="00366226"/>
    <w:p w14:paraId="587D9361" w14:textId="7097520B" w:rsidR="001370A6" w:rsidRDefault="001370A6" w:rsidP="001370A6">
      <w:pPr>
        <w:pStyle w:val="ListParagraph"/>
        <w:numPr>
          <w:ilvl w:val="0"/>
          <w:numId w:val="14"/>
        </w:numPr>
      </w:pPr>
      <w:r>
        <w:t xml:space="preserve">The effect of efficacy on adaptation is positive and significant across all adaptation measures </w:t>
      </w:r>
    </w:p>
    <w:p w14:paraId="2864BBE6" w14:textId="156E2676" w:rsidR="001370A6" w:rsidRDefault="001370A6" w:rsidP="001370A6">
      <w:pPr>
        <w:pStyle w:val="ListParagraph"/>
        <w:numPr>
          <w:ilvl w:val="1"/>
          <w:numId w:val="14"/>
        </w:numPr>
      </w:pPr>
      <w:r>
        <w:t>Insured (28%)</w:t>
      </w:r>
    </w:p>
    <w:p w14:paraId="793BFA7D" w14:textId="23361634" w:rsidR="001370A6" w:rsidRDefault="001370A6" w:rsidP="001370A6">
      <w:pPr>
        <w:pStyle w:val="ListParagraph"/>
        <w:numPr>
          <w:ilvl w:val="1"/>
          <w:numId w:val="14"/>
        </w:numPr>
      </w:pPr>
      <w:r>
        <w:t>Supplies (27%)</w:t>
      </w:r>
    </w:p>
    <w:p w14:paraId="784B27D3" w14:textId="3FA4533C" w:rsidR="001370A6" w:rsidRDefault="001370A6" w:rsidP="001370A6">
      <w:pPr>
        <w:pStyle w:val="ListParagraph"/>
        <w:numPr>
          <w:ilvl w:val="1"/>
          <w:numId w:val="14"/>
        </w:numPr>
      </w:pPr>
      <w:r>
        <w:t>Made plan (27%)</w:t>
      </w:r>
    </w:p>
    <w:p w14:paraId="22969744" w14:textId="77777777" w:rsidR="00B722CF" w:rsidRDefault="001370A6" w:rsidP="00B722CF">
      <w:pPr>
        <w:pStyle w:val="ListParagraph"/>
        <w:numPr>
          <w:ilvl w:val="1"/>
          <w:numId w:val="14"/>
        </w:numPr>
      </w:pPr>
      <w:r>
        <w:t>Learned routes (26%)</w:t>
      </w:r>
      <w:bookmarkStart w:id="51" w:name="_Toc197002980"/>
    </w:p>
    <w:p w14:paraId="03DA4755" w14:textId="77777777" w:rsidR="00B722CF" w:rsidRDefault="00B722CF" w:rsidP="00B722CF"/>
    <w:p w14:paraId="4A44D69D" w14:textId="59293857" w:rsidR="00B72EAA" w:rsidRDefault="008D769B" w:rsidP="00B722CF">
      <w:pPr>
        <w:pStyle w:val="Heading2"/>
        <w:numPr>
          <w:ilvl w:val="1"/>
          <w:numId w:val="24"/>
        </w:numPr>
      </w:pPr>
      <w:r>
        <w:lastRenderedPageBreak/>
        <w:t>The</w:t>
      </w:r>
      <w:r w:rsidR="00B72EAA">
        <w:t xml:space="preserve"> effect of socioeconomic </w:t>
      </w:r>
      <w:r>
        <w:t xml:space="preserve">determinants </w:t>
      </w:r>
      <w:r w:rsidR="00B72EAA">
        <w:t>on adaptation</w:t>
      </w:r>
      <w:bookmarkEnd w:id="51"/>
    </w:p>
    <w:p w14:paraId="495B9DCC" w14:textId="277C289D" w:rsidR="008D769B" w:rsidRDefault="008D769B" w:rsidP="008D769B">
      <w:pPr>
        <w:pStyle w:val="ListParagraph"/>
        <w:numPr>
          <w:ilvl w:val="0"/>
          <w:numId w:val="14"/>
        </w:numPr>
      </w:pPr>
      <w:r>
        <w:t>H7</w:t>
      </w:r>
    </w:p>
    <w:p w14:paraId="5E6C7945" w14:textId="78D38E92" w:rsidR="008D769B" w:rsidRDefault="008D769B" w:rsidP="008D769B">
      <w:pPr>
        <w:pStyle w:val="ListParagraph"/>
        <w:numPr>
          <w:ilvl w:val="0"/>
          <w:numId w:val="14"/>
        </w:numPr>
      </w:pPr>
      <w:r>
        <w:t xml:space="preserve">Outside of our model but reported in the literature </w:t>
      </w:r>
    </w:p>
    <w:p w14:paraId="23F01915" w14:textId="45E91D07" w:rsidR="008D769B" w:rsidRPr="008D769B" w:rsidRDefault="008D769B" w:rsidP="008D769B">
      <w:pPr>
        <w:pStyle w:val="ListParagraph"/>
        <w:numPr>
          <w:ilvl w:val="0"/>
          <w:numId w:val="14"/>
        </w:numPr>
      </w:pPr>
      <w:r>
        <w:t>Repeat here what has been found in the literature (which determinants? Which effect directions?)</w:t>
      </w:r>
    </w:p>
    <w:p w14:paraId="5B206270" w14:textId="77777777" w:rsidR="008D769B" w:rsidRPr="008D769B" w:rsidRDefault="008D769B" w:rsidP="008D769B"/>
    <w:p w14:paraId="4CB7C01C" w14:textId="77777777" w:rsidR="006B78B8" w:rsidRDefault="006B78B8" w:rsidP="006B78B8">
      <w:pPr>
        <w:pStyle w:val="ListParagraph"/>
        <w:numPr>
          <w:ilvl w:val="0"/>
          <w:numId w:val="14"/>
        </w:numPr>
      </w:pPr>
      <w:r>
        <w:t xml:space="preserve">Age is significantly affecting </w:t>
      </w:r>
    </w:p>
    <w:p w14:paraId="3C3E30FA" w14:textId="77777777" w:rsidR="006B78B8" w:rsidRDefault="006B78B8" w:rsidP="006B78B8">
      <w:pPr>
        <w:pStyle w:val="ListParagraph"/>
        <w:numPr>
          <w:ilvl w:val="1"/>
          <w:numId w:val="14"/>
        </w:numPr>
      </w:pPr>
      <w:r>
        <w:t xml:space="preserve">Insurance: -0.2% marginal effect </w:t>
      </w:r>
    </w:p>
    <w:p w14:paraId="65441644" w14:textId="34960598" w:rsidR="006B78B8" w:rsidRDefault="006B78B8" w:rsidP="006B78B8">
      <w:pPr>
        <w:pStyle w:val="ListParagraph"/>
        <w:numPr>
          <w:ilvl w:val="1"/>
          <w:numId w:val="14"/>
        </w:numPr>
      </w:pPr>
      <w:r>
        <w:t xml:space="preserve">Supplies: -0.3% marginal effect </w:t>
      </w:r>
    </w:p>
    <w:p w14:paraId="1853AF56" w14:textId="2504C83E" w:rsidR="00D671A1" w:rsidRDefault="00D671A1" w:rsidP="006B78B8">
      <w:pPr>
        <w:pStyle w:val="ListParagraph"/>
        <w:numPr>
          <w:ilvl w:val="1"/>
          <w:numId w:val="14"/>
        </w:numPr>
      </w:pPr>
      <w:proofErr w:type="spellStart"/>
      <w:r>
        <w:t>Practiced_drills</w:t>
      </w:r>
      <w:proofErr w:type="spellEnd"/>
      <w:r>
        <w:t xml:space="preserve">: -0.2% marginal effect </w:t>
      </w:r>
    </w:p>
    <w:p w14:paraId="796FD8DD" w14:textId="43A775F8" w:rsidR="00DE1EE7" w:rsidRDefault="006B78B8" w:rsidP="006B78B8">
      <w:pPr>
        <w:pStyle w:val="ListParagraph"/>
        <w:numPr>
          <w:ilvl w:val="1"/>
          <w:numId w:val="14"/>
        </w:numPr>
      </w:pPr>
      <w:commentRangeStart w:id="52"/>
      <w:commentRangeStart w:id="53"/>
      <w:commentRangeStart w:id="54"/>
      <w:r>
        <w:t xml:space="preserve">family communication: -0.2% marginal effect </w:t>
      </w:r>
    </w:p>
    <w:p w14:paraId="74674DF5" w14:textId="11911EFD" w:rsidR="006B78B8" w:rsidRDefault="006B78B8" w:rsidP="00E9538B">
      <w:pPr>
        <w:pStyle w:val="ListParagraph"/>
        <w:numPr>
          <w:ilvl w:val="1"/>
          <w:numId w:val="14"/>
        </w:numPr>
      </w:pPr>
      <w:r>
        <w:t>When regressing only age (preparedness ~ age) supplies become significant too (-0.3%</w:t>
      </w:r>
      <w:r w:rsidR="00D671A1">
        <w:t xml:space="preserve"> marginal effect</w:t>
      </w:r>
      <w:r>
        <w:t xml:space="preserve">)  </w:t>
      </w:r>
    </w:p>
    <w:p w14:paraId="19E4CC71" w14:textId="215B4D00" w:rsidR="006B78B8" w:rsidRDefault="006B78B8" w:rsidP="00E9538B">
      <w:pPr>
        <w:pStyle w:val="ListParagraph"/>
        <w:numPr>
          <w:ilvl w:val="1"/>
          <w:numId w:val="14"/>
        </w:numPr>
      </w:pPr>
      <w:r>
        <w:t xml:space="preserve">All effects are small </w:t>
      </w:r>
    </w:p>
    <w:p w14:paraId="5C9478F7" w14:textId="7F4A82E9" w:rsidR="006B78B8" w:rsidRDefault="006B78B8" w:rsidP="00E9538B">
      <w:pPr>
        <w:pStyle w:val="ListParagraph"/>
        <w:numPr>
          <w:ilvl w:val="1"/>
          <w:numId w:val="14"/>
        </w:numPr>
      </w:pPr>
      <w:r>
        <w:t xml:space="preserve">All effects are slightly negative, contradicting findings in the literature </w:t>
      </w:r>
      <w:r w:rsidR="005E481B">
        <w:t xml:space="preserve">(hypothesizing an ambiguous effect) </w:t>
      </w:r>
    </w:p>
    <w:p w14:paraId="415D7752" w14:textId="798B6569" w:rsidR="006B78B8" w:rsidRDefault="006B78B8" w:rsidP="006B78B8">
      <w:pPr>
        <w:pStyle w:val="ListParagraph"/>
        <w:numPr>
          <w:ilvl w:val="0"/>
          <w:numId w:val="14"/>
        </w:numPr>
      </w:pPr>
      <w:r>
        <w:t>Homeownership is significantly affecting</w:t>
      </w:r>
    </w:p>
    <w:p w14:paraId="244835B8" w14:textId="48F40692" w:rsidR="00E74D5E" w:rsidRDefault="00E74D5E" w:rsidP="00E74D5E">
      <w:pPr>
        <w:pStyle w:val="ListParagraph"/>
        <w:numPr>
          <w:ilvl w:val="1"/>
          <w:numId w:val="14"/>
        </w:numPr>
      </w:pPr>
      <w:r>
        <w:t>Made Safer: 9</w:t>
      </w:r>
      <w:commentRangeEnd w:id="52"/>
      <w:r w:rsidR="003A1C09">
        <w:rPr>
          <w:rStyle w:val="CommentReference"/>
        </w:rPr>
        <w:commentReference w:id="52"/>
      </w:r>
      <w:commentRangeEnd w:id="53"/>
      <w:r w:rsidR="001F4303">
        <w:rPr>
          <w:rStyle w:val="CommentReference"/>
        </w:rPr>
        <w:commentReference w:id="53"/>
      </w:r>
      <w:commentRangeEnd w:id="54"/>
      <w:r w:rsidR="001F4303">
        <w:rPr>
          <w:rStyle w:val="CommentReference"/>
        </w:rPr>
        <w:commentReference w:id="54"/>
      </w:r>
      <w:r>
        <w:t xml:space="preserve">.9% marginal effect </w:t>
      </w:r>
    </w:p>
    <w:p w14:paraId="72485AED" w14:textId="24C0E0A8" w:rsidR="006B78B8" w:rsidRDefault="006B78B8" w:rsidP="006B78B8">
      <w:pPr>
        <w:pStyle w:val="ListParagraph"/>
        <w:numPr>
          <w:ilvl w:val="1"/>
          <w:numId w:val="14"/>
        </w:numPr>
      </w:pPr>
      <w:r>
        <w:t>Insurance: 12% marginal effect</w:t>
      </w:r>
    </w:p>
    <w:p w14:paraId="7BC7B8EA" w14:textId="1FEB6C0A" w:rsidR="006B78B8" w:rsidRDefault="006B78B8" w:rsidP="006B78B8">
      <w:pPr>
        <w:pStyle w:val="ListParagraph"/>
        <w:numPr>
          <w:ilvl w:val="1"/>
          <w:numId w:val="14"/>
        </w:numPr>
      </w:pPr>
      <w:r>
        <w:t>Community involvement: -6% marginal effect</w:t>
      </w:r>
    </w:p>
    <w:p w14:paraId="01C34448" w14:textId="6B1F7F08" w:rsidR="006B78B8" w:rsidRDefault="005E481B" w:rsidP="006B78B8">
      <w:pPr>
        <w:pStyle w:val="ListParagraph"/>
        <w:numPr>
          <w:ilvl w:val="2"/>
          <w:numId w:val="14"/>
        </w:numPr>
      </w:pPr>
      <w:r>
        <w:t xml:space="preserve">Find out in the literature if anyone has observed this </w:t>
      </w:r>
    </w:p>
    <w:p w14:paraId="63D9B7B4" w14:textId="749214F2" w:rsidR="00E74D5E" w:rsidRDefault="005E481B" w:rsidP="005E481B">
      <w:pPr>
        <w:pStyle w:val="ListParagraph"/>
        <w:numPr>
          <w:ilvl w:val="1"/>
          <w:numId w:val="14"/>
        </w:numPr>
      </w:pPr>
      <w:r>
        <w:t xml:space="preserve">When regressing only homeownership, the </w:t>
      </w:r>
      <w:proofErr w:type="spellStart"/>
      <w:r w:rsidR="00E74D5E">
        <w:t>made_safer</w:t>
      </w:r>
      <w:proofErr w:type="spellEnd"/>
      <w:r w:rsidR="00E74D5E">
        <w:t xml:space="preserve"> highly insignificant</w:t>
      </w:r>
      <w:r w:rsidR="00D671A1">
        <w:t xml:space="preserve"> </w:t>
      </w:r>
      <w:r w:rsidR="00E74D5E">
        <w:t>(p=0.26)</w:t>
      </w:r>
    </w:p>
    <w:p w14:paraId="244FAFB4" w14:textId="12041B66" w:rsidR="005E481B" w:rsidRDefault="005E481B" w:rsidP="00E74D5E">
      <w:pPr>
        <w:pStyle w:val="ListParagraph"/>
        <w:numPr>
          <w:ilvl w:val="2"/>
          <w:numId w:val="14"/>
        </w:numPr>
      </w:pPr>
      <w:r>
        <w:t xml:space="preserve"> insurance: 9.5%, involvement -6.2%</w:t>
      </w:r>
    </w:p>
    <w:p w14:paraId="76AE9EDF" w14:textId="59299051" w:rsidR="005E481B" w:rsidRDefault="005E481B" w:rsidP="005E481B">
      <w:pPr>
        <w:pStyle w:val="ListParagraph"/>
        <w:numPr>
          <w:ilvl w:val="1"/>
          <w:numId w:val="14"/>
        </w:numPr>
      </w:pPr>
      <w:r>
        <w:t xml:space="preserve">This finding </w:t>
      </w:r>
      <w:proofErr w:type="spellStart"/>
      <w:r>
        <w:t>finding</w:t>
      </w:r>
      <w:proofErr w:type="spellEnd"/>
      <w:r>
        <w:t xml:space="preserve"> is slightly contradicting the literature since homeownership is rather ambiguous than always positive</w:t>
      </w:r>
    </w:p>
    <w:p w14:paraId="4A0CB6FA" w14:textId="4902A91D" w:rsidR="005E481B" w:rsidRDefault="005E481B" w:rsidP="005E481B">
      <w:pPr>
        <w:pStyle w:val="ListParagraph"/>
        <w:numPr>
          <w:ilvl w:val="0"/>
          <w:numId w:val="14"/>
        </w:numPr>
      </w:pPr>
      <w:r>
        <w:t>Income and education have no significant effect, also not in the robustness checks</w:t>
      </w:r>
      <w:r w:rsidR="00586E00">
        <w:t xml:space="preserve">, contradicting the literature </w:t>
      </w:r>
    </w:p>
    <w:p w14:paraId="5C85A7DC" w14:textId="2AD35730" w:rsidR="00586E00" w:rsidRDefault="00586E00" w:rsidP="005E481B">
      <w:pPr>
        <w:pStyle w:val="ListParagraph"/>
        <w:numPr>
          <w:ilvl w:val="0"/>
          <w:numId w:val="14"/>
        </w:numPr>
      </w:pPr>
      <w:r>
        <w:t xml:space="preserve">The effect of income, albeit highly insignificant, is also ambiguous, further contradicting the literature </w:t>
      </w:r>
    </w:p>
    <w:p w14:paraId="298E9F43" w14:textId="77777777" w:rsidR="000C4F75" w:rsidRDefault="000C4F75" w:rsidP="000C4F75"/>
    <w:p w14:paraId="605E5DCC" w14:textId="77777777" w:rsidR="000C4F75" w:rsidRDefault="000C4F75" w:rsidP="000C4F75"/>
    <w:p w14:paraId="536C1A69" w14:textId="42082E2D" w:rsidR="000C4F75" w:rsidRDefault="000C4F75" w:rsidP="005E481B">
      <w:r>
        <w:t xml:space="preserve">&lt;did any effects change when we include </w:t>
      </w:r>
      <w:proofErr w:type="spellStart"/>
      <w:r>
        <w:t>rentmortgage</w:t>
      </w:r>
      <w:proofErr w:type="spellEnd"/>
      <w:r>
        <w:t>?&gt;</w:t>
      </w:r>
    </w:p>
    <w:p w14:paraId="66666FFF" w14:textId="10D049BC" w:rsidR="000C4F75" w:rsidRDefault="001F4303" w:rsidP="001F4303">
      <w:pPr>
        <w:pStyle w:val="ListParagraph"/>
        <w:numPr>
          <w:ilvl w:val="0"/>
          <w:numId w:val="14"/>
        </w:numPr>
      </w:pPr>
      <w:r>
        <w:t xml:space="preserve">income is now also significantly affecting </w:t>
      </w:r>
      <w:proofErr w:type="spellStart"/>
      <w:r>
        <w:t>made_safer</w:t>
      </w:r>
      <w:proofErr w:type="spellEnd"/>
      <w:r>
        <w:t xml:space="preserve">. The </w:t>
      </w:r>
      <w:r w:rsidR="009D5EDC">
        <w:t>AME</w:t>
      </w:r>
      <w:r>
        <w:t xml:space="preserve"> effect is </w:t>
      </w:r>
      <w:proofErr w:type="gramStart"/>
      <w:r>
        <w:t>0%</w:t>
      </w:r>
      <w:proofErr w:type="gramEnd"/>
      <w:r>
        <w:t xml:space="preserve"> however. </w:t>
      </w:r>
    </w:p>
    <w:p w14:paraId="1B482F0E" w14:textId="612EF54C" w:rsidR="001F4303" w:rsidRDefault="009D5EDC" w:rsidP="001F4303">
      <w:pPr>
        <w:pStyle w:val="ListParagraph"/>
        <w:numPr>
          <w:ilvl w:val="0"/>
          <w:numId w:val="14"/>
        </w:numPr>
      </w:pPr>
      <w:r>
        <w:t xml:space="preserve">No changes in age </w:t>
      </w:r>
    </w:p>
    <w:p w14:paraId="5470DD22" w14:textId="5294C747" w:rsidR="009D5EDC" w:rsidRDefault="009D5EDC" w:rsidP="001F4303">
      <w:pPr>
        <w:pStyle w:val="ListParagraph"/>
        <w:numPr>
          <w:ilvl w:val="0"/>
          <w:numId w:val="14"/>
        </w:numPr>
      </w:pPr>
      <w:r>
        <w:t>No changes in homeownership</w:t>
      </w:r>
    </w:p>
    <w:p w14:paraId="2598208D" w14:textId="2616191B" w:rsidR="009D5EDC" w:rsidRDefault="009D5EDC" w:rsidP="00010D54">
      <w:pPr>
        <w:pStyle w:val="ListParagraph"/>
        <w:numPr>
          <w:ilvl w:val="0"/>
          <w:numId w:val="14"/>
        </w:numPr>
      </w:pPr>
      <w:proofErr w:type="spellStart"/>
      <w:r>
        <w:t>Rentmortgage</w:t>
      </w:r>
      <w:proofErr w:type="spellEnd"/>
      <w:r>
        <w:t xml:space="preserve"> is significant in </w:t>
      </w:r>
      <w:proofErr w:type="spellStart"/>
      <w:r>
        <w:t>practiced_drills</w:t>
      </w:r>
      <w:proofErr w:type="spellEnd"/>
      <w:r>
        <w:t xml:space="preserve">, and </w:t>
      </w:r>
      <w:proofErr w:type="spellStart"/>
      <w:r>
        <w:t>family_communication</w:t>
      </w:r>
      <w:proofErr w:type="spellEnd"/>
      <w:r>
        <w:t xml:space="preserve">. However, both AME are 0% </w:t>
      </w:r>
    </w:p>
    <w:p w14:paraId="68F60AC8" w14:textId="77777777" w:rsidR="000C4F75" w:rsidRDefault="000C4F75" w:rsidP="005E481B"/>
    <w:p w14:paraId="0E5EED3F" w14:textId="02E36714" w:rsidR="003A1C09" w:rsidRDefault="003A1C09" w:rsidP="005E481B">
      <w:r>
        <w:t>&lt;robustness check&gt;</w:t>
      </w:r>
    </w:p>
    <w:p w14:paraId="4EDC5D95" w14:textId="2D88E6D2" w:rsidR="00010D54" w:rsidRDefault="00010D54" w:rsidP="00010D54">
      <w:pPr>
        <w:pStyle w:val="ListParagraph"/>
        <w:numPr>
          <w:ilvl w:val="0"/>
          <w:numId w:val="14"/>
        </w:numPr>
      </w:pPr>
      <w:r>
        <w:t xml:space="preserve">Based on R2, the multivariate model has much higher explanatory power </w:t>
      </w:r>
    </w:p>
    <w:p w14:paraId="79BF0DE0" w14:textId="4BC7A364" w:rsidR="00010D54" w:rsidRDefault="00010D54" w:rsidP="00010D54">
      <w:pPr>
        <w:pStyle w:val="ListParagraph"/>
        <w:numPr>
          <w:ilvl w:val="0"/>
          <w:numId w:val="14"/>
        </w:numPr>
      </w:pPr>
      <w:r>
        <w:t xml:space="preserve">Results are okay for: </w:t>
      </w:r>
    </w:p>
    <w:p w14:paraId="15423552" w14:textId="75B2C80B" w:rsidR="00010D54" w:rsidRDefault="00010D54" w:rsidP="00010D54">
      <w:pPr>
        <w:pStyle w:val="ListParagraph"/>
        <w:numPr>
          <w:ilvl w:val="1"/>
          <w:numId w:val="14"/>
        </w:numPr>
      </w:pPr>
      <w:r>
        <w:t xml:space="preserve">Involved </w:t>
      </w:r>
    </w:p>
    <w:p w14:paraId="3737D88F" w14:textId="310270D2" w:rsidR="00010D54" w:rsidRDefault="00010D54" w:rsidP="00010D54">
      <w:pPr>
        <w:pStyle w:val="ListParagraph"/>
        <w:numPr>
          <w:ilvl w:val="1"/>
          <w:numId w:val="14"/>
        </w:numPr>
      </w:pPr>
      <w:proofErr w:type="spellStart"/>
      <w:r>
        <w:t>Racticed_drills</w:t>
      </w:r>
      <w:proofErr w:type="spellEnd"/>
      <w:r>
        <w:t xml:space="preserve"> </w:t>
      </w:r>
    </w:p>
    <w:p w14:paraId="640313E7" w14:textId="5E581508" w:rsidR="00010D54" w:rsidRDefault="00010D54" w:rsidP="00010D54">
      <w:pPr>
        <w:pStyle w:val="ListParagraph"/>
        <w:numPr>
          <w:ilvl w:val="1"/>
          <w:numId w:val="14"/>
        </w:numPr>
      </w:pPr>
      <w:proofErr w:type="spellStart"/>
      <w:r>
        <w:t>Family_communication</w:t>
      </w:r>
      <w:proofErr w:type="spellEnd"/>
    </w:p>
    <w:p w14:paraId="4B228525" w14:textId="66A30403" w:rsidR="00010D54" w:rsidRDefault="00010D54" w:rsidP="00010D54">
      <w:pPr>
        <w:pStyle w:val="ListParagraph"/>
        <w:numPr>
          <w:ilvl w:val="1"/>
          <w:numId w:val="14"/>
        </w:numPr>
      </w:pPr>
      <w:r>
        <w:t>Insured</w:t>
      </w:r>
    </w:p>
    <w:p w14:paraId="259F90D3" w14:textId="3BF18C91" w:rsidR="00010D54" w:rsidRDefault="00010D54" w:rsidP="00010D54">
      <w:pPr>
        <w:pStyle w:val="ListParagraph"/>
        <w:numPr>
          <w:ilvl w:val="1"/>
          <w:numId w:val="14"/>
        </w:numPr>
      </w:pPr>
      <w:r>
        <w:lastRenderedPageBreak/>
        <w:t xml:space="preserve">Supplies </w:t>
      </w:r>
    </w:p>
    <w:p w14:paraId="1A35347C" w14:textId="6068D3F1" w:rsidR="00010D54" w:rsidRDefault="00010D54" w:rsidP="00010D54">
      <w:pPr>
        <w:pStyle w:val="ListParagraph"/>
        <w:numPr>
          <w:ilvl w:val="0"/>
          <w:numId w:val="14"/>
        </w:numPr>
      </w:pPr>
      <w:r>
        <w:t xml:space="preserve">The rest is </w:t>
      </w:r>
      <w:proofErr w:type="spellStart"/>
      <w:r>
        <w:t>kinda</w:t>
      </w:r>
      <w:proofErr w:type="spellEnd"/>
      <w:r>
        <w:t xml:space="preserve"> questionable …</w:t>
      </w:r>
    </w:p>
    <w:p w14:paraId="1464E72D" w14:textId="6F5D5E6F" w:rsidR="00010D54" w:rsidRDefault="00010D54" w:rsidP="00010D54">
      <w:pPr>
        <w:pStyle w:val="ListParagraph"/>
        <w:numPr>
          <w:ilvl w:val="0"/>
          <w:numId w:val="14"/>
        </w:numPr>
      </w:pPr>
      <w:r>
        <w:t>BIC is okay across all models for</w:t>
      </w:r>
    </w:p>
    <w:p w14:paraId="4F6AE0D6" w14:textId="246D628D" w:rsidR="00010D54" w:rsidRDefault="00010D54" w:rsidP="00010D54">
      <w:pPr>
        <w:pStyle w:val="ListParagraph"/>
        <w:numPr>
          <w:ilvl w:val="1"/>
          <w:numId w:val="14"/>
        </w:numPr>
      </w:pPr>
      <w:proofErr w:type="spellStart"/>
      <w:r>
        <w:t>Practiced_drills</w:t>
      </w:r>
      <w:proofErr w:type="spellEnd"/>
      <w:r>
        <w:t xml:space="preserve"> </w:t>
      </w:r>
    </w:p>
    <w:p w14:paraId="779B1E60" w14:textId="46E604E4" w:rsidR="00010D54" w:rsidRDefault="00010D54" w:rsidP="00010D54">
      <w:pPr>
        <w:pStyle w:val="ListParagraph"/>
        <w:numPr>
          <w:ilvl w:val="1"/>
          <w:numId w:val="14"/>
        </w:numPr>
      </w:pPr>
      <w:r>
        <w:t>Family communication</w:t>
      </w:r>
    </w:p>
    <w:p w14:paraId="6F8DB0B3" w14:textId="1ABCC066" w:rsidR="00010D54" w:rsidRDefault="00010D54" w:rsidP="00010D54">
      <w:pPr>
        <w:pStyle w:val="ListParagraph"/>
        <w:numPr>
          <w:ilvl w:val="1"/>
          <w:numId w:val="14"/>
        </w:numPr>
      </w:pPr>
      <w:r>
        <w:t xml:space="preserve">Involved </w:t>
      </w:r>
    </w:p>
    <w:p w14:paraId="01698549" w14:textId="77777777" w:rsidR="00221DA7" w:rsidRDefault="00221DA7" w:rsidP="00221DA7"/>
    <w:p w14:paraId="174E33D0" w14:textId="67A75771" w:rsidR="00221DA7" w:rsidRDefault="00221DA7" w:rsidP="00221DA7">
      <w:pPr>
        <w:pStyle w:val="ListParagraph"/>
        <w:numPr>
          <w:ilvl w:val="0"/>
          <w:numId w:val="14"/>
        </w:numPr>
      </w:pPr>
      <w:r>
        <w:t xml:space="preserve">Socioeconomic determinants reasonably predict the likelihood of households implementing a family communication plan, getting involved in the community and practicing drills. The results indicate that socioeconomic indicators predict people’s tendency to get involved in their immediate social environment. </w:t>
      </w:r>
    </w:p>
    <w:p w14:paraId="3323C495" w14:textId="0295A7A3" w:rsidR="00221DA7" w:rsidRDefault="00221DA7" w:rsidP="00EB5FFC">
      <w:pPr>
        <w:pStyle w:val="ListParagraph"/>
        <w:numPr>
          <w:ilvl w:val="0"/>
          <w:numId w:val="14"/>
        </w:numPr>
      </w:pPr>
      <w:r>
        <w:t>Education, income and gender have an effect neither on people’s decision to participate in adaptation planning in their immediate environment, nor on any other adaptation strategies such as insurance take up</w:t>
      </w:r>
      <w:r w:rsidR="00EB5FFC">
        <w:t xml:space="preserve">, stocking up on supplies or any structural adaptation measures. </w:t>
      </w:r>
    </w:p>
    <w:p w14:paraId="6F2FFB6B" w14:textId="6ADA1CCB" w:rsidR="00EB5FFC" w:rsidRDefault="00EB5FFC" w:rsidP="00EB5FFC">
      <w:pPr>
        <w:pStyle w:val="ListParagraph"/>
        <w:numPr>
          <w:ilvl w:val="0"/>
          <w:numId w:val="14"/>
        </w:numPr>
      </w:pPr>
      <w:r>
        <w:t xml:space="preserve">While income </w:t>
      </w:r>
      <w:commentRangeStart w:id="55"/>
      <w:r>
        <w:t xml:space="preserve">turns out not to predict the decision to implement structural adaptation, rent and mortgage </w:t>
      </w:r>
      <w:commentRangeEnd w:id="55"/>
      <w:r>
        <w:rPr>
          <w:rStyle w:val="CommentReference"/>
        </w:rPr>
        <w:commentReference w:id="55"/>
      </w:r>
      <w:r>
        <w:t xml:space="preserve">payments do. </w:t>
      </w:r>
    </w:p>
    <w:p w14:paraId="2741A33A" w14:textId="6BD2C033" w:rsidR="003A1C09" w:rsidRDefault="00EB5FFC" w:rsidP="00363B2B">
      <w:pPr>
        <w:pStyle w:val="ListParagraph"/>
        <w:numPr>
          <w:ilvl w:val="0"/>
          <w:numId w:val="14"/>
        </w:numPr>
      </w:pPr>
      <w:r>
        <w:t>T</w:t>
      </w:r>
      <w:r w:rsidR="00221DA7">
        <w:t>he multivariate model produces the most reliable results</w:t>
      </w:r>
      <w:r>
        <w:t xml:space="preserve">, especially regarding adaptation </w:t>
      </w:r>
      <w:commentRangeStart w:id="56"/>
      <w:r>
        <w:t xml:space="preserve">involvement in the immediate social </w:t>
      </w:r>
      <w:commentRangeEnd w:id="56"/>
      <w:r>
        <w:rPr>
          <w:rStyle w:val="CommentReference"/>
        </w:rPr>
        <w:commentReference w:id="56"/>
      </w:r>
      <w:r>
        <w:t>environment</w:t>
      </w:r>
      <w:r w:rsidR="00221DA7">
        <w:t xml:space="preserve">. </w:t>
      </w:r>
      <w:r w:rsidR="00AC0BF5">
        <w:t xml:space="preserve">Younger people are </w:t>
      </w:r>
      <w:commentRangeStart w:id="57"/>
      <w:r w:rsidR="00AC0BF5">
        <w:t>more likely to get involved but the discovered effect sizes stay in the 0.1% to 0.3% area</w:t>
      </w:r>
      <w:commentRangeEnd w:id="57"/>
      <w:r w:rsidR="001B46AF">
        <w:rPr>
          <w:rStyle w:val="CommentReference"/>
        </w:rPr>
        <w:commentReference w:id="57"/>
      </w:r>
      <w:r w:rsidR="00AC0BF5">
        <w:t xml:space="preserve">. </w:t>
      </w:r>
      <w:r w:rsidR="00791C0A">
        <w:t>Note that the lowest reported age in the survey is 25 years. As shown in the section on Exploratory analysis, the age distribution in the sample is flat.</w:t>
      </w:r>
    </w:p>
    <w:p w14:paraId="3DA09D37" w14:textId="77777777" w:rsidR="000C4F75" w:rsidRDefault="000C4F75" w:rsidP="005E481B"/>
    <w:p w14:paraId="2E0D20E9" w14:textId="77777777" w:rsidR="000C4F75" w:rsidRDefault="000C4F75" w:rsidP="005E481B"/>
    <w:p w14:paraId="4871DDE5" w14:textId="77777777" w:rsidR="000C4F75" w:rsidRDefault="000C4F75" w:rsidP="005E481B"/>
    <w:p w14:paraId="591342B6" w14:textId="17714906" w:rsidR="00586E00" w:rsidRDefault="009A674A" w:rsidP="005E481B">
      <w:r>
        <w:rPr>
          <w:noProof/>
        </w:rPr>
        <w:drawing>
          <wp:inline distT="0" distB="0" distL="0" distR="0" wp14:anchorId="700B1F54" wp14:editId="5B7904CA">
            <wp:extent cx="5731510" cy="2660650"/>
            <wp:effectExtent l="0" t="0" r="8890" b="6350"/>
            <wp:docPr id="164234498" name="Chart 1">
              <a:extLst xmlns:a="http://schemas.openxmlformats.org/drawingml/2006/main">
                <a:ext uri="{FF2B5EF4-FFF2-40B4-BE49-F238E27FC236}">
                  <a16:creationId xmlns:a16="http://schemas.microsoft.com/office/drawing/2014/main" id="{50778005-A5E3-F546-8A5A-EB63E780F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8F544FE" w14:textId="3CB4D56F" w:rsidR="009A674A" w:rsidRDefault="009A674A" w:rsidP="009A674A">
      <w:pPr>
        <w:pStyle w:val="Caption"/>
      </w:pPr>
      <w:r>
        <w:t xml:space="preserve">Figure </w:t>
      </w:r>
      <w:r>
        <w:fldChar w:fldCharType="begin"/>
      </w:r>
      <w:r>
        <w:instrText xml:space="preserve"> SEQ Figure \* ARABIC </w:instrText>
      </w:r>
      <w:r>
        <w:fldChar w:fldCharType="separate"/>
      </w:r>
      <w:r w:rsidR="004E5AE3">
        <w:rPr>
          <w:noProof/>
        </w:rPr>
        <w:t>9</w:t>
      </w:r>
      <w:r>
        <w:fldChar w:fldCharType="end"/>
      </w:r>
      <w:r>
        <w:t xml:space="preserve">: R_2 for selected socioeconomic models </w:t>
      </w:r>
    </w:p>
    <w:p w14:paraId="6BEB11FD" w14:textId="77777777" w:rsidR="00221DA7" w:rsidRPr="00221DA7" w:rsidRDefault="00221DA7" w:rsidP="00221DA7"/>
    <w:p w14:paraId="5625DBEC" w14:textId="6AF0BEE9" w:rsidR="00586E00" w:rsidRDefault="007C1FD2" w:rsidP="00366226">
      <w:r>
        <w:rPr>
          <w:noProof/>
        </w:rPr>
        <w:lastRenderedPageBreak/>
        <w:drawing>
          <wp:inline distT="0" distB="0" distL="0" distR="0" wp14:anchorId="30D8F14C" wp14:editId="6C8554B3">
            <wp:extent cx="5731510" cy="2672080"/>
            <wp:effectExtent l="0" t="0" r="8890" b="7620"/>
            <wp:docPr id="75660529" name="Chart 1">
              <a:extLst xmlns:a="http://schemas.openxmlformats.org/drawingml/2006/main">
                <a:ext uri="{FF2B5EF4-FFF2-40B4-BE49-F238E27FC236}">
                  <a16:creationId xmlns:a16="http://schemas.microsoft.com/office/drawing/2014/main" id="{99A3F1DF-69CF-33DE-892E-878040A2CF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3AFD766" w14:textId="07502801" w:rsidR="00221DA7" w:rsidRPr="00221DA7" w:rsidRDefault="00221DA7" w:rsidP="00221DA7">
      <w:pPr>
        <w:pStyle w:val="Caption"/>
      </w:pPr>
      <w:r>
        <w:t xml:space="preserve">Figure </w:t>
      </w:r>
      <w:r>
        <w:fldChar w:fldCharType="begin"/>
      </w:r>
      <w:r>
        <w:instrText xml:space="preserve"> SEQ Figure \* ARABIC </w:instrText>
      </w:r>
      <w:r>
        <w:fldChar w:fldCharType="separate"/>
      </w:r>
      <w:r w:rsidR="004E5AE3">
        <w:rPr>
          <w:noProof/>
        </w:rPr>
        <w:t>10</w:t>
      </w:r>
      <w:r>
        <w:fldChar w:fldCharType="end"/>
      </w:r>
      <w:r>
        <w:t>: BIC for selected socioeconomic models</w:t>
      </w:r>
    </w:p>
    <w:p w14:paraId="51191B84" w14:textId="77777777" w:rsidR="00D74E5F" w:rsidRDefault="00D74E5F" w:rsidP="008C2F6E"/>
    <w:p w14:paraId="36E2ACE1" w14:textId="77777777" w:rsidR="006B78B8" w:rsidRDefault="006B78B8" w:rsidP="008C2F6E"/>
    <w:p w14:paraId="64D00007" w14:textId="64A414DD" w:rsidR="00D47EB5" w:rsidRDefault="00D47EB5" w:rsidP="00D47EB5">
      <w:pPr>
        <w:pStyle w:val="ListParagraph"/>
      </w:pPr>
    </w:p>
    <w:p w14:paraId="61EFE080" w14:textId="77777777" w:rsidR="00D47EB5" w:rsidRDefault="00D47EB5" w:rsidP="00D47EB5">
      <w:pPr>
        <w:pStyle w:val="ListParagraph"/>
      </w:pPr>
    </w:p>
    <w:p w14:paraId="5891B603" w14:textId="77777777" w:rsidR="00D47EB5" w:rsidRDefault="00D47EB5" w:rsidP="00D47EB5">
      <w:pPr>
        <w:pStyle w:val="ListParagraph"/>
      </w:pPr>
    </w:p>
    <w:p w14:paraId="5251E444" w14:textId="77777777" w:rsidR="00D47EB5" w:rsidRDefault="00D47EB5" w:rsidP="00D47EB5">
      <w:pPr>
        <w:pStyle w:val="ListParagraph"/>
      </w:pPr>
    </w:p>
    <w:p w14:paraId="1481EACE" w14:textId="77777777" w:rsidR="00D47EB5" w:rsidRDefault="00D47EB5" w:rsidP="00D47EB5">
      <w:pPr>
        <w:pStyle w:val="ListParagraph"/>
      </w:pPr>
    </w:p>
    <w:p w14:paraId="51377D8D" w14:textId="4C8D5137" w:rsidR="00D47EB5" w:rsidRDefault="00D47EB5" w:rsidP="00B722CF">
      <w:pPr>
        <w:pStyle w:val="Heading2"/>
        <w:numPr>
          <w:ilvl w:val="1"/>
          <w:numId w:val="24"/>
        </w:numPr>
      </w:pPr>
      <w:bookmarkStart w:id="58" w:name="_Toc197002981"/>
      <w:r>
        <w:t>Next analysis</w:t>
      </w:r>
      <w:bookmarkEnd w:id="58"/>
    </w:p>
    <w:p w14:paraId="73F28796" w14:textId="77777777" w:rsidR="00D47EB5" w:rsidRPr="00D47EB5" w:rsidRDefault="00D47EB5" w:rsidP="00D47EB5"/>
    <w:p w14:paraId="46612EA3" w14:textId="58771977" w:rsidR="008C2F6E" w:rsidRDefault="008C2F6E" w:rsidP="008C2F6E">
      <w:pPr>
        <w:pStyle w:val="ListParagraph"/>
        <w:numPr>
          <w:ilvl w:val="1"/>
          <w:numId w:val="14"/>
        </w:numPr>
      </w:pPr>
      <w:commentRangeStart w:id="59"/>
      <w:r>
        <w:t>Differences between flood</w:t>
      </w:r>
      <w:r w:rsidR="006B78B8">
        <w:t xml:space="preserve"> </w:t>
      </w:r>
      <w:r>
        <w:t xml:space="preserve">zones -&gt; real flood risk </w:t>
      </w:r>
      <w:r w:rsidR="00523FD7">
        <w:t>a</w:t>
      </w:r>
      <w:commentRangeEnd w:id="59"/>
      <w:r w:rsidR="00523FD7">
        <w:rPr>
          <w:rStyle w:val="CommentReference"/>
        </w:rPr>
        <w:commentReference w:id="59"/>
      </w:r>
    </w:p>
    <w:p w14:paraId="1EF862B6" w14:textId="36F2994F" w:rsidR="008C2F6E" w:rsidRDefault="008C2F6E" w:rsidP="008C2F6E">
      <w:pPr>
        <w:pStyle w:val="ListParagraph"/>
        <w:numPr>
          <w:ilvl w:val="1"/>
          <w:numId w:val="14"/>
        </w:numPr>
      </w:pPr>
      <w:r>
        <w:t xml:space="preserve">Differences between hurricane regions? </w:t>
      </w:r>
    </w:p>
    <w:p w14:paraId="007B1568" w14:textId="071743E4" w:rsidR="008C2F6E" w:rsidRDefault="008C2F6E" w:rsidP="008C2F6E">
      <w:pPr>
        <w:pStyle w:val="ListParagraph"/>
        <w:numPr>
          <w:ilvl w:val="1"/>
          <w:numId w:val="14"/>
        </w:numPr>
      </w:pPr>
      <w:r>
        <w:t xml:space="preserve">Group </w:t>
      </w:r>
      <w:r w:rsidR="006B78B8">
        <w:t>adaptations</w:t>
      </w:r>
      <w:r>
        <w:t xml:space="preserve"> into high-cost low-effect and low-cost high-effect</w:t>
      </w:r>
    </w:p>
    <w:p w14:paraId="3E67AA57" w14:textId="7A7BF5D9" w:rsidR="008C2F6E" w:rsidRDefault="008C2F6E" w:rsidP="008C2F6E">
      <w:pPr>
        <w:pStyle w:val="ListParagraph"/>
        <w:numPr>
          <w:ilvl w:val="1"/>
          <w:numId w:val="14"/>
        </w:numPr>
      </w:pPr>
      <w:r>
        <w:t>Interactions between insurance</w:t>
      </w:r>
    </w:p>
    <w:p w14:paraId="001610E1" w14:textId="77777777" w:rsidR="008C2F6E" w:rsidRDefault="008C2F6E" w:rsidP="008C2F6E"/>
    <w:p w14:paraId="7122D35E" w14:textId="77777777" w:rsidR="00C846E9" w:rsidRDefault="00C846E9" w:rsidP="008C2F6E"/>
    <w:p w14:paraId="6DE9F32B" w14:textId="77777777" w:rsidR="00C846E9" w:rsidRDefault="00C846E9" w:rsidP="008C2F6E"/>
    <w:p w14:paraId="2694E2C4" w14:textId="77777777" w:rsidR="00C846E9" w:rsidRDefault="00C846E9" w:rsidP="008C2F6E"/>
    <w:p w14:paraId="0DFA2872" w14:textId="77777777" w:rsidR="00C846E9" w:rsidRDefault="00C846E9" w:rsidP="008C2F6E"/>
    <w:p w14:paraId="5FD34152" w14:textId="77777777" w:rsidR="00C846E9" w:rsidRDefault="00C846E9" w:rsidP="008C2F6E"/>
    <w:p w14:paraId="62F47F68" w14:textId="77777777" w:rsidR="00C846E9" w:rsidRDefault="00C846E9" w:rsidP="008C2F6E"/>
    <w:p w14:paraId="240C3426" w14:textId="77777777" w:rsidR="00C846E9" w:rsidRDefault="00C846E9" w:rsidP="008C2F6E"/>
    <w:p w14:paraId="49976B7D" w14:textId="77777777" w:rsidR="00C846E9" w:rsidRDefault="00C846E9" w:rsidP="008C2F6E"/>
    <w:p w14:paraId="0E13B278" w14:textId="77777777" w:rsidR="00C846E9" w:rsidRDefault="00C846E9" w:rsidP="008C2F6E"/>
    <w:p w14:paraId="6A7FC8A8" w14:textId="77777777" w:rsidR="00C846E9" w:rsidRDefault="00C846E9" w:rsidP="008C2F6E"/>
    <w:p w14:paraId="4B3D22E8" w14:textId="77777777" w:rsidR="00C846E9" w:rsidRDefault="00C846E9" w:rsidP="008C2F6E"/>
    <w:p w14:paraId="1F3F16B2" w14:textId="77777777" w:rsidR="00C846E9" w:rsidRPr="008C2F6E" w:rsidRDefault="00C846E9" w:rsidP="008C2F6E"/>
    <w:p w14:paraId="643736B8" w14:textId="77777777" w:rsidR="00E8436A" w:rsidRPr="00E8436A" w:rsidRDefault="00E8436A" w:rsidP="00E8436A"/>
    <w:p w14:paraId="7A92341F" w14:textId="77777777" w:rsidR="001B6481" w:rsidRDefault="001B6481" w:rsidP="001B6481"/>
    <w:p w14:paraId="61BCE15C" w14:textId="77777777" w:rsidR="00E8436A" w:rsidRDefault="00E8436A" w:rsidP="001B6481"/>
    <w:p w14:paraId="7617DF3E" w14:textId="77777777" w:rsidR="00E8436A" w:rsidRDefault="00E8436A" w:rsidP="001B6481"/>
    <w:p w14:paraId="4606724A" w14:textId="77777777" w:rsidR="00E8436A" w:rsidRDefault="00E8436A" w:rsidP="001B6481"/>
    <w:p w14:paraId="5878722D" w14:textId="77777777" w:rsidR="009F5F0E" w:rsidRDefault="009F5F0E" w:rsidP="00366226"/>
    <w:p w14:paraId="1924791C" w14:textId="77777777" w:rsidR="00366226" w:rsidRDefault="00366226" w:rsidP="00366226"/>
    <w:p w14:paraId="633C2F9D" w14:textId="77777777" w:rsidR="00366226" w:rsidRDefault="00366226" w:rsidP="00366226"/>
    <w:p w14:paraId="4B5EFE98" w14:textId="77777777" w:rsidR="00366226" w:rsidRDefault="00366226" w:rsidP="00366226"/>
    <w:p w14:paraId="1166C31C" w14:textId="77777777" w:rsidR="00366226" w:rsidRDefault="00366226" w:rsidP="00366226"/>
    <w:p w14:paraId="75B68BF1" w14:textId="77777777" w:rsidR="00366226" w:rsidRDefault="00366226" w:rsidP="00366226"/>
    <w:p w14:paraId="29E5C505" w14:textId="77777777" w:rsidR="00366226" w:rsidRDefault="00366226" w:rsidP="00366226"/>
    <w:p w14:paraId="7518928C" w14:textId="77777777" w:rsidR="00366226" w:rsidRDefault="00366226" w:rsidP="00366226"/>
    <w:p w14:paraId="02AA14FB" w14:textId="77777777" w:rsidR="00366226" w:rsidRDefault="00366226" w:rsidP="00366226"/>
    <w:p w14:paraId="05A12B58" w14:textId="77777777" w:rsidR="00366226" w:rsidRDefault="00366226" w:rsidP="00366226"/>
    <w:p w14:paraId="48D19D77" w14:textId="77777777" w:rsidR="00366226" w:rsidRDefault="00366226" w:rsidP="00366226"/>
    <w:p w14:paraId="138F9D82" w14:textId="77777777" w:rsidR="00366226" w:rsidRDefault="00366226" w:rsidP="00366226"/>
    <w:p w14:paraId="42B3C1ED" w14:textId="77777777" w:rsidR="00366226" w:rsidRDefault="00366226" w:rsidP="00366226"/>
    <w:p w14:paraId="0101DD05" w14:textId="560964B6" w:rsidR="00E11736" w:rsidRPr="0017733D" w:rsidRDefault="0017733D" w:rsidP="0017733D">
      <w:pPr>
        <w:pStyle w:val="Heading1"/>
      </w:pPr>
      <w:bookmarkStart w:id="60" w:name="_Toc197002982"/>
      <w:r w:rsidRPr="0017733D">
        <w:t>Bibliography</w:t>
      </w:r>
      <w:bookmarkEnd w:id="60"/>
    </w:p>
    <w:p w14:paraId="06BAD02D" w14:textId="77777777" w:rsidR="0017733D" w:rsidRDefault="0017733D" w:rsidP="00D05732">
      <w:pPr>
        <w:pStyle w:val="Bibliography"/>
        <w:rPr>
          <w:b/>
          <w:bCs/>
        </w:rPr>
      </w:pPr>
    </w:p>
    <w:p w14:paraId="7DA2368C" w14:textId="77777777" w:rsidR="0083434B" w:rsidRPr="0083434B" w:rsidRDefault="00CD3528" w:rsidP="0083434B">
      <w:pPr>
        <w:pStyle w:val="Bibliography"/>
        <w:rPr>
          <w:lang w:val="en-GB"/>
        </w:rPr>
      </w:pPr>
      <w:r w:rsidRPr="00E65F72">
        <w:rPr>
          <w:b/>
          <w:bCs/>
          <w:color w:val="000000" w:themeColor="text1"/>
        </w:rPr>
        <w:fldChar w:fldCharType="begin"/>
      </w:r>
      <w:r w:rsidR="003865C7">
        <w:rPr>
          <w:b/>
          <w:bCs/>
          <w:color w:val="000000" w:themeColor="text1"/>
        </w:rPr>
        <w:instrText xml:space="preserve"> ADDIN ZOTERO_BIBL {"uncited":[],"omitted":[],"custom":[]} CSL_BIBLIOGRAPHY </w:instrText>
      </w:r>
      <w:r w:rsidRPr="00E65F72">
        <w:rPr>
          <w:b/>
          <w:bCs/>
          <w:color w:val="000000" w:themeColor="text1"/>
        </w:rPr>
        <w:fldChar w:fldCharType="separate"/>
      </w:r>
      <w:r w:rsidR="0083434B" w:rsidRPr="0083434B">
        <w:rPr>
          <w:i/>
          <w:iCs/>
          <w:lang w:val="en-GB"/>
        </w:rPr>
        <w:t>2023 National Household Survey on Disaster Preparedness: Survey Instrument (English)</w:t>
      </w:r>
      <w:r w:rsidR="0083434B" w:rsidRPr="0083434B">
        <w:rPr>
          <w:lang w:val="en-GB"/>
        </w:rPr>
        <w:t>. (2023).</w:t>
      </w:r>
    </w:p>
    <w:p w14:paraId="531392FE" w14:textId="77777777" w:rsidR="0083434B" w:rsidRPr="0083434B" w:rsidRDefault="0083434B" w:rsidP="0083434B">
      <w:pPr>
        <w:pStyle w:val="Bibliography"/>
        <w:rPr>
          <w:lang w:val="en-GB"/>
        </w:rPr>
      </w:pPr>
      <w:r w:rsidRPr="0083434B">
        <w:rPr>
          <w:lang w:val="en-GB"/>
        </w:rPr>
        <w:t xml:space="preserve">Adger, W. N. (2006). Vulnerability. </w:t>
      </w:r>
      <w:r w:rsidRPr="0083434B">
        <w:rPr>
          <w:i/>
          <w:iCs/>
          <w:lang w:val="en-GB"/>
        </w:rPr>
        <w:t>Global Environmental Change</w:t>
      </w:r>
      <w:r w:rsidRPr="0083434B">
        <w:rPr>
          <w:lang w:val="en-GB"/>
        </w:rPr>
        <w:t xml:space="preserve">, </w:t>
      </w:r>
      <w:r w:rsidRPr="0083434B">
        <w:rPr>
          <w:i/>
          <w:iCs/>
          <w:lang w:val="en-GB"/>
        </w:rPr>
        <w:t>16</w:t>
      </w:r>
      <w:r w:rsidRPr="0083434B">
        <w:rPr>
          <w:lang w:val="en-GB"/>
        </w:rPr>
        <w:t>(3), 268–281. https://doi.org/10.1016/j.gloenvcha.2006.02.006</w:t>
      </w:r>
    </w:p>
    <w:p w14:paraId="30FAF6F6" w14:textId="77777777" w:rsidR="0083434B" w:rsidRPr="0083434B" w:rsidRDefault="0083434B" w:rsidP="0083434B">
      <w:pPr>
        <w:pStyle w:val="Bibliography"/>
        <w:rPr>
          <w:lang w:val="en-GB"/>
        </w:rPr>
      </w:pPr>
      <w:proofErr w:type="spellStart"/>
      <w:r w:rsidRPr="0083434B">
        <w:rPr>
          <w:lang w:val="en-GB"/>
        </w:rPr>
        <w:t>Botzen</w:t>
      </w:r>
      <w:proofErr w:type="spellEnd"/>
      <w:r w:rsidRPr="0083434B">
        <w:rPr>
          <w:lang w:val="en-GB"/>
        </w:rPr>
        <w:t xml:space="preserve">, W. J. W., &amp; Van den Bergh, J. C. J. M. (2009). Managing natural disaster risks in a changing climate. </w:t>
      </w:r>
      <w:r w:rsidRPr="0083434B">
        <w:rPr>
          <w:i/>
          <w:iCs/>
          <w:lang w:val="en-GB"/>
        </w:rPr>
        <w:t>Environmental Hazards</w:t>
      </w:r>
      <w:r w:rsidRPr="0083434B">
        <w:rPr>
          <w:lang w:val="en-GB"/>
        </w:rPr>
        <w:t xml:space="preserve">, </w:t>
      </w:r>
      <w:r w:rsidRPr="0083434B">
        <w:rPr>
          <w:i/>
          <w:iCs/>
          <w:lang w:val="en-GB"/>
        </w:rPr>
        <w:t>8</w:t>
      </w:r>
      <w:r w:rsidRPr="0083434B">
        <w:rPr>
          <w:lang w:val="en-GB"/>
        </w:rPr>
        <w:t>(3), 209–225. https://doi.org/10.3763/ehaz.2009.0023</w:t>
      </w:r>
    </w:p>
    <w:p w14:paraId="26E1094B" w14:textId="77777777" w:rsidR="0083434B" w:rsidRPr="0083434B" w:rsidRDefault="0083434B" w:rsidP="0083434B">
      <w:pPr>
        <w:pStyle w:val="Bibliography"/>
        <w:rPr>
          <w:lang w:val="en-GB"/>
        </w:rPr>
      </w:pPr>
      <w:r w:rsidRPr="0083434B">
        <w:rPr>
          <w:lang w:val="en-GB"/>
        </w:rPr>
        <w:t xml:space="preserve">Brooks, N. (2003). </w:t>
      </w:r>
      <w:r w:rsidRPr="0083434B">
        <w:rPr>
          <w:i/>
          <w:iCs/>
          <w:lang w:val="en-GB"/>
        </w:rPr>
        <w:t>Vulnerability, risk and adaptation: A conceptual framework</w:t>
      </w:r>
      <w:r w:rsidRPr="0083434B">
        <w:rPr>
          <w:lang w:val="en-GB"/>
        </w:rPr>
        <w:t>.</w:t>
      </w:r>
    </w:p>
    <w:p w14:paraId="222E587E" w14:textId="77777777" w:rsidR="0083434B" w:rsidRPr="0083434B" w:rsidRDefault="0083434B" w:rsidP="0083434B">
      <w:pPr>
        <w:pStyle w:val="Bibliography"/>
        <w:rPr>
          <w:lang w:val="en-GB"/>
        </w:rPr>
      </w:pPr>
      <w:r w:rsidRPr="0083434B">
        <w:rPr>
          <w:lang w:val="en-GB"/>
        </w:rPr>
        <w:t xml:space="preserve">Brooks, N., Neil Adger, W., &amp; Mick Kelly, P. (2005). The determinants of vulnerability and adaptive capacity at the national level and the implications for adaptation. </w:t>
      </w:r>
      <w:r w:rsidRPr="0083434B">
        <w:rPr>
          <w:i/>
          <w:iCs/>
          <w:lang w:val="en-GB"/>
        </w:rPr>
        <w:t>Global Environmental Change</w:t>
      </w:r>
      <w:r w:rsidRPr="0083434B">
        <w:rPr>
          <w:lang w:val="en-GB"/>
        </w:rPr>
        <w:t xml:space="preserve">, </w:t>
      </w:r>
      <w:r w:rsidRPr="0083434B">
        <w:rPr>
          <w:i/>
          <w:iCs/>
          <w:lang w:val="en-GB"/>
        </w:rPr>
        <w:t>15</w:t>
      </w:r>
      <w:r w:rsidRPr="0083434B">
        <w:rPr>
          <w:lang w:val="en-GB"/>
        </w:rPr>
        <w:t>(2), 151–163. https://doi.org/10.1016/j.gloenvcha.2004.12.006</w:t>
      </w:r>
    </w:p>
    <w:p w14:paraId="67058FDF" w14:textId="77777777" w:rsidR="0083434B" w:rsidRPr="0083434B" w:rsidRDefault="0083434B" w:rsidP="0083434B">
      <w:pPr>
        <w:pStyle w:val="Bibliography"/>
        <w:rPr>
          <w:lang w:val="en-GB"/>
        </w:rPr>
      </w:pPr>
      <w:r w:rsidRPr="0083434B">
        <w:rPr>
          <w:lang w:val="en-GB"/>
        </w:rPr>
        <w:t xml:space="preserve">Carter, T. R., Parry, M. L., </w:t>
      </w:r>
      <w:proofErr w:type="spellStart"/>
      <w:r w:rsidRPr="0083434B">
        <w:rPr>
          <w:lang w:val="en-GB"/>
        </w:rPr>
        <w:t>Harasawa</w:t>
      </w:r>
      <w:proofErr w:type="spellEnd"/>
      <w:r w:rsidRPr="0083434B">
        <w:rPr>
          <w:lang w:val="en-GB"/>
        </w:rPr>
        <w:t xml:space="preserve">, N., S., &amp; Nishioka, S. (1994). </w:t>
      </w:r>
      <w:r w:rsidRPr="0083434B">
        <w:rPr>
          <w:i/>
          <w:iCs/>
          <w:lang w:val="en-GB"/>
        </w:rPr>
        <w:t>IPCC Technical Guidelines for Assessing Climate Change Impacts and Adaptations—IPCC</w:t>
      </w:r>
      <w:r w:rsidRPr="0083434B">
        <w:rPr>
          <w:lang w:val="en-GB"/>
        </w:rPr>
        <w:t xml:space="preserve">. </w:t>
      </w:r>
      <w:r w:rsidRPr="0083434B">
        <w:rPr>
          <w:lang w:val="en-GB"/>
        </w:rPr>
        <w:lastRenderedPageBreak/>
        <w:t xml:space="preserve">Department of </w:t>
      </w:r>
      <w:proofErr w:type="spellStart"/>
      <w:r w:rsidRPr="0083434B">
        <w:rPr>
          <w:lang w:val="en-GB"/>
        </w:rPr>
        <w:t>Gography</w:t>
      </w:r>
      <w:proofErr w:type="spellEnd"/>
      <w:r w:rsidRPr="0083434B">
        <w:rPr>
          <w:lang w:val="en-GB"/>
        </w:rPr>
        <w:t>, University College London. https://www.ipcc.ch/report/ipcc-technical-guidelines-for-assessing-climate-change-impacts-and-adaptations-2/</w:t>
      </w:r>
    </w:p>
    <w:p w14:paraId="5B6D3D65" w14:textId="77777777" w:rsidR="0083434B" w:rsidRPr="0083434B" w:rsidRDefault="0083434B" w:rsidP="0083434B">
      <w:pPr>
        <w:pStyle w:val="Bibliography"/>
        <w:rPr>
          <w:lang w:val="en-GB"/>
        </w:rPr>
      </w:pPr>
      <w:proofErr w:type="spellStart"/>
      <w:r w:rsidRPr="0083434B">
        <w:rPr>
          <w:lang w:val="en-GB"/>
        </w:rPr>
        <w:t>Coronese</w:t>
      </w:r>
      <w:proofErr w:type="spellEnd"/>
      <w:r w:rsidRPr="0083434B">
        <w:rPr>
          <w:lang w:val="en-GB"/>
        </w:rPr>
        <w:t xml:space="preserve">, M., Lamperti, F., Keller, K., </w:t>
      </w:r>
      <w:proofErr w:type="spellStart"/>
      <w:r w:rsidRPr="0083434B">
        <w:rPr>
          <w:lang w:val="en-GB"/>
        </w:rPr>
        <w:t>Chiaromonte</w:t>
      </w:r>
      <w:proofErr w:type="spellEnd"/>
      <w:r w:rsidRPr="0083434B">
        <w:rPr>
          <w:lang w:val="en-GB"/>
        </w:rPr>
        <w:t xml:space="preserve">, F., &amp; </w:t>
      </w:r>
      <w:proofErr w:type="spellStart"/>
      <w:r w:rsidRPr="0083434B">
        <w:rPr>
          <w:lang w:val="en-GB"/>
        </w:rPr>
        <w:t>Roventini</w:t>
      </w:r>
      <w:proofErr w:type="spellEnd"/>
      <w:r w:rsidRPr="0083434B">
        <w:rPr>
          <w:lang w:val="en-GB"/>
        </w:rPr>
        <w:t xml:space="preserve">, A. (2019). Evidence for sharp increase in the economic damages of extreme natural disasters. </w:t>
      </w:r>
      <w:r w:rsidRPr="0083434B">
        <w:rPr>
          <w:i/>
          <w:iCs/>
          <w:lang w:val="en-GB"/>
        </w:rPr>
        <w:t>Proceedings of the National Academy of Sciences</w:t>
      </w:r>
      <w:r w:rsidRPr="0083434B">
        <w:rPr>
          <w:lang w:val="en-GB"/>
        </w:rPr>
        <w:t xml:space="preserve">, </w:t>
      </w:r>
      <w:r w:rsidRPr="0083434B">
        <w:rPr>
          <w:i/>
          <w:iCs/>
          <w:lang w:val="en-GB"/>
        </w:rPr>
        <w:t>116</w:t>
      </w:r>
      <w:r w:rsidRPr="0083434B">
        <w:rPr>
          <w:lang w:val="en-GB"/>
        </w:rPr>
        <w:t>(43), 21450–21455. https://doi.org/10.1073/pnas.1907826116</w:t>
      </w:r>
    </w:p>
    <w:p w14:paraId="08D92E4D" w14:textId="77777777" w:rsidR="0083434B" w:rsidRPr="0083434B" w:rsidRDefault="0083434B" w:rsidP="0083434B">
      <w:pPr>
        <w:pStyle w:val="Bibliography"/>
        <w:rPr>
          <w:lang w:val="en-GB"/>
        </w:rPr>
      </w:pPr>
      <w:r w:rsidRPr="0083434B">
        <w:rPr>
          <w:lang w:val="en-GB"/>
        </w:rPr>
        <w:t>Cutter, S. L., Boruff, B. J., &amp; Shirley, W. L. (2003). Social Vulnerability to Environmental Hazards</w:t>
      </w:r>
      <w:r w:rsidRPr="0083434B">
        <w:rPr>
          <w:vertAlign w:val="superscript"/>
          <w:lang w:val="en-GB"/>
        </w:rPr>
        <w:t>*</w:t>
      </w:r>
      <w:r w:rsidRPr="0083434B">
        <w:rPr>
          <w:lang w:val="en-GB"/>
        </w:rPr>
        <w:t xml:space="preserve">. </w:t>
      </w:r>
      <w:r w:rsidRPr="0083434B">
        <w:rPr>
          <w:i/>
          <w:iCs/>
          <w:lang w:val="en-GB"/>
        </w:rPr>
        <w:t>Social Science Quarterly</w:t>
      </w:r>
      <w:r w:rsidRPr="0083434B">
        <w:rPr>
          <w:lang w:val="en-GB"/>
        </w:rPr>
        <w:t xml:space="preserve">, </w:t>
      </w:r>
      <w:r w:rsidRPr="0083434B">
        <w:rPr>
          <w:i/>
          <w:iCs/>
          <w:lang w:val="en-GB"/>
        </w:rPr>
        <w:t>84</w:t>
      </w:r>
      <w:r w:rsidRPr="0083434B">
        <w:rPr>
          <w:lang w:val="en-GB"/>
        </w:rPr>
        <w:t>(2), 242–261. https://doi.org/10.1111/1540-6237.8402002</w:t>
      </w:r>
    </w:p>
    <w:p w14:paraId="0ED1F4F3" w14:textId="77777777" w:rsidR="0083434B" w:rsidRPr="0083434B" w:rsidRDefault="0083434B" w:rsidP="0083434B">
      <w:pPr>
        <w:pStyle w:val="Bibliography"/>
        <w:rPr>
          <w:lang w:val="en-GB"/>
        </w:rPr>
      </w:pPr>
      <w:r w:rsidRPr="0083434B">
        <w:rPr>
          <w:lang w:val="en-GB"/>
        </w:rPr>
        <w:t>Denevan, W. M. (1983). Adaptation, Variation, and Cultural Geography</w:t>
      </w:r>
      <w:r w:rsidRPr="0083434B">
        <w:rPr>
          <w:rFonts w:ascii="Cambria Math" w:hAnsi="Cambria Math" w:cs="Cambria Math"/>
          <w:lang w:val="en-GB"/>
        </w:rPr>
        <w:t>∗</w:t>
      </w:r>
      <w:r w:rsidRPr="0083434B">
        <w:rPr>
          <w:lang w:val="en-GB"/>
        </w:rPr>
        <w:t xml:space="preserve">. </w:t>
      </w:r>
      <w:r w:rsidRPr="0083434B">
        <w:rPr>
          <w:i/>
          <w:iCs/>
          <w:lang w:val="en-GB"/>
        </w:rPr>
        <w:t>The Professional Geographer</w:t>
      </w:r>
      <w:r w:rsidRPr="0083434B">
        <w:rPr>
          <w:lang w:val="en-GB"/>
        </w:rPr>
        <w:t xml:space="preserve">, </w:t>
      </w:r>
      <w:r w:rsidRPr="0083434B">
        <w:rPr>
          <w:i/>
          <w:iCs/>
          <w:lang w:val="en-GB"/>
        </w:rPr>
        <w:t>35</w:t>
      </w:r>
      <w:r w:rsidRPr="0083434B">
        <w:rPr>
          <w:lang w:val="en-GB"/>
        </w:rPr>
        <w:t>(4), 399–407. https://doi.org/10.1111/j.0033-0124.1983.00399.x</w:t>
      </w:r>
    </w:p>
    <w:p w14:paraId="27AED1DD" w14:textId="77777777" w:rsidR="0083434B" w:rsidRPr="0083434B" w:rsidRDefault="0083434B" w:rsidP="0083434B">
      <w:pPr>
        <w:pStyle w:val="Bibliography"/>
        <w:rPr>
          <w:lang w:val="en-GB"/>
        </w:rPr>
      </w:pPr>
      <w:proofErr w:type="spellStart"/>
      <w:r w:rsidRPr="0083434B">
        <w:rPr>
          <w:lang w:val="en-GB"/>
        </w:rPr>
        <w:t>Donatti</w:t>
      </w:r>
      <w:proofErr w:type="spellEnd"/>
      <w:r w:rsidRPr="0083434B">
        <w:rPr>
          <w:lang w:val="en-GB"/>
        </w:rPr>
        <w:t xml:space="preserve">, C. I., Harvey, C. A., Hole, D., Panfil, S. N., &amp; Schurman, H. (2020). Indicators to measure the climate change adaptation outcomes of ecosystem-based adaptation. </w:t>
      </w:r>
      <w:r w:rsidRPr="0083434B">
        <w:rPr>
          <w:i/>
          <w:iCs/>
          <w:lang w:val="en-GB"/>
        </w:rPr>
        <w:t>Climatic Change</w:t>
      </w:r>
      <w:r w:rsidRPr="0083434B">
        <w:rPr>
          <w:lang w:val="en-GB"/>
        </w:rPr>
        <w:t xml:space="preserve">, </w:t>
      </w:r>
      <w:r w:rsidRPr="0083434B">
        <w:rPr>
          <w:i/>
          <w:iCs/>
          <w:lang w:val="en-GB"/>
        </w:rPr>
        <w:t>158</w:t>
      </w:r>
      <w:r w:rsidRPr="0083434B">
        <w:rPr>
          <w:lang w:val="en-GB"/>
        </w:rPr>
        <w:t>(3–4), 413–433. https://doi.org/10.1007/s10584-019-02565-9</w:t>
      </w:r>
    </w:p>
    <w:p w14:paraId="78B5DEFA" w14:textId="77777777" w:rsidR="0083434B" w:rsidRPr="0083434B" w:rsidRDefault="0083434B" w:rsidP="0083434B">
      <w:pPr>
        <w:pStyle w:val="Bibliography"/>
        <w:rPr>
          <w:lang w:val="en-GB"/>
        </w:rPr>
      </w:pPr>
      <w:proofErr w:type="spellStart"/>
      <w:r w:rsidRPr="0083434B">
        <w:rPr>
          <w:lang w:val="en-GB"/>
        </w:rPr>
        <w:t>Dronkers</w:t>
      </w:r>
      <w:proofErr w:type="spellEnd"/>
      <w:r w:rsidRPr="0083434B">
        <w:rPr>
          <w:lang w:val="en-GB"/>
        </w:rPr>
        <w:t xml:space="preserve">, J., Gilbert, J. T. E., Butler, L. W., Carey, J. J., Campbell, J., James, E., McKenzie, C., </w:t>
      </w:r>
      <w:proofErr w:type="spellStart"/>
      <w:r w:rsidRPr="0083434B">
        <w:rPr>
          <w:lang w:val="en-GB"/>
        </w:rPr>
        <w:t>Misdorp</w:t>
      </w:r>
      <w:proofErr w:type="spellEnd"/>
      <w:r w:rsidRPr="0083434B">
        <w:rPr>
          <w:lang w:val="en-GB"/>
        </w:rPr>
        <w:t xml:space="preserve">, R., Quin, N., Ries, K. L., Schroder, P. C., Spradley, J. R., Titus, J. G., </w:t>
      </w:r>
      <w:proofErr w:type="spellStart"/>
      <w:r w:rsidRPr="0083434B">
        <w:rPr>
          <w:lang w:val="en-GB"/>
        </w:rPr>
        <w:t>Vallianos</w:t>
      </w:r>
      <w:proofErr w:type="spellEnd"/>
      <w:r w:rsidRPr="0083434B">
        <w:rPr>
          <w:lang w:val="en-GB"/>
        </w:rPr>
        <w:t xml:space="preserve">, L., &amp; von </w:t>
      </w:r>
      <w:proofErr w:type="spellStart"/>
      <w:r w:rsidRPr="0083434B">
        <w:rPr>
          <w:lang w:val="en-GB"/>
        </w:rPr>
        <w:t>Dadelszen</w:t>
      </w:r>
      <w:proofErr w:type="spellEnd"/>
      <w:r w:rsidRPr="0083434B">
        <w:rPr>
          <w:lang w:val="en-GB"/>
        </w:rPr>
        <w:t xml:space="preserve">, J. (1990). Coastal Management. In </w:t>
      </w:r>
      <w:r w:rsidRPr="0083434B">
        <w:rPr>
          <w:i/>
          <w:iCs/>
          <w:lang w:val="en-GB"/>
        </w:rPr>
        <w:t>Strategies for Adaptation to Sea Level Rise</w:t>
      </w:r>
      <w:r w:rsidRPr="0083434B">
        <w:rPr>
          <w:lang w:val="en-GB"/>
        </w:rPr>
        <w:t>. Intergovernmental Panel on Climate Change.</w:t>
      </w:r>
    </w:p>
    <w:p w14:paraId="743818E6" w14:textId="77777777" w:rsidR="0083434B" w:rsidRPr="0083434B" w:rsidRDefault="0083434B" w:rsidP="0083434B">
      <w:pPr>
        <w:pStyle w:val="Bibliography"/>
        <w:rPr>
          <w:lang w:val="en-GB"/>
        </w:rPr>
      </w:pPr>
      <w:r w:rsidRPr="0083434B">
        <w:rPr>
          <w:lang w:val="en-GB"/>
        </w:rPr>
        <w:t xml:space="preserve">Engle, N. L. (2011). Adaptive capacity and its assessment. </w:t>
      </w:r>
      <w:r w:rsidRPr="0083434B">
        <w:rPr>
          <w:i/>
          <w:iCs/>
          <w:lang w:val="en-GB"/>
        </w:rPr>
        <w:t>Global Environmental Change</w:t>
      </w:r>
      <w:r w:rsidRPr="0083434B">
        <w:rPr>
          <w:lang w:val="en-GB"/>
        </w:rPr>
        <w:t xml:space="preserve">, </w:t>
      </w:r>
      <w:r w:rsidRPr="0083434B">
        <w:rPr>
          <w:i/>
          <w:iCs/>
          <w:lang w:val="en-GB"/>
        </w:rPr>
        <w:t>21</w:t>
      </w:r>
      <w:r w:rsidRPr="0083434B">
        <w:rPr>
          <w:lang w:val="en-GB"/>
        </w:rPr>
        <w:t>(2), 647–656. https://doi.org/10.1016/j.gloenvcha.2011.01.019</w:t>
      </w:r>
    </w:p>
    <w:p w14:paraId="272027F7" w14:textId="77777777" w:rsidR="0083434B" w:rsidRPr="0083434B" w:rsidRDefault="0083434B" w:rsidP="0083434B">
      <w:pPr>
        <w:pStyle w:val="Bibliography"/>
        <w:rPr>
          <w:lang w:val="en-GB"/>
        </w:rPr>
      </w:pPr>
      <w:r w:rsidRPr="0083434B">
        <w:rPr>
          <w:lang w:val="en-GB"/>
        </w:rPr>
        <w:lastRenderedPageBreak/>
        <w:t xml:space="preserve">Fankhauser, S., Smith, J. B., &amp; Tol, R. S. J. (1999). Weathering climate change: Some simple rules to guide adaptation decisions. </w:t>
      </w:r>
      <w:r w:rsidRPr="0083434B">
        <w:rPr>
          <w:i/>
          <w:iCs/>
          <w:lang w:val="en-GB"/>
        </w:rPr>
        <w:t>Ecological Economics</w:t>
      </w:r>
      <w:r w:rsidRPr="0083434B">
        <w:rPr>
          <w:lang w:val="en-GB"/>
        </w:rPr>
        <w:t xml:space="preserve">, </w:t>
      </w:r>
      <w:r w:rsidRPr="0083434B">
        <w:rPr>
          <w:i/>
          <w:iCs/>
          <w:lang w:val="en-GB"/>
        </w:rPr>
        <w:t>30</w:t>
      </w:r>
      <w:r w:rsidRPr="0083434B">
        <w:rPr>
          <w:lang w:val="en-GB"/>
        </w:rPr>
        <w:t>(1), 67–78. https://doi.org/10.1016/S0921-8009(98)00117-7</w:t>
      </w:r>
    </w:p>
    <w:p w14:paraId="17AA04AD" w14:textId="77777777" w:rsidR="0083434B" w:rsidRPr="0083434B" w:rsidRDefault="0083434B" w:rsidP="0083434B">
      <w:pPr>
        <w:pStyle w:val="Bibliography"/>
        <w:rPr>
          <w:lang w:val="en-GB"/>
        </w:rPr>
      </w:pPr>
      <w:r w:rsidRPr="0083434B">
        <w:rPr>
          <w:lang w:val="en-GB"/>
        </w:rPr>
        <w:t xml:space="preserve">Finlayson, M. C., &amp; D’Cruz, R. (2008). </w:t>
      </w:r>
      <w:r w:rsidRPr="0083434B">
        <w:rPr>
          <w:i/>
          <w:iCs/>
          <w:lang w:val="en-GB"/>
        </w:rPr>
        <w:t>Climate Change Mitigation</w:t>
      </w:r>
      <w:r w:rsidRPr="0083434B">
        <w:rPr>
          <w:lang w:val="en-GB"/>
        </w:rPr>
        <w:t>. OECD. https://www.oecd.org/en/publications/climate-change-mitigation_9789264059610-en.html</w:t>
      </w:r>
    </w:p>
    <w:p w14:paraId="7082216F" w14:textId="77777777" w:rsidR="0083434B" w:rsidRPr="0083434B" w:rsidRDefault="0083434B" w:rsidP="0083434B">
      <w:pPr>
        <w:pStyle w:val="Bibliography"/>
        <w:rPr>
          <w:lang w:val="en-GB"/>
        </w:rPr>
      </w:pPr>
      <w:r w:rsidRPr="0083434B">
        <w:rPr>
          <w:i/>
          <w:iCs/>
          <w:lang w:val="en-GB"/>
        </w:rPr>
        <w:t>Flood Zones | FEMA.gov</w:t>
      </w:r>
      <w:r w:rsidRPr="0083434B">
        <w:rPr>
          <w:lang w:val="en-GB"/>
        </w:rPr>
        <w:t>. (2020, July 8). https://www.fema.gov/about/glossary/flood-zones</w:t>
      </w:r>
    </w:p>
    <w:p w14:paraId="4B498F31" w14:textId="77777777" w:rsidR="0083434B" w:rsidRPr="0083434B" w:rsidRDefault="0083434B" w:rsidP="0083434B">
      <w:pPr>
        <w:pStyle w:val="Bibliography"/>
        <w:rPr>
          <w:lang w:val="en-GB"/>
        </w:rPr>
      </w:pPr>
      <w:r w:rsidRPr="0083434B">
        <w:rPr>
          <w:lang w:val="en-GB"/>
        </w:rPr>
        <w:t>Haggag, M., Siam, A. S., El-</w:t>
      </w:r>
      <w:proofErr w:type="spellStart"/>
      <w:r w:rsidRPr="0083434B">
        <w:rPr>
          <w:lang w:val="en-GB"/>
        </w:rPr>
        <w:t>Dakhakhni</w:t>
      </w:r>
      <w:proofErr w:type="spellEnd"/>
      <w:r w:rsidRPr="0083434B">
        <w:rPr>
          <w:lang w:val="en-GB"/>
        </w:rPr>
        <w:t xml:space="preserve">, W., Coulibaly, P., &amp; Hassini, E. (2021). A deep learning model for predicting climate-induced disasters. </w:t>
      </w:r>
      <w:r w:rsidRPr="0083434B">
        <w:rPr>
          <w:i/>
          <w:iCs/>
          <w:lang w:val="en-GB"/>
        </w:rPr>
        <w:t>Natural Hazards</w:t>
      </w:r>
      <w:r w:rsidRPr="0083434B">
        <w:rPr>
          <w:lang w:val="en-GB"/>
        </w:rPr>
        <w:t xml:space="preserve">, </w:t>
      </w:r>
      <w:r w:rsidRPr="0083434B">
        <w:rPr>
          <w:i/>
          <w:iCs/>
          <w:lang w:val="en-GB"/>
        </w:rPr>
        <w:t>107</w:t>
      </w:r>
      <w:r w:rsidRPr="0083434B">
        <w:rPr>
          <w:lang w:val="en-GB"/>
        </w:rPr>
        <w:t>(1), 1009–1034. https://doi.org/10.1007/s11069-021-04620-0</w:t>
      </w:r>
    </w:p>
    <w:p w14:paraId="60072BFB" w14:textId="77777777" w:rsidR="0083434B" w:rsidRPr="0083434B" w:rsidRDefault="0083434B" w:rsidP="0083434B">
      <w:pPr>
        <w:pStyle w:val="Bibliography"/>
        <w:rPr>
          <w:lang w:val="en-GB"/>
        </w:rPr>
      </w:pPr>
      <w:r w:rsidRPr="0083434B">
        <w:rPr>
          <w:lang w:val="en-GB"/>
        </w:rPr>
        <w:t xml:space="preserve">Harries, T., &amp; Penning-Rowsell, E. (2011). Victim pressure, institutional inertia and climate change adaptation: The case of flood risk. </w:t>
      </w:r>
      <w:r w:rsidRPr="0083434B">
        <w:rPr>
          <w:i/>
          <w:iCs/>
          <w:lang w:val="en-GB"/>
        </w:rPr>
        <w:t>Global Environmental Change</w:t>
      </w:r>
      <w:r w:rsidRPr="0083434B">
        <w:rPr>
          <w:lang w:val="en-GB"/>
        </w:rPr>
        <w:t xml:space="preserve">, </w:t>
      </w:r>
      <w:r w:rsidRPr="0083434B">
        <w:rPr>
          <w:i/>
          <w:iCs/>
          <w:lang w:val="en-GB"/>
        </w:rPr>
        <w:t>21</w:t>
      </w:r>
      <w:r w:rsidRPr="0083434B">
        <w:rPr>
          <w:lang w:val="en-GB"/>
        </w:rPr>
        <w:t>(1), 188–197. https://doi.org/10.1016/j.gloenvcha.2010.09.002</w:t>
      </w:r>
    </w:p>
    <w:p w14:paraId="0E2F2C94" w14:textId="77777777" w:rsidR="0083434B" w:rsidRPr="0083434B" w:rsidRDefault="0083434B" w:rsidP="0083434B">
      <w:pPr>
        <w:pStyle w:val="Bibliography"/>
        <w:rPr>
          <w:lang w:val="en-GB"/>
        </w:rPr>
      </w:pPr>
      <w:r w:rsidRPr="0083434B">
        <w:rPr>
          <w:lang w:val="en-GB"/>
        </w:rPr>
        <w:t xml:space="preserve">IPCC (Ed.). (2001). </w:t>
      </w:r>
      <w:r w:rsidRPr="0083434B">
        <w:rPr>
          <w:i/>
          <w:iCs/>
          <w:lang w:val="en-GB"/>
        </w:rPr>
        <w:t>Impacts, adaptation, and vulnerability</w:t>
      </w:r>
      <w:r w:rsidRPr="0083434B">
        <w:rPr>
          <w:lang w:val="en-GB"/>
        </w:rPr>
        <w:t>. Cambridge Univ. Press.</w:t>
      </w:r>
    </w:p>
    <w:p w14:paraId="42CDEEED" w14:textId="77777777" w:rsidR="0083434B" w:rsidRPr="0083434B" w:rsidRDefault="0083434B" w:rsidP="0083434B">
      <w:pPr>
        <w:pStyle w:val="Bibliography"/>
        <w:rPr>
          <w:lang w:val="en-GB"/>
        </w:rPr>
      </w:pPr>
      <w:r w:rsidRPr="0083434B">
        <w:rPr>
          <w:lang w:val="en-GB"/>
        </w:rPr>
        <w:t xml:space="preserve">Koerth, J., </w:t>
      </w:r>
      <w:proofErr w:type="spellStart"/>
      <w:r w:rsidRPr="0083434B">
        <w:rPr>
          <w:lang w:val="en-GB"/>
        </w:rPr>
        <w:t>Vafeidis</w:t>
      </w:r>
      <w:proofErr w:type="spellEnd"/>
      <w:r w:rsidRPr="0083434B">
        <w:rPr>
          <w:lang w:val="en-GB"/>
        </w:rPr>
        <w:t>, A. T., &amp; Hinkel, J. (2017). Household</w:t>
      </w:r>
      <w:r w:rsidRPr="0083434B">
        <w:rPr>
          <w:rFonts w:ascii="Cambria Math" w:hAnsi="Cambria Math" w:cs="Cambria Math"/>
          <w:lang w:val="en-GB"/>
        </w:rPr>
        <w:t>‐</w:t>
      </w:r>
      <w:r w:rsidRPr="0083434B">
        <w:rPr>
          <w:lang w:val="en-GB"/>
        </w:rPr>
        <w:t xml:space="preserve">Level Coastal Adaptation and Its Drivers: A Systematic Case Study Review. </w:t>
      </w:r>
      <w:r w:rsidRPr="0083434B">
        <w:rPr>
          <w:i/>
          <w:iCs/>
          <w:lang w:val="en-GB"/>
        </w:rPr>
        <w:t>Risk Analysis</w:t>
      </w:r>
      <w:r w:rsidRPr="0083434B">
        <w:rPr>
          <w:lang w:val="en-GB"/>
        </w:rPr>
        <w:t xml:space="preserve">, </w:t>
      </w:r>
      <w:r w:rsidRPr="0083434B">
        <w:rPr>
          <w:i/>
          <w:iCs/>
          <w:lang w:val="en-GB"/>
        </w:rPr>
        <w:t>37</w:t>
      </w:r>
      <w:r w:rsidRPr="0083434B">
        <w:rPr>
          <w:lang w:val="en-GB"/>
        </w:rPr>
        <w:t>(4), 629–646. https://doi.org/10.1111/risa.12663</w:t>
      </w:r>
    </w:p>
    <w:p w14:paraId="7153C6AC" w14:textId="77777777" w:rsidR="0083434B" w:rsidRPr="0083434B" w:rsidRDefault="0083434B" w:rsidP="0083434B">
      <w:pPr>
        <w:pStyle w:val="Bibliography"/>
        <w:rPr>
          <w:lang w:val="en-GB"/>
        </w:rPr>
      </w:pPr>
      <w:r w:rsidRPr="0083434B">
        <w:rPr>
          <w:i/>
          <w:iCs/>
          <w:lang w:val="en-GB"/>
        </w:rPr>
        <w:t>National Household Survey | FEMA.gov</w:t>
      </w:r>
      <w:r w:rsidRPr="0083434B">
        <w:rPr>
          <w:lang w:val="en-GB"/>
        </w:rPr>
        <w:t>. (2023, December 22). https://www.fema.gov/about/openfema/data-sets/national-household-survey</w:t>
      </w:r>
    </w:p>
    <w:p w14:paraId="35F9A6C0" w14:textId="77777777" w:rsidR="0083434B" w:rsidRPr="0083434B" w:rsidRDefault="0083434B" w:rsidP="0083434B">
      <w:pPr>
        <w:pStyle w:val="Bibliography"/>
        <w:rPr>
          <w:lang w:val="en-GB"/>
        </w:rPr>
      </w:pPr>
      <w:r w:rsidRPr="0083434B">
        <w:rPr>
          <w:lang w:val="en-GB"/>
        </w:rPr>
        <w:t xml:space="preserve">Pasquier, U., Few, R., Goulden, M. C., Hooton, S., He, Y., &amp; Hiscock, K. M. (2020). “We can’t do it on our own!”—Integrating stakeholder and scientific knowledge of future flood risk to inform climate change adaptation planning in a coastal </w:t>
      </w:r>
      <w:r w:rsidRPr="0083434B">
        <w:rPr>
          <w:lang w:val="en-GB"/>
        </w:rPr>
        <w:lastRenderedPageBreak/>
        <w:t xml:space="preserve">region. </w:t>
      </w:r>
      <w:r w:rsidRPr="0083434B">
        <w:rPr>
          <w:i/>
          <w:iCs/>
          <w:lang w:val="en-GB"/>
        </w:rPr>
        <w:t>Environmental Science &amp; Policy</w:t>
      </w:r>
      <w:r w:rsidRPr="0083434B">
        <w:rPr>
          <w:lang w:val="en-GB"/>
        </w:rPr>
        <w:t xml:space="preserve">, </w:t>
      </w:r>
      <w:r w:rsidRPr="0083434B">
        <w:rPr>
          <w:i/>
          <w:iCs/>
          <w:lang w:val="en-GB"/>
        </w:rPr>
        <w:t>103</w:t>
      </w:r>
      <w:r w:rsidRPr="0083434B">
        <w:rPr>
          <w:lang w:val="en-GB"/>
        </w:rPr>
        <w:t>, 50–57. https://doi.org/10.1016/j.envsci.2019.10.016</w:t>
      </w:r>
    </w:p>
    <w:p w14:paraId="457EEDBD" w14:textId="77777777" w:rsidR="0083434B" w:rsidRPr="0083434B" w:rsidRDefault="0083434B" w:rsidP="0083434B">
      <w:pPr>
        <w:pStyle w:val="Bibliography"/>
        <w:rPr>
          <w:lang w:val="en-GB"/>
        </w:rPr>
      </w:pPr>
      <w:proofErr w:type="spellStart"/>
      <w:r w:rsidRPr="0083434B">
        <w:rPr>
          <w:lang w:val="en-GB"/>
        </w:rPr>
        <w:t>Sauerborn</w:t>
      </w:r>
      <w:proofErr w:type="spellEnd"/>
      <w:r w:rsidRPr="0083434B">
        <w:rPr>
          <w:lang w:val="en-GB"/>
        </w:rPr>
        <w:t xml:space="preserve">, R., &amp; Ebi, K. (2012). Climate change and natural disasters – integrating science and practice to protect health. </w:t>
      </w:r>
      <w:r w:rsidRPr="0083434B">
        <w:rPr>
          <w:i/>
          <w:iCs/>
          <w:lang w:val="en-GB"/>
        </w:rPr>
        <w:t>Global Health Action</w:t>
      </w:r>
      <w:r w:rsidRPr="0083434B">
        <w:rPr>
          <w:lang w:val="en-GB"/>
        </w:rPr>
        <w:t xml:space="preserve">, </w:t>
      </w:r>
      <w:r w:rsidRPr="0083434B">
        <w:rPr>
          <w:i/>
          <w:iCs/>
          <w:lang w:val="en-GB"/>
        </w:rPr>
        <w:t>5</w:t>
      </w:r>
      <w:r w:rsidRPr="0083434B">
        <w:rPr>
          <w:lang w:val="en-GB"/>
        </w:rPr>
        <w:t>(1), 19295. https://doi.org/10.3402/gha.v5i0.19295</w:t>
      </w:r>
    </w:p>
    <w:p w14:paraId="31734B45" w14:textId="77777777" w:rsidR="0083434B" w:rsidRPr="0083434B" w:rsidRDefault="0083434B" w:rsidP="0083434B">
      <w:pPr>
        <w:pStyle w:val="Bibliography"/>
        <w:rPr>
          <w:lang w:val="en-GB"/>
        </w:rPr>
      </w:pPr>
      <w:r w:rsidRPr="0083434B">
        <w:rPr>
          <w:lang w:val="en-GB"/>
        </w:rPr>
        <w:t xml:space="preserve">Smit, B., &amp; Wandel, J. (2006). Adaptation, adaptive capacity and vulnerability. </w:t>
      </w:r>
      <w:r w:rsidRPr="0083434B">
        <w:rPr>
          <w:i/>
          <w:iCs/>
          <w:lang w:val="en-GB"/>
        </w:rPr>
        <w:t>Global Environmental Change</w:t>
      </w:r>
      <w:r w:rsidRPr="0083434B">
        <w:rPr>
          <w:lang w:val="en-GB"/>
        </w:rPr>
        <w:t xml:space="preserve">, </w:t>
      </w:r>
      <w:r w:rsidRPr="0083434B">
        <w:rPr>
          <w:i/>
          <w:iCs/>
          <w:lang w:val="en-GB"/>
        </w:rPr>
        <w:t>16</w:t>
      </w:r>
      <w:r w:rsidRPr="0083434B">
        <w:rPr>
          <w:lang w:val="en-GB"/>
        </w:rPr>
        <w:t>(3), 282–292. https://doi.org/10.1016/j.gloenvcha.2006.03.008</w:t>
      </w:r>
    </w:p>
    <w:p w14:paraId="2F1B6737" w14:textId="77777777" w:rsidR="0083434B" w:rsidRPr="0083434B" w:rsidRDefault="0083434B" w:rsidP="0083434B">
      <w:pPr>
        <w:pStyle w:val="Bibliography"/>
        <w:rPr>
          <w:lang w:val="en-GB"/>
        </w:rPr>
      </w:pPr>
      <w:proofErr w:type="spellStart"/>
      <w:r w:rsidRPr="0083434B">
        <w:rPr>
          <w:lang w:val="en-GB"/>
        </w:rPr>
        <w:t>Storbjörk</w:t>
      </w:r>
      <w:proofErr w:type="spellEnd"/>
      <w:r w:rsidRPr="0083434B">
        <w:rPr>
          <w:lang w:val="en-GB"/>
        </w:rPr>
        <w:t xml:space="preserve">, S. (2007). Governing Climate Adaptation in the Local Arena: Challenges of Risk Management and Planning in Sweden. </w:t>
      </w:r>
      <w:r w:rsidRPr="0083434B">
        <w:rPr>
          <w:i/>
          <w:iCs/>
          <w:lang w:val="en-GB"/>
        </w:rPr>
        <w:t>Local Environment</w:t>
      </w:r>
      <w:r w:rsidRPr="0083434B">
        <w:rPr>
          <w:lang w:val="en-GB"/>
        </w:rPr>
        <w:t xml:space="preserve">, </w:t>
      </w:r>
      <w:r w:rsidRPr="0083434B">
        <w:rPr>
          <w:i/>
          <w:iCs/>
          <w:lang w:val="en-GB"/>
        </w:rPr>
        <w:t>12</w:t>
      </w:r>
      <w:r w:rsidRPr="0083434B">
        <w:rPr>
          <w:lang w:val="en-GB"/>
        </w:rPr>
        <w:t>(5), 457–469. https://doi.org/10.1080/13549830701656960</w:t>
      </w:r>
    </w:p>
    <w:p w14:paraId="495377F4" w14:textId="77777777" w:rsidR="0083434B" w:rsidRPr="0083434B" w:rsidRDefault="0083434B" w:rsidP="0083434B">
      <w:pPr>
        <w:pStyle w:val="Bibliography"/>
        <w:rPr>
          <w:lang w:val="en-GB"/>
        </w:rPr>
      </w:pPr>
      <w:proofErr w:type="spellStart"/>
      <w:r w:rsidRPr="0083434B">
        <w:rPr>
          <w:lang w:val="en-GB"/>
        </w:rPr>
        <w:t>Veall</w:t>
      </w:r>
      <w:proofErr w:type="spellEnd"/>
      <w:r w:rsidRPr="0083434B">
        <w:rPr>
          <w:lang w:val="en-GB"/>
        </w:rPr>
        <w:t xml:space="preserve">, M. R., &amp; Zimmermann, K. F. (1994). Evaluating Pseudo-R2’s for binary probit models. </w:t>
      </w:r>
      <w:r w:rsidRPr="0083434B">
        <w:rPr>
          <w:i/>
          <w:iCs/>
          <w:lang w:val="en-GB"/>
        </w:rPr>
        <w:t>Quality &amp; Quantity</w:t>
      </w:r>
      <w:r w:rsidRPr="0083434B">
        <w:rPr>
          <w:lang w:val="en-GB"/>
        </w:rPr>
        <w:t xml:space="preserve">, </w:t>
      </w:r>
      <w:r w:rsidRPr="0083434B">
        <w:rPr>
          <w:i/>
          <w:iCs/>
          <w:lang w:val="en-GB"/>
        </w:rPr>
        <w:t>28</w:t>
      </w:r>
      <w:r w:rsidRPr="0083434B">
        <w:rPr>
          <w:lang w:val="en-GB"/>
        </w:rPr>
        <w:t>(2), 151–164. https://doi.org/10.1007/BF01102759</w:t>
      </w:r>
    </w:p>
    <w:p w14:paraId="222DB6B7" w14:textId="77777777" w:rsidR="0083434B" w:rsidRPr="0083434B" w:rsidRDefault="0083434B" w:rsidP="0083434B">
      <w:pPr>
        <w:pStyle w:val="Bibliography"/>
        <w:rPr>
          <w:lang w:val="en-GB"/>
        </w:rPr>
      </w:pPr>
      <w:proofErr w:type="spellStart"/>
      <w:r w:rsidRPr="0083434B">
        <w:rPr>
          <w:lang w:val="en-GB"/>
        </w:rPr>
        <w:t>Verschuuren</w:t>
      </w:r>
      <w:proofErr w:type="spellEnd"/>
      <w:r w:rsidRPr="0083434B">
        <w:rPr>
          <w:lang w:val="en-GB"/>
        </w:rPr>
        <w:t xml:space="preserve">, J. (2022). In </w:t>
      </w:r>
      <w:r w:rsidRPr="0083434B">
        <w:rPr>
          <w:i/>
          <w:iCs/>
          <w:lang w:val="en-GB"/>
        </w:rPr>
        <w:t>Research Handbook on Climate Change Adaptation Law, Chapter 1: Introduction to Climate Change Adaptation</w:t>
      </w:r>
      <w:r w:rsidRPr="0083434B">
        <w:rPr>
          <w:lang w:val="en-GB"/>
        </w:rPr>
        <w:t>.</w:t>
      </w:r>
    </w:p>
    <w:p w14:paraId="4EC7539C" w14:textId="77777777" w:rsidR="0083434B" w:rsidRPr="0083434B" w:rsidRDefault="0083434B" w:rsidP="0083434B">
      <w:pPr>
        <w:pStyle w:val="Bibliography"/>
        <w:rPr>
          <w:lang w:val="en-GB"/>
        </w:rPr>
      </w:pPr>
      <w:r w:rsidRPr="0083434B">
        <w:rPr>
          <w:lang w:val="en-GB"/>
        </w:rPr>
        <w:t xml:space="preserve">Wilby, R. L., &amp; Keenan, R. (2012). Adapting to flood risk under climate change. </w:t>
      </w:r>
      <w:r w:rsidRPr="0083434B">
        <w:rPr>
          <w:i/>
          <w:iCs/>
          <w:lang w:val="en-GB"/>
        </w:rPr>
        <w:t>Progress in Physical Geography: Earth and Environment</w:t>
      </w:r>
      <w:r w:rsidRPr="0083434B">
        <w:rPr>
          <w:lang w:val="en-GB"/>
        </w:rPr>
        <w:t xml:space="preserve">, </w:t>
      </w:r>
      <w:r w:rsidRPr="0083434B">
        <w:rPr>
          <w:i/>
          <w:iCs/>
          <w:lang w:val="en-GB"/>
        </w:rPr>
        <w:t>36</w:t>
      </w:r>
      <w:r w:rsidRPr="0083434B">
        <w:rPr>
          <w:lang w:val="en-GB"/>
        </w:rPr>
        <w:t>(3), 348–378. https://doi.org/10.1177/0309133312438908</w:t>
      </w:r>
    </w:p>
    <w:p w14:paraId="22AA6D8B" w14:textId="1E5511D0" w:rsidR="0017240B" w:rsidRDefault="00CD3528" w:rsidP="0017240B">
      <w:pPr>
        <w:rPr>
          <w:b/>
          <w:bCs/>
          <w:color w:val="000000" w:themeColor="text1"/>
        </w:rPr>
      </w:pPr>
      <w:r w:rsidRPr="00E65F72">
        <w:rPr>
          <w:b/>
          <w:bCs/>
          <w:color w:val="000000" w:themeColor="text1"/>
        </w:rPr>
        <w:fldChar w:fldCharType="end"/>
      </w:r>
    </w:p>
    <w:p w14:paraId="00CE1E91" w14:textId="77777777" w:rsidR="00613868" w:rsidRDefault="00613868" w:rsidP="0017240B">
      <w:pPr>
        <w:rPr>
          <w:b/>
          <w:bCs/>
          <w:color w:val="000000" w:themeColor="text1"/>
        </w:rPr>
      </w:pPr>
    </w:p>
    <w:p w14:paraId="5E416DC0" w14:textId="77777777" w:rsidR="00613868" w:rsidRDefault="00613868" w:rsidP="0017240B">
      <w:pPr>
        <w:rPr>
          <w:b/>
          <w:bCs/>
          <w:color w:val="000000" w:themeColor="text1"/>
        </w:rPr>
      </w:pPr>
    </w:p>
    <w:p w14:paraId="4B20AE98" w14:textId="77777777" w:rsidR="00613868" w:rsidRDefault="00613868" w:rsidP="0017240B">
      <w:pPr>
        <w:rPr>
          <w:b/>
          <w:bCs/>
          <w:color w:val="000000" w:themeColor="text1"/>
        </w:rPr>
      </w:pPr>
    </w:p>
    <w:p w14:paraId="4196ABDD" w14:textId="77777777" w:rsidR="005E40B8" w:rsidRDefault="005E40B8" w:rsidP="0017240B">
      <w:pPr>
        <w:rPr>
          <w:b/>
          <w:bCs/>
          <w:color w:val="000000" w:themeColor="text1"/>
        </w:rPr>
      </w:pPr>
    </w:p>
    <w:p w14:paraId="1C7C4B2E" w14:textId="77777777" w:rsidR="005E40B8" w:rsidRDefault="005E40B8" w:rsidP="0017240B">
      <w:pPr>
        <w:rPr>
          <w:b/>
          <w:bCs/>
          <w:color w:val="000000" w:themeColor="text1"/>
        </w:rPr>
      </w:pPr>
    </w:p>
    <w:p w14:paraId="7394F19E" w14:textId="77777777" w:rsidR="005E40B8" w:rsidRDefault="005E40B8" w:rsidP="0017240B">
      <w:pPr>
        <w:rPr>
          <w:b/>
          <w:bCs/>
          <w:color w:val="000000" w:themeColor="text1"/>
        </w:rPr>
      </w:pPr>
    </w:p>
    <w:p w14:paraId="6E36B55D" w14:textId="77777777" w:rsidR="005E40B8" w:rsidRDefault="005E40B8" w:rsidP="0017240B">
      <w:pPr>
        <w:rPr>
          <w:b/>
          <w:bCs/>
          <w:color w:val="000000" w:themeColor="text1"/>
        </w:rPr>
      </w:pPr>
    </w:p>
    <w:p w14:paraId="66A6BE25" w14:textId="77777777" w:rsidR="005E40B8" w:rsidRDefault="005E40B8" w:rsidP="0017240B">
      <w:pPr>
        <w:rPr>
          <w:b/>
          <w:bCs/>
          <w:color w:val="000000" w:themeColor="text1"/>
        </w:rPr>
      </w:pPr>
    </w:p>
    <w:p w14:paraId="26A6D943" w14:textId="77777777" w:rsidR="005E40B8" w:rsidRDefault="005E40B8" w:rsidP="0017240B">
      <w:pPr>
        <w:rPr>
          <w:b/>
          <w:bCs/>
          <w:color w:val="000000" w:themeColor="text1"/>
        </w:rPr>
      </w:pPr>
    </w:p>
    <w:p w14:paraId="43B76ACF" w14:textId="77777777" w:rsidR="005E40B8" w:rsidRDefault="005E40B8" w:rsidP="0017240B">
      <w:pPr>
        <w:rPr>
          <w:b/>
          <w:bCs/>
          <w:color w:val="000000" w:themeColor="text1"/>
        </w:rPr>
      </w:pPr>
    </w:p>
    <w:p w14:paraId="27E3A83A" w14:textId="77777777" w:rsidR="005E40B8" w:rsidRDefault="005E40B8" w:rsidP="0017240B">
      <w:pPr>
        <w:rPr>
          <w:b/>
          <w:bCs/>
          <w:color w:val="000000" w:themeColor="text1"/>
        </w:rPr>
      </w:pPr>
    </w:p>
    <w:p w14:paraId="60EF8A32" w14:textId="77777777" w:rsidR="005E40B8" w:rsidRDefault="005E40B8" w:rsidP="0017240B">
      <w:pPr>
        <w:rPr>
          <w:b/>
          <w:bCs/>
          <w:color w:val="000000" w:themeColor="text1"/>
        </w:rPr>
      </w:pPr>
    </w:p>
    <w:p w14:paraId="62ACBC11" w14:textId="77777777" w:rsidR="005E40B8" w:rsidRDefault="005E40B8" w:rsidP="0017240B">
      <w:pPr>
        <w:rPr>
          <w:b/>
          <w:bCs/>
          <w:color w:val="000000" w:themeColor="text1"/>
        </w:rPr>
      </w:pPr>
    </w:p>
    <w:p w14:paraId="7F6E3B84" w14:textId="77777777" w:rsidR="005E40B8" w:rsidRDefault="005E40B8" w:rsidP="0017240B">
      <w:pPr>
        <w:rPr>
          <w:b/>
          <w:bCs/>
          <w:color w:val="000000" w:themeColor="text1"/>
        </w:rPr>
      </w:pPr>
    </w:p>
    <w:p w14:paraId="7FFBE99B" w14:textId="77777777" w:rsidR="005E40B8" w:rsidRDefault="005E40B8" w:rsidP="0017240B">
      <w:pPr>
        <w:rPr>
          <w:b/>
          <w:bCs/>
          <w:color w:val="000000" w:themeColor="text1"/>
        </w:rPr>
      </w:pPr>
    </w:p>
    <w:p w14:paraId="2680B8AB" w14:textId="54E371CE" w:rsidR="005E40B8" w:rsidRDefault="005E40B8" w:rsidP="005E40B8">
      <w:pPr>
        <w:pStyle w:val="Heading1"/>
      </w:pPr>
      <w:bookmarkStart w:id="61" w:name="_Toc197002983"/>
      <w:r>
        <w:t>Appendix</w:t>
      </w:r>
      <w:bookmarkEnd w:id="61"/>
    </w:p>
    <w:p w14:paraId="3078AE20" w14:textId="0DF1C20B" w:rsidR="009A4F6A" w:rsidRPr="009A4F6A" w:rsidRDefault="009A4F6A" w:rsidP="009A4F6A">
      <w:pPr>
        <w:pStyle w:val="Heading2"/>
      </w:pPr>
      <w:bookmarkStart w:id="62" w:name="_Toc197002984"/>
      <w:r>
        <w:t>Appendix 3</w:t>
      </w:r>
      <w:bookmarkEnd w:id="62"/>
    </w:p>
    <w:p w14:paraId="659FE522" w14:textId="77777777" w:rsidR="00C846E9" w:rsidRPr="00E8436A" w:rsidRDefault="00C846E9" w:rsidP="00C846E9">
      <w:pPr>
        <w:rPr>
          <w:b/>
          <w:bCs/>
        </w:rPr>
      </w:pPr>
    </w:p>
    <w:tbl>
      <w:tblPr>
        <w:tblStyle w:val="TableGrid"/>
        <w:tblW w:w="0" w:type="auto"/>
        <w:tblLook w:val="04A0" w:firstRow="1" w:lastRow="0" w:firstColumn="1" w:lastColumn="0" w:noHBand="0" w:noVBand="1"/>
      </w:tblPr>
      <w:tblGrid>
        <w:gridCol w:w="1431"/>
        <w:gridCol w:w="1858"/>
        <w:gridCol w:w="1283"/>
        <w:gridCol w:w="1065"/>
        <w:gridCol w:w="1356"/>
        <w:gridCol w:w="1109"/>
        <w:gridCol w:w="914"/>
      </w:tblGrid>
      <w:tr w:rsidR="00C846E9" w:rsidRPr="00797B90" w14:paraId="1D17C35F" w14:textId="77777777" w:rsidTr="00EE2A22">
        <w:tc>
          <w:tcPr>
            <w:tcW w:w="1431" w:type="dxa"/>
          </w:tcPr>
          <w:p w14:paraId="422625BD" w14:textId="77777777" w:rsidR="00C846E9" w:rsidRPr="00797B90" w:rsidRDefault="00C846E9" w:rsidP="00EE2A22">
            <w:pPr>
              <w:rPr>
                <w:b/>
                <w:bCs/>
              </w:rPr>
            </w:pPr>
            <w:r w:rsidRPr="00797B90">
              <w:rPr>
                <w:b/>
                <w:bCs/>
              </w:rPr>
              <w:t>Predictor</w:t>
            </w:r>
          </w:p>
        </w:tc>
        <w:tc>
          <w:tcPr>
            <w:tcW w:w="1858" w:type="dxa"/>
          </w:tcPr>
          <w:p w14:paraId="4C829C13" w14:textId="77777777" w:rsidR="00C846E9" w:rsidRPr="00797B90" w:rsidRDefault="00C846E9" w:rsidP="00EE2A22">
            <w:pPr>
              <w:rPr>
                <w:b/>
                <w:bCs/>
              </w:rPr>
            </w:pPr>
            <w:r w:rsidRPr="00797B90">
              <w:rPr>
                <w:b/>
                <w:bCs/>
              </w:rPr>
              <w:t>Adaptation outcome</w:t>
            </w:r>
          </w:p>
        </w:tc>
        <w:tc>
          <w:tcPr>
            <w:tcW w:w="1283" w:type="dxa"/>
          </w:tcPr>
          <w:p w14:paraId="49AA6BA1" w14:textId="77777777" w:rsidR="00C846E9" w:rsidRPr="00797B90" w:rsidRDefault="00C846E9" w:rsidP="00EE2A22">
            <w:pPr>
              <w:rPr>
                <w:b/>
                <w:bCs/>
              </w:rPr>
            </w:pPr>
            <w:r w:rsidRPr="00797B90">
              <w:rPr>
                <w:b/>
                <w:bCs/>
              </w:rPr>
              <w:t>exp(beta)</w:t>
            </w:r>
          </w:p>
        </w:tc>
        <w:tc>
          <w:tcPr>
            <w:tcW w:w="1065" w:type="dxa"/>
          </w:tcPr>
          <w:p w14:paraId="29EFDA74" w14:textId="77777777" w:rsidR="00C846E9" w:rsidRPr="00797B90" w:rsidRDefault="00C846E9" w:rsidP="00EE2A22">
            <w:pPr>
              <w:rPr>
                <w:b/>
                <w:bCs/>
              </w:rPr>
            </w:pPr>
            <w:proofErr w:type="spellStart"/>
            <w:r w:rsidRPr="00797B90">
              <w:rPr>
                <w:b/>
                <w:bCs/>
              </w:rPr>
              <w:t>Signifi</w:t>
            </w:r>
            <w:proofErr w:type="spellEnd"/>
          </w:p>
          <w:p w14:paraId="719C5B3F" w14:textId="77777777" w:rsidR="00C846E9" w:rsidRPr="00797B90" w:rsidRDefault="00C846E9" w:rsidP="00EE2A22">
            <w:pPr>
              <w:rPr>
                <w:b/>
                <w:bCs/>
              </w:rPr>
            </w:pPr>
          </w:p>
        </w:tc>
        <w:tc>
          <w:tcPr>
            <w:tcW w:w="1356" w:type="dxa"/>
          </w:tcPr>
          <w:p w14:paraId="16656831" w14:textId="77777777" w:rsidR="00C846E9" w:rsidRPr="00797B90" w:rsidRDefault="00C846E9" w:rsidP="00EE2A22">
            <w:pPr>
              <w:rPr>
                <w:b/>
                <w:bCs/>
              </w:rPr>
            </w:pPr>
            <w:r w:rsidRPr="00797B90">
              <w:rPr>
                <w:b/>
                <w:bCs/>
              </w:rPr>
              <w:t>Marginal effect</w:t>
            </w:r>
          </w:p>
        </w:tc>
        <w:tc>
          <w:tcPr>
            <w:tcW w:w="1109" w:type="dxa"/>
          </w:tcPr>
          <w:p w14:paraId="4B5ACD48" w14:textId="77777777" w:rsidR="00C846E9" w:rsidRPr="00797B90" w:rsidRDefault="00C846E9" w:rsidP="00EE2A22">
            <w:pPr>
              <w:rPr>
                <w:b/>
                <w:bCs/>
              </w:rPr>
            </w:pPr>
            <w:r w:rsidRPr="00797B90">
              <w:rPr>
                <w:b/>
                <w:bCs/>
              </w:rPr>
              <w:t xml:space="preserve">Pseudo </w:t>
            </w:r>
            <w:proofErr w:type="spellStart"/>
            <w:r w:rsidRPr="00797B90">
              <w:rPr>
                <w:b/>
                <w:bCs/>
              </w:rPr>
              <w:t>R_squa</w:t>
            </w:r>
            <w:r>
              <w:rPr>
                <w:b/>
                <w:bCs/>
              </w:rPr>
              <w:t>r</w:t>
            </w:r>
            <w:proofErr w:type="spellEnd"/>
          </w:p>
        </w:tc>
        <w:tc>
          <w:tcPr>
            <w:tcW w:w="914" w:type="dxa"/>
          </w:tcPr>
          <w:p w14:paraId="758226CF" w14:textId="77777777" w:rsidR="00C846E9" w:rsidRPr="00797B90" w:rsidRDefault="00C846E9" w:rsidP="00EE2A22">
            <w:pPr>
              <w:rPr>
                <w:b/>
                <w:bCs/>
              </w:rPr>
            </w:pPr>
            <w:r w:rsidRPr="00797B90">
              <w:rPr>
                <w:b/>
                <w:bCs/>
              </w:rPr>
              <w:t>LLR p</w:t>
            </w:r>
          </w:p>
        </w:tc>
      </w:tr>
      <w:tr w:rsidR="00C846E9" w14:paraId="6E2B2A3E" w14:textId="77777777" w:rsidTr="00EE2A22">
        <w:tc>
          <w:tcPr>
            <w:tcW w:w="1431" w:type="dxa"/>
            <w:vMerge w:val="restart"/>
          </w:tcPr>
          <w:p w14:paraId="33AEC3D7" w14:textId="77777777" w:rsidR="00C846E9" w:rsidRDefault="00C846E9" w:rsidP="00EE2A22">
            <w:r>
              <w:t>Experience</w:t>
            </w:r>
          </w:p>
          <w:p w14:paraId="529BEF03" w14:textId="77777777" w:rsidR="00C846E9" w:rsidRDefault="00C846E9" w:rsidP="00EE2A22">
            <w:r>
              <w:t>Dataset:</w:t>
            </w:r>
          </w:p>
          <w:p w14:paraId="432D331C" w14:textId="77777777" w:rsidR="00C846E9" w:rsidRDefault="00C846E9" w:rsidP="00EE2A22">
            <w:proofErr w:type="spellStart"/>
            <w:r>
              <w:t>clean_n</w:t>
            </w:r>
            <w:proofErr w:type="spellEnd"/>
            <w:r>
              <w:t xml:space="preserve"> </w:t>
            </w:r>
          </w:p>
        </w:tc>
        <w:tc>
          <w:tcPr>
            <w:tcW w:w="1858" w:type="dxa"/>
          </w:tcPr>
          <w:p w14:paraId="380E9E07" w14:textId="77777777" w:rsidR="00C846E9" w:rsidRDefault="00C846E9" w:rsidP="00EE2A22">
            <w:proofErr w:type="spellStart"/>
            <w:r>
              <w:t>Made_safer</w:t>
            </w:r>
            <w:proofErr w:type="spellEnd"/>
            <w:r>
              <w:t xml:space="preserve"> </w:t>
            </w:r>
          </w:p>
        </w:tc>
        <w:tc>
          <w:tcPr>
            <w:tcW w:w="1283" w:type="dxa"/>
          </w:tcPr>
          <w:p w14:paraId="23D138C1" w14:textId="77777777" w:rsidR="00C846E9" w:rsidRDefault="00C846E9" w:rsidP="00EE2A22">
            <w:r>
              <w:t>2.25</w:t>
            </w:r>
          </w:p>
        </w:tc>
        <w:tc>
          <w:tcPr>
            <w:tcW w:w="1065" w:type="dxa"/>
          </w:tcPr>
          <w:p w14:paraId="2C7AFF29" w14:textId="77777777" w:rsidR="00C846E9" w:rsidRDefault="00C846E9" w:rsidP="00EE2A22">
            <w:r>
              <w:t>P=0.001</w:t>
            </w:r>
          </w:p>
        </w:tc>
        <w:tc>
          <w:tcPr>
            <w:tcW w:w="1356" w:type="dxa"/>
          </w:tcPr>
          <w:p w14:paraId="059B8078" w14:textId="77777777" w:rsidR="00C846E9" w:rsidRDefault="00C846E9" w:rsidP="00EE2A22">
            <w:r>
              <w:t>11.9%</w:t>
            </w:r>
          </w:p>
        </w:tc>
        <w:tc>
          <w:tcPr>
            <w:tcW w:w="1109" w:type="dxa"/>
          </w:tcPr>
          <w:p w14:paraId="399C3464" w14:textId="77777777" w:rsidR="00C846E9" w:rsidRDefault="00C846E9" w:rsidP="00EE2A22">
            <w:r>
              <w:t>2.3%</w:t>
            </w:r>
          </w:p>
        </w:tc>
        <w:tc>
          <w:tcPr>
            <w:tcW w:w="914" w:type="dxa"/>
          </w:tcPr>
          <w:p w14:paraId="3892AE08" w14:textId="77777777" w:rsidR="00C846E9" w:rsidRDefault="00C846E9" w:rsidP="00EE2A22">
            <w:r>
              <w:t>0.001</w:t>
            </w:r>
          </w:p>
        </w:tc>
      </w:tr>
      <w:tr w:rsidR="00C846E9" w14:paraId="69631ECF" w14:textId="77777777" w:rsidTr="00EE2A22">
        <w:tc>
          <w:tcPr>
            <w:tcW w:w="1431" w:type="dxa"/>
            <w:vMerge/>
          </w:tcPr>
          <w:p w14:paraId="0900755A" w14:textId="77777777" w:rsidR="00C846E9" w:rsidRDefault="00C846E9" w:rsidP="00EE2A22"/>
        </w:tc>
        <w:tc>
          <w:tcPr>
            <w:tcW w:w="1858" w:type="dxa"/>
          </w:tcPr>
          <w:p w14:paraId="71A2B5AA" w14:textId="77777777" w:rsidR="00C846E9" w:rsidRDefault="00C846E9" w:rsidP="00EE2A22">
            <w:r>
              <w:t>Insured</w:t>
            </w:r>
          </w:p>
        </w:tc>
        <w:tc>
          <w:tcPr>
            <w:tcW w:w="1283" w:type="dxa"/>
          </w:tcPr>
          <w:p w14:paraId="0A202EE6" w14:textId="77777777" w:rsidR="00C846E9" w:rsidRDefault="00C846E9" w:rsidP="00EE2A22">
            <w:r>
              <w:t>2.79</w:t>
            </w:r>
          </w:p>
        </w:tc>
        <w:tc>
          <w:tcPr>
            <w:tcW w:w="1065" w:type="dxa"/>
          </w:tcPr>
          <w:p w14:paraId="0FB3F5DD" w14:textId="77777777" w:rsidR="00C846E9" w:rsidRDefault="00C846E9" w:rsidP="00EE2A22">
            <w:r>
              <w:t>P=0.000</w:t>
            </w:r>
          </w:p>
        </w:tc>
        <w:tc>
          <w:tcPr>
            <w:tcW w:w="1356" w:type="dxa"/>
          </w:tcPr>
          <w:p w14:paraId="05EBDDA1" w14:textId="77777777" w:rsidR="00C846E9" w:rsidRDefault="00C846E9" w:rsidP="00EE2A22">
            <w:r>
              <w:t>16.5%</w:t>
            </w:r>
          </w:p>
        </w:tc>
        <w:tc>
          <w:tcPr>
            <w:tcW w:w="1109" w:type="dxa"/>
          </w:tcPr>
          <w:p w14:paraId="44A221C2" w14:textId="77777777" w:rsidR="00C846E9" w:rsidRDefault="00C846E9" w:rsidP="00EE2A22">
            <w:r>
              <w:t>3.8%</w:t>
            </w:r>
          </w:p>
        </w:tc>
        <w:tc>
          <w:tcPr>
            <w:tcW w:w="914" w:type="dxa"/>
          </w:tcPr>
          <w:p w14:paraId="1AF5F921" w14:textId="77777777" w:rsidR="00C846E9" w:rsidRDefault="00C846E9" w:rsidP="00EE2A22">
            <w:r>
              <w:t>0.000</w:t>
            </w:r>
          </w:p>
        </w:tc>
      </w:tr>
      <w:tr w:rsidR="00C846E9" w14:paraId="786A31D0" w14:textId="77777777" w:rsidTr="00EE2A22">
        <w:tc>
          <w:tcPr>
            <w:tcW w:w="1431" w:type="dxa"/>
            <w:vMerge/>
          </w:tcPr>
          <w:p w14:paraId="1AA1D167" w14:textId="77777777" w:rsidR="00C846E9" w:rsidRDefault="00C846E9" w:rsidP="00EE2A22"/>
        </w:tc>
        <w:tc>
          <w:tcPr>
            <w:tcW w:w="1858" w:type="dxa"/>
          </w:tcPr>
          <w:p w14:paraId="4CEB2CF7" w14:textId="77777777" w:rsidR="00C846E9" w:rsidRDefault="00C846E9" w:rsidP="00EE2A22">
            <w:proofErr w:type="spellStart"/>
            <w:r>
              <w:t>Learned_routes</w:t>
            </w:r>
            <w:proofErr w:type="spellEnd"/>
          </w:p>
        </w:tc>
        <w:tc>
          <w:tcPr>
            <w:tcW w:w="1283" w:type="dxa"/>
          </w:tcPr>
          <w:p w14:paraId="7528E3AF" w14:textId="77777777" w:rsidR="00C846E9" w:rsidRDefault="00C846E9" w:rsidP="00EE2A22">
            <w:r>
              <w:t>3.80</w:t>
            </w:r>
          </w:p>
        </w:tc>
        <w:tc>
          <w:tcPr>
            <w:tcW w:w="1065" w:type="dxa"/>
          </w:tcPr>
          <w:p w14:paraId="3CB39641" w14:textId="77777777" w:rsidR="00C846E9" w:rsidRDefault="00C846E9" w:rsidP="00EE2A22">
            <w:r>
              <w:t>P=0.000</w:t>
            </w:r>
          </w:p>
        </w:tc>
        <w:tc>
          <w:tcPr>
            <w:tcW w:w="1356" w:type="dxa"/>
          </w:tcPr>
          <w:p w14:paraId="509801D2" w14:textId="77777777" w:rsidR="00C846E9" w:rsidRDefault="00C846E9" w:rsidP="00EE2A22">
            <w:r>
              <w:t>21.6%</w:t>
            </w:r>
          </w:p>
        </w:tc>
        <w:tc>
          <w:tcPr>
            <w:tcW w:w="1109" w:type="dxa"/>
          </w:tcPr>
          <w:p w14:paraId="728AB6B1" w14:textId="77777777" w:rsidR="00C846E9" w:rsidRDefault="00C846E9" w:rsidP="00EE2A22">
            <w:r>
              <w:t>6.5%</w:t>
            </w:r>
          </w:p>
        </w:tc>
        <w:tc>
          <w:tcPr>
            <w:tcW w:w="914" w:type="dxa"/>
          </w:tcPr>
          <w:p w14:paraId="4E8FA999" w14:textId="77777777" w:rsidR="00C846E9" w:rsidRDefault="00C846E9" w:rsidP="00EE2A22">
            <w:r>
              <w:t>0.000</w:t>
            </w:r>
          </w:p>
        </w:tc>
      </w:tr>
      <w:tr w:rsidR="00C846E9" w14:paraId="1DF875CB" w14:textId="77777777" w:rsidTr="00EE2A22">
        <w:tc>
          <w:tcPr>
            <w:tcW w:w="1431" w:type="dxa"/>
            <w:vMerge/>
          </w:tcPr>
          <w:p w14:paraId="1D05F399" w14:textId="77777777" w:rsidR="00C846E9" w:rsidRDefault="00C846E9" w:rsidP="00EE2A22"/>
        </w:tc>
        <w:tc>
          <w:tcPr>
            <w:tcW w:w="1858" w:type="dxa"/>
          </w:tcPr>
          <w:p w14:paraId="085EF1CD" w14:textId="77777777" w:rsidR="00C846E9" w:rsidRDefault="00C846E9" w:rsidP="00EE2A22">
            <w:r>
              <w:t>Supplies</w:t>
            </w:r>
          </w:p>
        </w:tc>
        <w:tc>
          <w:tcPr>
            <w:tcW w:w="1283" w:type="dxa"/>
          </w:tcPr>
          <w:p w14:paraId="3D6F084F" w14:textId="77777777" w:rsidR="00C846E9" w:rsidRDefault="00C846E9" w:rsidP="00EE2A22">
            <w:r>
              <w:t>4.80</w:t>
            </w:r>
          </w:p>
        </w:tc>
        <w:tc>
          <w:tcPr>
            <w:tcW w:w="1065" w:type="dxa"/>
          </w:tcPr>
          <w:p w14:paraId="679E996F" w14:textId="77777777" w:rsidR="00C846E9" w:rsidRDefault="00C846E9" w:rsidP="00EE2A22">
            <w:r>
              <w:t>P=0.000</w:t>
            </w:r>
          </w:p>
        </w:tc>
        <w:tc>
          <w:tcPr>
            <w:tcW w:w="1356" w:type="dxa"/>
          </w:tcPr>
          <w:p w14:paraId="4A713641" w14:textId="77777777" w:rsidR="00C846E9" w:rsidRDefault="00C846E9" w:rsidP="00EE2A22">
            <w:r>
              <w:t>24.2%</w:t>
            </w:r>
          </w:p>
        </w:tc>
        <w:tc>
          <w:tcPr>
            <w:tcW w:w="1109" w:type="dxa"/>
          </w:tcPr>
          <w:p w14:paraId="743B29E9" w14:textId="77777777" w:rsidR="00C846E9" w:rsidRDefault="00C846E9" w:rsidP="00EE2A22">
            <w:r>
              <w:t>8.9%</w:t>
            </w:r>
          </w:p>
        </w:tc>
        <w:tc>
          <w:tcPr>
            <w:tcW w:w="914" w:type="dxa"/>
          </w:tcPr>
          <w:p w14:paraId="1CC3C8BB" w14:textId="77777777" w:rsidR="00C846E9" w:rsidRDefault="00C846E9" w:rsidP="00EE2A22">
            <w:r>
              <w:t>0.000</w:t>
            </w:r>
          </w:p>
        </w:tc>
      </w:tr>
      <w:tr w:rsidR="00C846E9" w14:paraId="50A5C878" w14:textId="77777777" w:rsidTr="00EE2A22">
        <w:tc>
          <w:tcPr>
            <w:tcW w:w="1431" w:type="dxa"/>
            <w:vMerge/>
          </w:tcPr>
          <w:p w14:paraId="5FCBA7A3" w14:textId="77777777" w:rsidR="00C846E9" w:rsidRDefault="00C846E9" w:rsidP="00EE2A22"/>
        </w:tc>
        <w:tc>
          <w:tcPr>
            <w:tcW w:w="1858" w:type="dxa"/>
          </w:tcPr>
          <w:p w14:paraId="22EB0F94" w14:textId="77777777" w:rsidR="00C846E9" w:rsidRDefault="00C846E9" w:rsidP="00EE2A22">
            <w:r>
              <w:t>Involved</w:t>
            </w:r>
          </w:p>
        </w:tc>
        <w:tc>
          <w:tcPr>
            <w:tcW w:w="1283" w:type="dxa"/>
          </w:tcPr>
          <w:p w14:paraId="2EC161CE" w14:textId="77777777" w:rsidR="00C846E9" w:rsidRDefault="00C846E9" w:rsidP="00EE2A22">
            <w:r>
              <w:t>5.23</w:t>
            </w:r>
          </w:p>
        </w:tc>
        <w:tc>
          <w:tcPr>
            <w:tcW w:w="1065" w:type="dxa"/>
          </w:tcPr>
          <w:p w14:paraId="4BD1E8C9" w14:textId="77777777" w:rsidR="00C846E9" w:rsidRDefault="00C846E9" w:rsidP="00EE2A22">
            <w:r>
              <w:t>P=0.000</w:t>
            </w:r>
          </w:p>
        </w:tc>
        <w:tc>
          <w:tcPr>
            <w:tcW w:w="1356" w:type="dxa"/>
          </w:tcPr>
          <w:p w14:paraId="4EDC55C3" w14:textId="77777777" w:rsidR="00C846E9" w:rsidRDefault="00C846E9" w:rsidP="00EE2A22">
            <w:r>
              <w:t>12.6%</w:t>
            </w:r>
          </w:p>
        </w:tc>
        <w:tc>
          <w:tcPr>
            <w:tcW w:w="1109" w:type="dxa"/>
          </w:tcPr>
          <w:p w14:paraId="75D30582" w14:textId="77777777" w:rsidR="00C846E9" w:rsidRDefault="00C846E9" w:rsidP="00EE2A22">
            <w:r>
              <w:t>8.7%</w:t>
            </w:r>
          </w:p>
        </w:tc>
        <w:tc>
          <w:tcPr>
            <w:tcW w:w="914" w:type="dxa"/>
          </w:tcPr>
          <w:p w14:paraId="3B874D1B" w14:textId="77777777" w:rsidR="00C846E9" w:rsidRDefault="00C846E9" w:rsidP="00EE2A22">
            <w:r>
              <w:t>0.000</w:t>
            </w:r>
          </w:p>
        </w:tc>
      </w:tr>
      <w:tr w:rsidR="00C846E9" w14:paraId="6011E5C7" w14:textId="77777777" w:rsidTr="00EE2A22">
        <w:tc>
          <w:tcPr>
            <w:tcW w:w="1431" w:type="dxa"/>
            <w:vMerge/>
          </w:tcPr>
          <w:p w14:paraId="03087E43" w14:textId="77777777" w:rsidR="00C846E9" w:rsidRDefault="00C846E9" w:rsidP="00EE2A22"/>
        </w:tc>
        <w:tc>
          <w:tcPr>
            <w:tcW w:w="1858" w:type="dxa"/>
          </w:tcPr>
          <w:p w14:paraId="77E07B92" w14:textId="77777777" w:rsidR="00C846E9" w:rsidRDefault="00C846E9" w:rsidP="00EE2A22">
            <w:proofErr w:type="spellStart"/>
            <w:r>
              <w:t>Made_plan</w:t>
            </w:r>
            <w:proofErr w:type="spellEnd"/>
          </w:p>
        </w:tc>
        <w:tc>
          <w:tcPr>
            <w:tcW w:w="1283" w:type="dxa"/>
          </w:tcPr>
          <w:p w14:paraId="79F188D3" w14:textId="77777777" w:rsidR="00C846E9" w:rsidRDefault="00C846E9" w:rsidP="00EE2A22">
            <w:r>
              <w:t>2.82</w:t>
            </w:r>
          </w:p>
        </w:tc>
        <w:tc>
          <w:tcPr>
            <w:tcW w:w="1065" w:type="dxa"/>
          </w:tcPr>
          <w:p w14:paraId="421AEFED" w14:textId="77777777" w:rsidR="00C846E9" w:rsidRDefault="00C846E9" w:rsidP="00EE2A22">
            <w:r>
              <w:t>P=0.000</w:t>
            </w:r>
          </w:p>
        </w:tc>
        <w:tc>
          <w:tcPr>
            <w:tcW w:w="1356" w:type="dxa"/>
          </w:tcPr>
          <w:p w14:paraId="1E7338E2" w14:textId="77777777" w:rsidR="00C846E9" w:rsidRDefault="00C846E9" w:rsidP="00EE2A22">
            <w:r>
              <w:t>16.9%</w:t>
            </w:r>
          </w:p>
        </w:tc>
        <w:tc>
          <w:tcPr>
            <w:tcW w:w="1109" w:type="dxa"/>
          </w:tcPr>
          <w:p w14:paraId="4559EB27" w14:textId="77777777" w:rsidR="00C846E9" w:rsidRDefault="00C846E9" w:rsidP="00EE2A22">
            <w:r>
              <w:t>3.9%</w:t>
            </w:r>
          </w:p>
        </w:tc>
        <w:tc>
          <w:tcPr>
            <w:tcW w:w="914" w:type="dxa"/>
          </w:tcPr>
          <w:p w14:paraId="259F01B9" w14:textId="77777777" w:rsidR="00C846E9" w:rsidRDefault="00C846E9" w:rsidP="00EE2A22">
            <w:r>
              <w:t>0.000</w:t>
            </w:r>
          </w:p>
        </w:tc>
      </w:tr>
      <w:tr w:rsidR="00C846E9" w14:paraId="5A51E1AB" w14:textId="77777777" w:rsidTr="00EE2A22">
        <w:tc>
          <w:tcPr>
            <w:tcW w:w="1431" w:type="dxa"/>
            <w:vMerge/>
          </w:tcPr>
          <w:p w14:paraId="29A8FFC0" w14:textId="77777777" w:rsidR="00C846E9" w:rsidRDefault="00C846E9" w:rsidP="00EE2A22"/>
        </w:tc>
        <w:tc>
          <w:tcPr>
            <w:tcW w:w="1858" w:type="dxa"/>
          </w:tcPr>
          <w:p w14:paraId="53683746" w14:textId="77777777" w:rsidR="00C846E9" w:rsidRDefault="00C846E9" w:rsidP="00EE2A22">
            <w:proofErr w:type="spellStart"/>
            <w:r>
              <w:t>Practiced_drills</w:t>
            </w:r>
            <w:proofErr w:type="spellEnd"/>
          </w:p>
        </w:tc>
        <w:tc>
          <w:tcPr>
            <w:tcW w:w="1283" w:type="dxa"/>
          </w:tcPr>
          <w:p w14:paraId="601D600E" w14:textId="77777777" w:rsidR="00C846E9" w:rsidRDefault="00C846E9" w:rsidP="00EE2A22">
            <w:r>
              <w:t>3.35</w:t>
            </w:r>
          </w:p>
        </w:tc>
        <w:tc>
          <w:tcPr>
            <w:tcW w:w="1065" w:type="dxa"/>
          </w:tcPr>
          <w:p w14:paraId="61FADAF1" w14:textId="77777777" w:rsidR="00C846E9" w:rsidRDefault="00C846E9" w:rsidP="00EE2A22">
            <w:r>
              <w:t>P=0.000</w:t>
            </w:r>
          </w:p>
        </w:tc>
        <w:tc>
          <w:tcPr>
            <w:tcW w:w="1356" w:type="dxa"/>
          </w:tcPr>
          <w:p w14:paraId="6FAE31EE" w14:textId="77777777" w:rsidR="00C846E9" w:rsidRDefault="00C846E9" w:rsidP="00EE2A22">
            <w:r>
              <w:t>8.7%</w:t>
            </w:r>
          </w:p>
        </w:tc>
        <w:tc>
          <w:tcPr>
            <w:tcW w:w="1109" w:type="dxa"/>
          </w:tcPr>
          <w:p w14:paraId="08BE6443" w14:textId="77777777" w:rsidR="00C846E9" w:rsidRDefault="00C846E9" w:rsidP="00EE2A22">
            <w:r>
              <w:t>4.6%</w:t>
            </w:r>
          </w:p>
        </w:tc>
        <w:tc>
          <w:tcPr>
            <w:tcW w:w="914" w:type="dxa"/>
          </w:tcPr>
          <w:p w14:paraId="0B1907EE" w14:textId="77777777" w:rsidR="00C846E9" w:rsidRDefault="00C846E9" w:rsidP="00EE2A22">
            <w:r>
              <w:t>0.000</w:t>
            </w:r>
          </w:p>
        </w:tc>
      </w:tr>
      <w:tr w:rsidR="00C846E9" w14:paraId="2EF96837" w14:textId="77777777" w:rsidTr="00EE2A22">
        <w:tc>
          <w:tcPr>
            <w:tcW w:w="1431" w:type="dxa"/>
            <w:vMerge/>
          </w:tcPr>
          <w:p w14:paraId="124B3D68" w14:textId="77777777" w:rsidR="00C846E9" w:rsidRDefault="00C846E9" w:rsidP="00EE2A22"/>
        </w:tc>
        <w:tc>
          <w:tcPr>
            <w:tcW w:w="1858" w:type="dxa"/>
          </w:tcPr>
          <w:p w14:paraId="6B7F81EA" w14:textId="77777777" w:rsidR="00C846E9" w:rsidRDefault="00C846E9" w:rsidP="00EE2A22">
            <w:r>
              <w:t>Alerts</w:t>
            </w:r>
          </w:p>
        </w:tc>
        <w:tc>
          <w:tcPr>
            <w:tcW w:w="1283" w:type="dxa"/>
          </w:tcPr>
          <w:p w14:paraId="15A7E49F" w14:textId="77777777" w:rsidR="00C846E9" w:rsidRDefault="00C846E9" w:rsidP="00EE2A22">
            <w:r>
              <w:t>2.28</w:t>
            </w:r>
          </w:p>
        </w:tc>
        <w:tc>
          <w:tcPr>
            <w:tcW w:w="1065" w:type="dxa"/>
          </w:tcPr>
          <w:p w14:paraId="64FA6FEA" w14:textId="77777777" w:rsidR="00C846E9" w:rsidRDefault="00C846E9" w:rsidP="00EE2A22">
            <w:r>
              <w:t>P=0.001</w:t>
            </w:r>
          </w:p>
        </w:tc>
        <w:tc>
          <w:tcPr>
            <w:tcW w:w="1356" w:type="dxa"/>
          </w:tcPr>
          <w:p w14:paraId="76A46123" w14:textId="77777777" w:rsidR="00C846E9" w:rsidRDefault="00C846E9" w:rsidP="00EE2A22">
            <w:r>
              <w:t>12.3%</w:t>
            </w:r>
          </w:p>
        </w:tc>
        <w:tc>
          <w:tcPr>
            <w:tcW w:w="1109" w:type="dxa"/>
          </w:tcPr>
          <w:p w14:paraId="1B2F6298" w14:textId="77777777" w:rsidR="00C846E9" w:rsidRDefault="00C846E9" w:rsidP="00EE2A22">
            <w:r>
              <w:t>2.4%</w:t>
            </w:r>
          </w:p>
        </w:tc>
        <w:tc>
          <w:tcPr>
            <w:tcW w:w="914" w:type="dxa"/>
          </w:tcPr>
          <w:p w14:paraId="03E623D6" w14:textId="77777777" w:rsidR="00C846E9" w:rsidRDefault="00C846E9" w:rsidP="00EE2A22">
            <w:r>
              <w:t>0.001</w:t>
            </w:r>
          </w:p>
        </w:tc>
      </w:tr>
      <w:tr w:rsidR="00C846E9" w14:paraId="51DAF916" w14:textId="77777777" w:rsidTr="00EE2A22">
        <w:tc>
          <w:tcPr>
            <w:tcW w:w="1431" w:type="dxa"/>
            <w:vMerge/>
          </w:tcPr>
          <w:p w14:paraId="311FC48C" w14:textId="77777777" w:rsidR="00C846E9" w:rsidRDefault="00C846E9" w:rsidP="00EE2A22"/>
        </w:tc>
        <w:tc>
          <w:tcPr>
            <w:tcW w:w="1858" w:type="dxa"/>
          </w:tcPr>
          <w:p w14:paraId="2AC3FC0A" w14:textId="77777777" w:rsidR="00C846E9" w:rsidRDefault="00C846E9" w:rsidP="00EE2A22">
            <w:r>
              <w:t>Family_</w:t>
            </w:r>
          </w:p>
          <w:p w14:paraId="3BA8C28E" w14:textId="77777777" w:rsidR="00C846E9" w:rsidRDefault="00C846E9" w:rsidP="00EE2A22">
            <w:r>
              <w:t>communication</w:t>
            </w:r>
          </w:p>
        </w:tc>
        <w:tc>
          <w:tcPr>
            <w:tcW w:w="1283" w:type="dxa"/>
          </w:tcPr>
          <w:p w14:paraId="543CA0E5" w14:textId="77777777" w:rsidR="00C846E9" w:rsidRDefault="00C846E9" w:rsidP="00EE2A22">
            <w:r>
              <w:t>2.54</w:t>
            </w:r>
          </w:p>
        </w:tc>
        <w:tc>
          <w:tcPr>
            <w:tcW w:w="1065" w:type="dxa"/>
          </w:tcPr>
          <w:p w14:paraId="34F54CD4" w14:textId="77777777" w:rsidR="00C846E9" w:rsidRDefault="00C846E9" w:rsidP="00EE2A22">
            <w:r>
              <w:t>P=0.003</w:t>
            </w:r>
          </w:p>
        </w:tc>
        <w:tc>
          <w:tcPr>
            <w:tcW w:w="1356" w:type="dxa"/>
          </w:tcPr>
          <w:p w14:paraId="41914079" w14:textId="77777777" w:rsidR="00C846E9" w:rsidRDefault="00C846E9" w:rsidP="00EE2A22">
            <w:r>
              <w:t>8.3%</w:t>
            </w:r>
          </w:p>
        </w:tc>
        <w:tc>
          <w:tcPr>
            <w:tcW w:w="1109" w:type="dxa"/>
          </w:tcPr>
          <w:p w14:paraId="7C634B87" w14:textId="77777777" w:rsidR="00C846E9" w:rsidRDefault="00C846E9" w:rsidP="00EE2A22">
            <w:r>
              <w:t>2.8%</w:t>
            </w:r>
          </w:p>
        </w:tc>
        <w:tc>
          <w:tcPr>
            <w:tcW w:w="914" w:type="dxa"/>
          </w:tcPr>
          <w:p w14:paraId="085577A0" w14:textId="77777777" w:rsidR="00C846E9" w:rsidRDefault="00C846E9" w:rsidP="00EE2A22">
            <w:r>
              <w:t>0.004</w:t>
            </w:r>
          </w:p>
        </w:tc>
      </w:tr>
      <w:tr w:rsidR="00C846E9" w14:paraId="1BC75D5B" w14:textId="77777777" w:rsidTr="00EE2A22">
        <w:tc>
          <w:tcPr>
            <w:tcW w:w="1431" w:type="dxa"/>
            <w:vMerge w:val="restart"/>
          </w:tcPr>
          <w:p w14:paraId="5892912A" w14:textId="77777777" w:rsidR="00C846E9" w:rsidRDefault="00C846E9" w:rsidP="00EE2A22">
            <w:r>
              <w:t>Insurance</w:t>
            </w:r>
          </w:p>
          <w:p w14:paraId="09D7DFBD" w14:textId="77777777" w:rsidR="00C846E9" w:rsidRDefault="00C846E9" w:rsidP="00EE2A22">
            <w:r>
              <w:t>Dataset:</w:t>
            </w:r>
          </w:p>
          <w:p w14:paraId="39AF0338" w14:textId="77777777" w:rsidR="00C846E9" w:rsidRDefault="00C846E9" w:rsidP="00EE2A22">
            <w:proofErr w:type="spellStart"/>
            <w:r>
              <w:t>Clean_n</w:t>
            </w:r>
            <w:proofErr w:type="spellEnd"/>
            <w:r>
              <w:t xml:space="preserve"> </w:t>
            </w:r>
          </w:p>
        </w:tc>
        <w:tc>
          <w:tcPr>
            <w:tcW w:w="1858" w:type="dxa"/>
          </w:tcPr>
          <w:p w14:paraId="0A1B3F9B" w14:textId="77777777" w:rsidR="00C846E9" w:rsidRDefault="00C846E9" w:rsidP="00EE2A22">
            <w:proofErr w:type="spellStart"/>
            <w:r>
              <w:t>Made_safer</w:t>
            </w:r>
            <w:proofErr w:type="spellEnd"/>
            <w:r>
              <w:t xml:space="preserve"> </w:t>
            </w:r>
          </w:p>
        </w:tc>
        <w:tc>
          <w:tcPr>
            <w:tcW w:w="1283" w:type="dxa"/>
          </w:tcPr>
          <w:p w14:paraId="5263E2FE" w14:textId="77777777" w:rsidR="00C846E9" w:rsidRDefault="00C846E9" w:rsidP="00EE2A22">
            <w:r>
              <w:t>5.16</w:t>
            </w:r>
          </w:p>
        </w:tc>
        <w:tc>
          <w:tcPr>
            <w:tcW w:w="1065" w:type="dxa"/>
          </w:tcPr>
          <w:p w14:paraId="5D080144" w14:textId="77777777" w:rsidR="00C846E9" w:rsidRDefault="00C846E9" w:rsidP="00EE2A22">
            <w:r>
              <w:t>P=0.000</w:t>
            </w:r>
          </w:p>
        </w:tc>
        <w:tc>
          <w:tcPr>
            <w:tcW w:w="1356" w:type="dxa"/>
          </w:tcPr>
          <w:p w14:paraId="17256320" w14:textId="77777777" w:rsidR="00C846E9" w:rsidRDefault="00C846E9" w:rsidP="00EE2A22">
            <w:r>
              <w:t>22.3%</w:t>
            </w:r>
          </w:p>
        </w:tc>
        <w:tc>
          <w:tcPr>
            <w:tcW w:w="1109" w:type="dxa"/>
          </w:tcPr>
          <w:p w14:paraId="105878CD" w14:textId="77777777" w:rsidR="00C846E9" w:rsidRDefault="00C846E9" w:rsidP="00EE2A22">
            <w:r>
              <w:t>8.8%</w:t>
            </w:r>
          </w:p>
        </w:tc>
        <w:tc>
          <w:tcPr>
            <w:tcW w:w="914" w:type="dxa"/>
          </w:tcPr>
          <w:p w14:paraId="2D1F1077" w14:textId="77777777" w:rsidR="00C846E9" w:rsidRDefault="00C846E9" w:rsidP="00EE2A22">
            <w:r>
              <w:t>0.000</w:t>
            </w:r>
          </w:p>
        </w:tc>
      </w:tr>
      <w:tr w:rsidR="00C846E9" w14:paraId="41AEEDB9" w14:textId="77777777" w:rsidTr="00EE2A22">
        <w:tc>
          <w:tcPr>
            <w:tcW w:w="1431" w:type="dxa"/>
            <w:vMerge/>
          </w:tcPr>
          <w:p w14:paraId="4A552168" w14:textId="77777777" w:rsidR="00C846E9" w:rsidRDefault="00C846E9" w:rsidP="00EE2A22"/>
        </w:tc>
        <w:tc>
          <w:tcPr>
            <w:tcW w:w="1858" w:type="dxa"/>
          </w:tcPr>
          <w:p w14:paraId="3EEF7935" w14:textId="77777777" w:rsidR="00C846E9" w:rsidRDefault="00C846E9" w:rsidP="00EE2A22">
            <w:proofErr w:type="spellStart"/>
            <w:r>
              <w:t>Learned_routes</w:t>
            </w:r>
            <w:proofErr w:type="spellEnd"/>
          </w:p>
        </w:tc>
        <w:tc>
          <w:tcPr>
            <w:tcW w:w="1283" w:type="dxa"/>
          </w:tcPr>
          <w:p w14:paraId="0409CBB6" w14:textId="77777777" w:rsidR="00C846E9" w:rsidRDefault="00C846E9" w:rsidP="00EE2A22">
            <w:r>
              <w:t>8.86</w:t>
            </w:r>
          </w:p>
        </w:tc>
        <w:tc>
          <w:tcPr>
            <w:tcW w:w="1065" w:type="dxa"/>
          </w:tcPr>
          <w:p w14:paraId="06D8B659" w14:textId="77777777" w:rsidR="00C846E9" w:rsidRDefault="00C846E9" w:rsidP="00EE2A22">
            <w:r>
              <w:t>P=0.000</w:t>
            </w:r>
          </w:p>
        </w:tc>
        <w:tc>
          <w:tcPr>
            <w:tcW w:w="1356" w:type="dxa"/>
          </w:tcPr>
          <w:p w14:paraId="42D834C5" w14:textId="77777777" w:rsidR="00C846E9" w:rsidRDefault="00C846E9" w:rsidP="00EE2A22">
            <w:r>
              <w:t>31.1%</w:t>
            </w:r>
          </w:p>
        </w:tc>
        <w:tc>
          <w:tcPr>
            <w:tcW w:w="1109" w:type="dxa"/>
          </w:tcPr>
          <w:p w14:paraId="7B6D4B7F" w14:textId="77777777" w:rsidR="00C846E9" w:rsidRDefault="00C846E9" w:rsidP="00EE2A22">
            <w:r>
              <w:t>15.4%</w:t>
            </w:r>
          </w:p>
        </w:tc>
        <w:tc>
          <w:tcPr>
            <w:tcW w:w="914" w:type="dxa"/>
          </w:tcPr>
          <w:p w14:paraId="2AF6307D" w14:textId="77777777" w:rsidR="00C846E9" w:rsidRDefault="00C846E9" w:rsidP="00EE2A22">
            <w:r>
              <w:t>0.000</w:t>
            </w:r>
          </w:p>
        </w:tc>
      </w:tr>
      <w:tr w:rsidR="00C846E9" w14:paraId="633F7810" w14:textId="77777777" w:rsidTr="00EE2A22">
        <w:tc>
          <w:tcPr>
            <w:tcW w:w="1431" w:type="dxa"/>
            <w:vMerge/>
          </w:tcPr>
          <w:p w14:paraId="6EE2A287" w14:textId="77777777" w:rsidR="00C846E9" w:rsidRDefault="00C846E9" w:rsidP="00EE2A22"/>
        </w:tc>
        <w:tc>
          <w:tcPr>
            <w:tcW w:w="1858" w:type="dxa"/>
          </w:tcPr>
          <w:p w14:paraId="07820A76" w14:textId="77777777" w:rsidR="00C846E9" w:rsidRDefault="00C846E9" w:rsidP="00EE2A22">
            <w:r>
              <w:t>Supplies</w:t>
            </w:r>
          </w:p>
        </w:tc>
        <w:tc>
          <w:tcPr>
            <w:tcW w:w="1283" w:type="dxa"/>
          </w:tcPr>
          <w:p w14:paraId="22D7F642" w14:textId="77777777" w:rsidR="00C846E9" w:rsidRDefault="00C846E9" w:rsidP="00EE2A22">
            <w:r>
              <w:t>4.51</w:t>
            </w:r>
          </w:p>
        </w:tc>
        <w:tc>
          <w:tcPr>
            <w:tcW w:w="1065" w:type="dxa"/>
          </w:tcPr>
          <w:p w14:paraId="520F0DF4" w14:textId="77777777" w:rsidR="00C846E9" w:rsidRDefault="00C846E9" w:rsidP="00EE2A22">
            <w:r>
              <w:t>P=0.000</w:t>
            </w:r>
          </w:p>
        </w:tc>
        <w:tc>
          <w:tcPr>
            <w:tcW w:w="1356" w:type="dxa"/>
          </w:tcPr>
          <w:p w14:paraId="26972A86" w14:textId="77777777" w:rsidR="00C846E9" w:rsidRDefault="00C846E9" w:rsidP="00EE2A22">
            <w:r>
              <w:t>23.6%</w:t>
            </w:r>
          </w:p>
        </w:tc>
        <w:tc>
          <w:tcPr>
            <w:tcW w:w="1109" w:type="dxa"/>
          </w:tcPr>
          <w:p w14:paraId="10472B34" w14:textId="77777777" w:rsidR="00C846E9" w:rsidRDefault="00C846E9" w:rsidP="00EE2A22">
            <w:r>
              <w:t>7.4%</w:t>
            </w:r>
          </w:p>
        </w:tc>
        <w:tc>
          <w:tcPr>
            <w:tcW w:w="914" w:type="dxa"/>
          </w:tcPr>
          <w:p w14:paraId="1551192C" w14:textId="77777777" w:rsidR="00C846E9" w:rsidRDefault="00C846E9" w:rsidP="00EE2A22">
            <w:r>
              <w:t>0.000</w:t>
            </w:r>
          </w:p>
        </w:tc>
      </w:tr>
      <w:tr w:rsidR="00C846E9" w14:paraId="1F9EC107" w14:textId="77777777" w:rsidTr="00EE2A22">
        <w:tc>
          <w:tcPr>
            <w:tcW w:w="1431" w:type="dxa"/>
            <w:vMerge/>
          </w:tcPr>
          <w:p w14:paraId="14EDD7CE" w14:textId="77777777" w:rsidR="00C846E9" w:rsidRDefault="00C846E9" w:rsidP="00EE2A22"/>
        </w:tc>
        <w:tc>
          <w:tcPr>
            <w:tcW w:w="1858" w:type="dxa"/>
          </w:tcPr>
          <w:p w14:paraId="037CB316" w14:textId="77777777" w:rsidR="00C846E9" w:rsidRDefault="00C846E9" w:rsidP="00EE2A22">
            <w:r>
              <w:t>Involved</w:t>
            </w:r>
          </w:p>
        </w:tc>
        <w:tc>
          <w:tcPr>
            <w:tcW w:w="1283" w:type="dxa"/>
          </w:tcPr>
          <w:p w14:paraId="61EEFDC6" w14:textId="77777777" w:rsidR="00C846E9" w:rsidRDefault="00C846E9" w:rsidP="00EE2A22">
            <w:r>
              <w:t>6.11</w:t>
            </w:r>
          </w:p>
        </w:tc>
        <w:tc>
          <w:tcPr>
            <w:tcW w:w="1065" w:type="dxa"/>
          </w:tcPr>
          <w:p w14:paraId="288A8A45" w14:textId="77777777" w:rsidR="00C846E9" w:rsidRDefault="00C846E9" w:rsidP="00EE2A22">
            <w:r>
              <w:t>P=0.000</w:t>
            </w:r>
          </w:p>
        </w:tc>
        <w:tc>
          <w:tcPr>
            <w:tcW w:w="1356" w:type="dxa"/>
          </w:tcPr>
          <w:p w14:paraId="65E73DC6" w14:textId="77777777" w:rsidR="00C846E9" w:rsidRDefault="00C846E9" w:rsidP="00EE2A22">
            <w:r>
              <w:t>13.6%</w:t>
            </w:r>
          </w:p>
        </w:tc>
        <w:tc>
          <w:tcPr>
            <w:tcW w:w="1109" w:type="dxa"/>
          </w:tcPr>
          <w:p w14:paraId="7339C46C" w14:textId="77777777" w:rsidR="00C846E9" w:rsidRDefault="00C846E9" w:rsidP="00EE2A22">
            <w:r>
              <w:t>10.1%</w:t>
            </w:r>
          </w:p>
        </w:tc>
        <w:tc>
          <w:tcPr>
            <w:tcW w:w="914" w:type="dxa"/>
          </w:tcPr>
          <w:p w14:paraId="0A3147DE" w14:textId="77777777" w:rsidR="00C846E9" w:rsidRDefault="00C846E9" w:rsidP="00EE2A22">
            <w:r>
              <w:t>0.000</w:t>
            </w:r>
          </w:p>
        </w:tc>
      </w:tr>
      <w:tr w:rsidR="00C846E9" w14:paraId="54C9A969" w14:textId="77777777" w:rsidTr="00EE2A22">
        <w:tc>
          <w:tcPr>
            <w:tcW w:w="1431" w:type="dxa"/>
            <w:vMerge/>
          </w:tcPr>
          <w:p w14:paraId="285FF7EB" w14:textId="77777777" w:rsidR="00C846E9" w:rsidRDefault="00C846E9" w:rsidP="00EE2A22"/>
        </w:tc>
        <w:tc>
          <w:tcPr>
            <w:tcW w:w="1858" w:type="dxa"/>
          </w:tcPr>
          <w:p w14:paraId="04B6CC10" w14:textId="77777777" w:rsidR="00C846E9" w:rsidRDefault="00C846E9" w:rsidP="00EE2A22">
            <w:proofErr w:type="spellStart"/>
            <w:r>
              <w:t>Made_plan</w:t>
            </w:r>
            <w:proofErr w:type="spellEnd"/>
          </w:p>
        </w:tc>
        <w:tc>
          <w:tcPr>
            <w:tcW w:w="1283" w:type="dxa"/>
          </w:tcPr>
          <w:p w14:paraId="73BF458B" w14:textId="77777777" w:rsidR="00C846E9" w:rsidRDefault="00C846E9" w:rsidP="00EE2A22">
            <w:r>
              <w:t>3.41</w:t>
            </w:r>
          </w:p>
        </w:tc>
        <w:tc>
          <w:tcPr>
            <w:tcW w:w="1065" w:type="dxa"/>
          </w:tcPr>
          <w:p w14:paraId="0BDBED7F" w14:textId="77777777" w:rsidR="00C846E9" w:rsidRDefault="00C846E9" w:rsidP="00EE2A22">
            <w:r>
              <w:t>P=0.000</w:t>
            </w:r>
          </w:p>
        </w:tc>
        <w:tc>
          <w:tcPr>
            <w:tcW w:w="1356" w:type="dxa"/>
          </w:tcPr>
          <w:p w14:paraId="0F32C854" w14:textId="77777777" w:rsidR="00C846E9" w:rsidRDefault="00C846E9" w:rsidP="00EE2A22">
            <w:r>
              <w:t>19.7%</w:t>
            </w:r>
          </w:p>
        </w:tc>
        <w:tc>
          <w:tcPr>
            <w:tcW w:w="1109" w:type="dxa"/>
          </w:tcPr>
          <w:p w14:paraId="2A3BF1EB" w14:textId="77777777" w:rsidR="00C846E9" w:rsidRDefault="00C846E9" w:rsidP="00EE2A22">
            <w:r>
              <w:t>4.8%</w:t>
            </w:r>
          </w:p>
        </w:tc>
        <w:tc>
          <w:tcPr>
            <w:tcW w:w="914" w:type="dxa"/>
          </w:tcPr>
          <w:p w14:paraId="58BC8F13" w14:textId="77777777" w:rsidR="00C846E9" w:rsidRDefault="00C846E9" w:rsidP="00EE2A22">
            <w:r>
              <w:t>0.000</w:t>
            </w:r>
          </w:p>
        </w:tc>
      </w:tr>
      <w:tr w:rsidR="00C846E9" w14:paraId="2F8A4D03" w14:textId="77777777" w:rsidTr="00EE2A22">
        <w:tc>
          <w:tcPr>
            <w:tcW w:w="1431" w:type="dxa"/>
            <w:vMerge/>
          </w:tcPr>
          <w:p w14:paraId="5775155B" w14:textId="77777777" w:rsidR="00C846E9" w:rsidRDefault="00C846E9" w:rsidP="00EE2A22"/>
        </w:tc>
        <w:tc>
          <w:tcPr>
            <w:tcW w:w="1858" w:type="dxa"/>
          </w:tcPr>
          <w:p w14:paraId="41C139B2" w14:textId="77777777" w:rsidR="00C846E9" w:rsidRDefault="00C846E9" w:rsidP="00EE2A22">
            <w:proofErr w:type="spellStart"/>
            <w:r>
              <w:t>Practiced_drills</w:t>
            </w:r>
            <w:proofErr w:type="spellEnd"/>
          </w:p>
        </w:tc>
        <w:tc>
          <w:tcPr>
            <w:tcW w:w="1283" w:type="dxa"/>
          </w:tcPr>
          <w:p w14:paraId="2CCF4240" w14:textId="77777777" w:rsidR="00C846E9" w:rsidRDefault="00C846E9" w:rsidP="00EE2A22">
            <w:r>
              <w:t>7.00</w:t>
            </w:r>
          </w:p>
        </w:tc>
        <w:tc>
          <w:tcPr>
            <w:tcW w:w="1065" w:type="dxa"/>
          </w:tcPr>
          <w:p w14:paraId="262D49E6" w14:textId="77777777" w:rsidR="00C846E9" w:rsidRDefault="00C846E9" w:rsidP="00EE2A22">
            <w:r>
              <w:t>P=0.000</w:t>
            </w:r>
          </w:p>
        </w:tc>
        <w:tc>
          <w:tcPr>
            <w:tcW w:w="1356" w:type="dxa"/>
          </w:tcPr>
          <w:p w14:paraId="3278BC52" w14:textId="77777777" w:rsidR="00C846E9" w:rsidRDefault="00C846E9" w:rsidP="00EE2A22">
            <w:r>
              <w:t>13.3%</w:t>
            </w:r>
          </w:p>
        </w:tc>
        <w:tc>
          <w:tcPr>
            <w:tcW w:w="1109" w:type="dxa"/>
          </w:tcPr>
          <w:p w14:paraId="5CDD5F5E" w14:textId="77777777" w:rsidR="00C846E9" w:rsidRDefault="00C846E9" w:rsidP="00EE2A22">
            <w:r>
              <w:t>11.5%</w:t>
            </w:r>
          </w:p>
        </w:tc>
        <w:tc>
          <w:tcPr>
            <w:tcW w:w="914" w:type="dxa"/>
          </w:tcPr>
          <w:p w14:paraId="33A0813A" w14:textId="77777777" w:rsidR="00C846E9" w:rsidRDefault="00C846E9" w:rsidP="00EE2A22">
            <w:r>
              <w:t>0.000</w:t>
            </w:r>
          </w:p>
        </w:tc>
      </w:tr>
      <w:tr w:rsidR="00C846E9" w14:paraId="487D748A" w14:textId="77777777" w:rsidTr="00EE2A22">
        <w:tc>
          <w:tcPr>
            <w:tcW w:w="1431" w:type="dxa"/>
            <w:vMerge/>
          </w:tcPr>
          <w:p w14:paraId="67B935BE" w14:textId="77777777" w:rsidR="00C846E9" w:rsidRDefault="00C846E9" w:rsidP="00EE2A22"/>
        </w:tc>
        <w:tc>
          <w:tcPr>
            <w:tcW w:w="1858" w:type="dxa"/>
          </w:tcPr>
          <w:p w14:paraId="474FA911" w14:textId="77777777" w:rsidR="00C846E9" w:rsidRDefault="00C846E9" w:rsidP="00EE2A22">
            <w:r>
              <w:t>Alerts</w:t>
            </w:r>
          </w:p>
        </w:tc>
        <w:tc>
          <w:tcPr>
            <w:tcW w:w="1283" w:type="dxa"/>
          </w:tcPr>
          <w:p w14:paraId="5615D25B" w14:textId="77777777" w:rsidR="00C846E9" w:rsidRDefault="00C846E9" w:rsidP="00EE2A22">
            <w:r>
              <w:t>6.82</w:t>
            </w:r>
          </w:p>
        </w:tc>
        <w:tc>
          <w:tcPr>
            <w:tcW w:w="1065" w:type="dxa"/>
          </w:tcPr>
          <w:p w14:paraId="1E33DD74" w14:textId="77777777" w:rsidR="00C846E9" w:rsidRDefault="00C846E9" w:rsidP="00EE2A22">
            <w:r>
              <w:t>P=0.000</w:t>
            </w:r>
          </w:p>
        </w:tc>
        <w:tc>
          <w:tcPr>
            <w:tcW w:w="1356" w:type="dxa"/>
          </w:tcPr>
          <w:p w14:paraId="46C3704D" w14:textId="77777777" w:rsidR="00C846E9" w:rsidRDefault="00C846E9" w:rsidP="00EE2A22">
            <w:r>
              <w:t>25.4%</w:t>
            </w:r>
          </w:p>
        </w:tc>
        <w:tc>
          <w:tcPr>
            <w:tcW w:w="1109" w:type="dxa"/>
          </w:tcPr>
          <w:p w14:paraId="52B8068C" w14:textId="77777777" w:rsidR="00C846E9" w:rsidRDefault="00C846E9" w:rsidP="00EE2A22">
            <w:r>
              <w:t>12.1%</w:t>
            </w:r>
          </w:p>
        </w:tc>
        <w:tc>
          <w:tcPr>
            <w:tcW w:w="914" w:type="dxa"/>
          </w:tcPr>
          <w:p w14:paraId="78E01B1F" w14:textId="77777777" w:rsidR="00C846E9" w:rsidRDefault="00C846E9" w:rsidP="00EE2A22">
            <w:r>
              <w:t>0.000</w:t>
            </w:r>
          </w:p>
        </w:tc>
      </w:tr>
      <w:tr w:rsidR="00C846E9" w14:paraId="0DC28721" w14:textId="77777777" w:rsidTr="00EE2A22">
        <w:tc>
          <w:tcPr>
            <w:tcW w:w="1431" w:type="dxa"/>
            <w:vMerge/>
          </w:tcPr>
          <w:p w14:paraId="0FECAAC7" w14:textId="77777777" w:rsidR="00C846E9" w:rsidRDefault="00C846E9" w:rsidP="00EE2A22"/>
        </w:tc>
        <w:tc>
          <w:tcPr>
            <w:tcW w:w="1858" w:type="dxa"/>
          </w:tcPr>
          <w:p w14:paraId="05604334" w14:textId="77777777" w:rsidR="00C846E9" w:rsidRDefault="00C846E9" w:rsidP="00EE2A22">
            <w:r>
              <w:t>Family_</w:t>
            </w:r>
          </w:p>
          <w:p w14:paraId="58FECA20" w14:textId="77777777" w:rsidR="00C846E9" w:rsidRDefault="00C846E9" w:rsidP="00EE2A22">
            <w:r>
              <w:t>communication</w:t>
            </w:r>
          </w:p>
        </w:tc>
        <w:tc>
          <w:tcPr>
            <w:tcW w:w="1283" w:type="dxa"/>
          </w:tcPr>
          <w:p w14:paraId="419D1C38" w14:textId="77777777" w:rsidR="00C846E9" w:rsidRDefault="00C846E9" w:rsidP="00EE2A22">
            <w:r>
              <w:t>7.46</w:t>
            </w:r>
          </w:p>
        </w:tc>
        <w:tc>
          <w:tcPr>
            <w:tcW w:w="1065" w:type="dxa"/>
          </w:tcPr>
          <w:p w14:paraId="43506E14" w14:textId="77777777" w:rsidR="00C846E9" w:rsidRDefault="00C846E9" w:rsidP="00EE2A22">
            <w:r>
              <w:t>P=0.000</w:t>
            </w:r>
          </w:p>
        </w:tc>
        <w:tc>
          <w:tcPr>
            <w:tcW w:w="1356" w:type="dxa"/>
          </w:tcPr>
          <w:p w14:paraId="7F9BD804" w14:textId="77777777" w:rsidR="00C846E9" w:rsidRDefault="00C846E9" w:rsidP="00EE2A22">
            <w:r>
              <w:t>16.5%</w:t>
            </w:r>
          </w:p>
        </w:tc>
        <w:tc>
          <w:tcPr>
            <w:tcW w:w="1109" w:type="dxa"/>
          </w:tcPr>
          <w:p w14:paraId="18BB2118" w14:textId="77777777" w:rsidR="00C846E9" w:rsidRDefault="00C846E9" w:rsidP="00EE2A22">
            <w:r>
              <w:t>12.7%</w:t>
            </w:r>
          </w:p>
        </w:tc>
        <w:tc>
          <w:tcPr>
            <w:tcW w:w="914" w:type="dxa"/>
          </w:tcPr>
          <w:p w14:paraId="5DF15123" w14:textId="77777777" w:rsidR="00C846E9" w:rsidRDefault="00C846E9" w:rsidP="00EE2A22">
            <w:r>
              <w:t>0.000</w:t>
            </w:r>
          </w:p>
        </w:tc>
      </w:tr>
      <w:tr w:rsidR="00C846E9" w14:paraId="32590094" w14:textId="77777777" w:rsidTr="00EE2A22">
        <w:trPr>
          <w:trHeight w:val="304"/>
        </w:trPr>
        <w:tc>
          <w:tcPr>
            <w:tcW w:w="1431" w:type="dxa"/>
            <w:vMerge w:val="restart"/>
          </w:tcPr>
          <w:p w14:paraId="7AC6C78A" w14:textId="77777777" w:rsidR="00C846E9" w:rsidRDefault="00C846E9" w:rsidP="00EE2A22">
            <w:r>
              <w:t>Risk perception</w:t>
            </w:r>
          </w:p>
          <w:p w14:paraId="36E1EF12" w14:textId="77777777" w:rsidR="00C846E9" w:rsidRDefault="00C846E9" w:rsidP="00EE2A22">
            <w:r>
              <w:t>Dataset:</w:t>
            </w:r>
          </w:p>
          <w:p w14:paraId="149D5BA2" w14:textId="77777777" w:rsidR="00C846E9" w:rsidRDefault="00C846E9" w:rsidP="00EE2A22">
            <w:proofErr w:type="spellStart"/>
            <w:r>
              <w:t>Clean_k</w:t>
            </w:r>
            <w:proofErr w:type="spellEnd"/>
          </w:p>
        </w:tc>
        <w:tc>
          <w:tcPr>
            <w:tcW w:w="1858" w:type="dxa"/>
          </w:tcPr>
          <w:p w14:paraId="73D12460" w14:textId="77777777" w:rsidR="00C846E9" w:rsidRDefault="00C846E9" w:rsidP="00EE2A22">
            <w:proofErr w:type="spellStart"/>
            <w:r>
              <w:t>Made_safer</w:t>
            </w:r>
            <w:proofErr w:type="spellEnd"/>
            <w:r>
              <w:t xml:space="preserve"> </w:t>
            </w:r>
          </w:p>
        </w:tc>
        <w:tc>
          <w:tcPr>
            <w:tcW w:w="1283" w:type="dxa"/>
          </w:tcPr>
          <w:p w14:paraId="396D5E80" w14:textId="77777777" w:rsidR="00C846E9" w:rsidRDefault="00C846E9" w:rsidP="00EE2A22">
            <w:r>
              <w:t>3.47</w:t>
            </w:r>
          </w:p>
        </w:tc>
        <w:tc>
          <w:tcPr>
            <w:tcW w:w="1065" w:type="dxa"/>
          </w:tcPr>
          <w:p w14:paraId="33CF366F" w14:textId="77777777" w:rsidR="00C846E9" w:rsidRDefault="00C846E9" w:rsidP="00EE2A22">
            <w:r>
              <w:t>P=0.000</w:t>
            </w:r>
          </w:p>
        </w:tc>
        <w:tc>
          <w:tcPr>
            <w:tcW w:w="1356" w:type="dxa"/>
          </w:tcPr>
          <w:p w14:paraId="2F680350" w14:textId="77777777" w:rsidR="00C846E9" w:rsidRDefault="00C846E9" w:rsidP="00EE2A22">
            <w:r>
              <w:t>18.4%</w:t>
            </w:r>
          </w:p>
        </w:tc>
        <w:tc>
          <w:tcPr>
            <w:tcW w:w="1109" w:type="dxa"/>
          </w:tcPr>
          <w:p w14:paraId="4453D660" w14:textId="77777777" w:rsidR="00C846E9" w:rsidRDefault="00C846E9" w:rsidP="00EE2A22">
            <w:r>
              <w:t>5.1%</w:t>
            </w:r>
          </w:p>
        </w:tc>
        <w:tc>
          <w:tcPr>
            <w:tcW w:w="914" w:type="dxa"/>
          </w:tcPr>
          <w:p w14:paraId="5F53F132" w14:textId="77777777" w:rsidR="00C846E9" w:rsidRDefault="00C846E9" w:rsidP="00EE2A22">
            <w:r>
              <w:t>0.000</w:t>
            </w:r>
          </w:p>
        </w:tc>
      </w:tr>
      <w:tr w:rsidR="00C846E9" w14:paraId="5B0EF7A7" w14:textId="77777777" w:rsidTr="00EE2A22">
        <w:trPr>
          <w:trHeight w:val="304"/>
        </w:trPr>
        <w:tc>
          <w:tcPr>
            <w:tcW w:w="1431" w:type="dxa"/>
            <w:vMerge/>
          </w:tcPr>
          <w:p w14:paraId="1B77F972" w14:textId="77777777" w:rsidR="00C846E9" w:rsidRDefault="00C846E9" w:rsidP="00EE2A22"/>
        </w:tc>
        <w:tc>
          <w:tcPr>
            <w:tcW w:w="1858" w:type="dxa"/>
          </w:tcPr>
          <w:p w14:paraId="64A94F6C" w14:textId="77777777" w:rsidR="00C846E9" w:rsidRDefault="00C846E9" w:rsidP="00EE2A22">
            <w:r>
              <w:t>Insured</w:t>
            </w:r>
          </w:p>
        </w:tc>
        <w:tc>
          <w:tcPr>
            <w:tcW w:w="1283" w:type="dxa"/>
          </w:tcPr>
          <w:p w14:paraId="4E58C73D" w14:textId="77777777" w:rsidR="00C846E9" w:rsidRDefault="00C846E9" w:rsidP="00EE2A22">
            <w:r>
              <w:t>7.59</w:t>
            </w:r>
          </w:p>
        </w:tc>
        <w:tc>
          <w:tcPr>
            <w:tcW w:w="1065" w:type="dxa"/>
          </w:tcPr>
          <w:p w14:paraId="3EE0434E" w14:textId="77777777" w:rsidR="00C846E9" w:rsidRDefault="00C846E9" w:rsidP="00EE2A22">
            <w:r>
              <w:t>P=0.000</w:t>
            </w:r>
          </w:p>
        </w:tc>
        <w:tc>
          <w:tcPr>
            <w:tcW w:w="1356" w:type="dxa"/>
          </w:tcPr>
          <w:p w14:paraId="3C82E080" w14:textId="77777777" w:rsidR="00C846E9" w:rsidRDefault="00C846E9" w:rsidP="00EE2A22">
            <w:r>
              <w:t>32.5%</w:t>
            </w:r>
          </w:p>
        </w:tc>
        <w:tc>
          <w:tcPr>
            <w:tcW w:w="1109" w:type="dxa"/>
          </w:tcPr>
          <w:p w14:paraId="03EB6E30" w14:textId="77777777" w:rsidR="00C846E9" w:rsidRDefault="00C846E9" w:rsidP="00EE2A22">
            <w:r>
              <w:t>12.1%</w:t>
            </w:r>
          </w:p>
        </w:tc>
        <w:tc>
          <w:tcPr>
            <w:tcW w:w="914" w:type="dxa"/>
          </w:tcPr>
          <w:p w14:paraId="79EED930" w14:textId="77777777" w:rsidR="00C846E9" w:rsidRDefault="00C846E9" w:rsidP="00EE2A22">
            <w:r>
              <w:t>0.000</w:t>
            </w:r>
          </w:p>
        </w:tc>
      </w:tr>
      <w:tr w:rsidR="00C846E9" w14:paraId="54394E4A" w14:textId="77777777" w:rsidTr="00EE2A22">
        <w:trPr>
          <w:trHeight w:val="304"/>
        </w:trPr>
        <w:tc>
          <w:tcPr>
            <w:tcW w:w="1431" w:type="dxa"/>
            <w:vMerge/>
          </w:tcPr>
          <w:p w14:paraId="683FAD30" w14:textId="77777777" w:rsidR="00C846E9" w:rsidRDefault="00C846E9" w:rsidP="00EE2A22"/>
        </w:tc>
        <w:tc>
          <w:tcPr>
            <w:tcW w:w="1858" w:type="dxa"/>
          </w:tcPr>
          <w:p w14:paraId="6DE3FD60" w14:textId="77777777" w:rsidR="00C846E9" w:rsidRDefault="00C846E9" w:rsidP="00EE2A22">
            <w:proofErr w:type="spellStart"/>
            <w:r>
              <w:t>Learned_routes</w:t>
            </w:r>
            <w:proofErr w:type="spellEnd"/>
          </w:p>
        </w:tc>
        <w:tc>
          <w:tcPr>
            <w:tcW w:w="1283" w:type="dxa"/>
          </w:tcPr>
          <w:p w14:paraId="5E7C3E24" w14:textId="77777777" w:rsidR="00C846E9" w:rsidRDefault="00C846E9" w:rsidP="00EE2A22">
            <w:r>
              <w:t>4.40</w:t>
            </w:r>
          </w:p>
        </w:tc>
        <w:tc>
          <w:tcPr>
            <w:tcW w:w="1065" w:type="dxa"/>
          </w:tcPr>
          <w:p w14:paraId="5F68C511" w14:textId="77777777" w:rsidR="00C846E9" w:rsidRDefault="00C846E9" w:rsidP="00EE2A22">
            <w:r>
              <w:t>P=0.000</w:t>
            </w:r>
          </w:p>
        </w:tc>
        <w:tc>
          <w:tcPr>
            <w:tcW w:w="1356" w:type="dxa"/>
          </w:tcPr>
          <w:p w14:paraId="515CFCC9" w14:textId="77777777" w:rsidR="00C846E9" w:rsidRDefault="00C846E9" w:rsidP="00EE2A22">
            <w:r>
              <w:t>25.7%</w:t>
            </w:r>
          </w:p>
        </w:tc>
        <w:tc>
          <w:tcPr>
            <w:tcW w:w="1109" w:type="dxa"/>
          </w:tcPr>
          <w:p w14:paraId="775A7C2A" w14:textId="77777777" w:rsidR="00C846E9" w:rsidRDefault="00C846E9" w:rsidP="00EE2A22">
            <w:r>
              <w:t>7.5%</w:t>
            </w:r>
          </w:p>
        </w:tc>
        <w:tc>
          <w:tcPr>
            <w:tcW w:w="914" w:type="dxa"/>
          </w:tcPr>
          <w:p w14:paraId="655A4C98" w14:textId="77777777" w:rsidR="00C846E9" w:rsidRDefault="00C846E9" w:rsidP="00EE2A22">
            <w:r>
              <w:t>0.000</w:t>
            </w:r>
          </w:p>
        </w:tc>
      </w:tr>
      <w:tr w:rsidR="00C846E9" w14:paraId="203C485C" w14:textId="77777777" w:rsidTr="00EE2A22">
        <w:trPr>
          <w:trHeight w:val="304"/>
        </w:trPr>
        <w:tc>
          <w:tcPr>
            <w:tcW w:w="1431" w:type="dxa"/>
            <w:vMerge/>
          </w:tcPr>
          <w:p w14:paraId="357D5C61" w14:textId="77777777" w:rsidR="00C846E9" w:rsidRDefault="00C846E9" w:rsidP="00EE2A22"/>
        </w:tc>
        <w:tc>
          <w:tcPr>
            <w:tcW w:w="1858" w:type="dxa"/>
          </w:tcPr>
          <w:p w14:paraId="254DB381" w14:textId="77777777" w:rsidR="00C846E9" w:rsidRDefault="00C846E9" w:rsidP="00EE2A22">
            <w:r>
              <w:t>Supplies</w:t>
            </w:r>
          </w:p>
        </w:tc>
        <w:tc>
          <w:tcPr>
            <w:tcW w:w="1283" w:type="dxa"/>
          </w:tcPr>
          <w:p w14:paraId="30EC3388" w14:textId="77777777" w:rsidR="00C846E9" w:rsidRDefault="00C846E9" w:rsidP="00EE2A22">
            <w:r>
              <w:t>5.50</w:t>
            </w:r>
          </w:p>
        </w:tc>
        <w:tc>
          <w:tcPr>
            <w:tcW w:w="1065" w:type="dxa"/>
          </w:tcPr>
          <w:p w14:paraId="7081AFCF" w14:textId="77777777" w:rsidR="00C846E9" w:rsidRDefault="00C846E9" w:rsidP="00EE2A22">
            <w:r>
              <w:t>P=0.000</w:t>
            </w:r>
          </w:p>
        </w:tc>
        <w:tc>
          <w:tcPr>
            <w:tcW w:w="1356" w:type="dxa"/>
          </w:tcPr>
          <w:p w14:paraId="3A429C60" w14:textId="77777777" w:rsidR="00C846E9" w:rsidRDefault="00C846E9" w:rsidP="00EE2A22">
            <w:r>
              <w:t>27.9%</w:t>
            </w:r>
          </w:p>
        </w:tc>
        <w:tc>
          <w:tcPr>
            <w:tcW w:w="1109" w:type="dxa"/>
          </w:tcPr>
          <w:p w14:paraId="2875D23D" w14:textId="77777777" w:rsidR="00C846E9" w:rsidRDefault="00C846E9" w:rsidP="00EE2A22">
            <w:r>
              <w:t>9.2%</w:t>
            </w:r>
          </w:p>
        </w:tc>
        <w:tc>
          <w:tcPr>
            <w:tcW w:w="914" w:type="dxa"/>
          </w:tcPr>
          <w:p w14:paraId="4B0F2CF3" w14:textId="77777777" w:rsidR="00C846E9" w:rsidRDefault="00C846E9" w:rsidP="00EE2A22">
            <w:r>
              <w:t>0.000</w:t>
            </w:r>
          </w:p>
        </w:tc>
      </w:tr>
      <w:tr w:rsidR="00C846E9" w14:paraId="6E61250D" w14:textId="77777777" w:rsidTr="00EE2A22">
        <w:trPr>
          <w:trHeight w:val="304"/>
        </w:trPr>
        <w:tc>
          <w:tcPr>
            <w:tcW w:w="1431" w:type="dxa"/>
            <w:vMerge/>
          </w:tcPr>
          <w:p w14:paraId="43B0C258" w14:textId="77777777" w:rsidR="00C846E9" w:rsidRDefault="00C846E9" w:rsidP="00EE2A22"/>
        </w:tc>
        <w:tc>
          <w:tcPr>
            <w:tcW w:w="1858" w:type="dxa"/>
          </w:tcPr>
          <w:p w14:paraId="6F1C8A66" w14:textId="77777777" w:rsidR="00C846E9" w:rsidRDefault="00C846E9" w:rsidP="00EE2A22">
            <w:r>
              <w:t>Involved</w:t>
            </w:r>
          </w:p>
        </w:tc>
        <w:tc>
          <w:tcPr>
            <w:tcW w:w="1283" w:type="dxa"/>
          </w:tcPr>
          <w:p w14:paraId="34F6627E" w14:textId="77777777" w:rsidR="00C846E9" w:rsidRDefault="00C846E9" w:rsidP="00EE2A22">
            <w:r>
              <w:t>17.1</w:t>
            </w:r>
          </w:p>
        </w:tc>
        <w:tc>
          <w:tcPr>
            <w:tcW w:w="1065" w:type="dxa"/>
          </w:tcPr>
          <w:p w14:paraId="6B2D43C7" w14:textId="77777777" w:rsidR="00C846E9" w:rsidRDefault="00C846E9" w:rsidP="00EE2A22">
            <w:r>
              <w:t>P=0.000</w:t>
            </w:r>
          </w:p>
        </w:tc>
        <w:tc>
          <w:tcPr>
            <w:tcW w:w="1356" w:type="dxa"/>
          </w:tcPr>
          <w:p w14:paraId="428E187D" w14:textId="77777777" w:rsidR="00C846E9" w:rsidRDefault="00C846E9" w:rsidP="00EE2A22">
            <w:r>
              <w:t>24.1%</w:t>
            </w:r>
          </w:p>
        </w:tc>
        <w:tc>
          <w:tcPr>
            <w:tcW w:w="1109" w:type="dxa"/>
          </w:tcPr>
          <w:p w14:paraId="604E3C2A" w14:textId="77777777" w:rsidR="00C846E9" w:rsidRDefault="00C846E9" w:rsidP="00EE2A22">
            <w:r>
              <w:t>12.9%</w:t>
            </w:r>
          </w:p>
        </w:tc>
        <w:tc>
          <w:tcPr>
            <w:tcW w:w="914" w:type="dxa"/>
          </w:tcPr>
          <w:p w14:paraId="3466FF69" w14:textId="77777777" w:rsidR="00C846E9" w:rsidRDefault="00C846E9" w:rsidP="00EE2A22">
            <w:r>
              <w:t>0.000</w:t>
            </w:r>
          </w:p>
        </w:tc>
      </w:tr>
      <w:tr w:rsidR="00C846E9" w14:paraId="645C54A1" w14:textId="77777777" w:rsidTr="00EE2A22">
        <w:trPr>
          <w:trHeight w:val="304"/>
        </w:trPr>
        <w:tc>
          <w:tcPr>
            <w:tcW w:w="1431" w:type="dxa"/>
            <w:vMerge/>
          </w:tcPr>
          <w:p w14:paraId="1FD74F9F" w14:textId="77777777" w:rsidR="00C846E9" w:rsidRDefault="00C846E9" w:rsidP="00EE2A22"/>
        </w:tc>
        <w:tc>
          <w:tcPr>
            <w:tcW w:w="1858" w:type="dxa"/>
          </w:tcPr>
          <w:p w14:paraId="22164FD2" w14:textId="77777777" w:rsidR="00C846E9" w:rsidRDefault="00C846E9" w:rsidP="00EE2A22">
            <w:proofErr w:type="spellStart"/>
            <w:r>
              <w:t>Made_plan</w:t>
            </w:r>
            <w:proofErr w:type="spellEnd"/>
          </w:p>
        </w:tc>
        <w:tc>
          <w:tcPr>
            <w:tcW w:w="1283" w:type="dxa"/>
          </w:tcPr>
          <w:p w14:paraId="4D00E296" w14:textId="77777777" w:rsidR="00C846E9" w:rsidRDefault="00C846E9" w:rsidP="00EE2A22">
            <w:r>
              <w:t>3.89</w:t>
            </w:r>
          </w:p>
        </w:tc>
        <w:tc>
          <w:tcPr>
            <w:tcW w:w="1065" w:type="dxa"/>
          </w:tcPr>
          <w:p w14:paraId="36017048" w14:textId="77777777" w:rsidR="00C846E9" w:rsidRDefault="00C846E9" w:rsidP="00EE2A22">
            <w:r>
              <w:t>P=0.000</w:t>
            </w:r>
          </w:p>
        </w:tc>
        <w:tc>
          <w:tcPr>
            <w:tcW w:w="1356" w:type="dxa"/>
          </w:tcPr>
          <w:p w14:paraId="703D4130" w14:textId="77777777" w:rsidR="00C846E9" w:rsidRDefault="00C846E9" w:rsidP="00EE2A22">
            <w:r>
              <w:t>22.9%</w:t>
            </w:r>
          </w:p>
        </w:tc>
        <w:tc>
          <w:tcPr>
            <w:tcW w:w="1109" w:type="dxa"/>
          </w:tcPr>
          <w:p w14:paraId="78FAAFC4" w14:textId="77777777" w:rsidR="00C846E9" w:rsidRDefault="00C846E9" w:rsidP="00EE2A22">
            <w:r>
              <w:t>6.3%</w:t>
            </w:r>
          </w:p>
        </w:tc>
        <w:tc>
          <w:tcPr>
            <w:tcW w:w="914" w:type="dxa"/>
          </w:tcPr>
          <w:p w14:paraId="4435F09B" w14:textId="77777777" w:rsidR="00C846E9" w:rsidRDefault="00C846E9" w:rsidP="00EE2A22">
            <w:r>
              <w:t>0.000</w:t>
            </w:r>
          </w:p>
        </w:tc>
      </w:tr>
      <w:tr w:rsidR="00C846E9" w14:paraId="209D2BD9" w14:textId="77777777" w:rsidTr="00EE2A22">
        <w:trPr>
          <w:trHeight w:val="304"/>
        </w:trPr>
        <w:tc>
          <w:tcPr>
            <w:tcW w:w="1431" w:type="dxa"/>
            <w:vMerge/>
          </w:tcPr>
          <w:p w14:paraId="45279B06" w14:textId="77777777" w:rsidR="00C846E9" w:rsidRDefault="00C846E9" w:rsidP="00EE2A22"/>
        </w:tc>
        <w:tc>
          <w:tcPr>
            <w:tcW w:w="1858" w:type="dxa"/>
          </w:tcPr>
          <w:p w14:paraId="1B731CA9" w14:textId="77777777" w:rsidR="00C846E9" w:rsidRDefault="00C846E9" w:rsidP="00EE2A22">
            <w:proofErr w:type="spellStart"/>
            <w:r>
              <w:t>Practiced_drills</w:t>
            </w:r>
            <w:proofErr w:type="spellEnd"/>
          </w:p>
        </w:tc>
        <w:tc>
          <w:tcPr>
            <w:tcW w:w="1283" w:type="dxa"/>
          </w:tcPr>
          <w:p w14:paraId="2A1F2CF4" w14:textId="77777777" w:rsidR="00C846E9" w:rsidRDefault="00C846E9" w:rsidP="00EE2A22">
            <w:r>
              <w:t>8.82</w:t>
            </w:r>
          </w:p>
        </w:tc>
        <w:tc>
          <w:tcPr>
            <w:tcW w:w="1065" w:type="dxa"/>
          </w:tcPr>
          <w:p w14:paraId="090C50E7" w14:textId="77777777" w:rsidR="00C846E9" w:rsidRDefault="00C846E9" w:rsidP="00EE2A22">
            <w:r>
              <w:t>P=0.000</w:t>
            </w:r>
          </w:p>
        </w:tc>
        <w:tc>
          <w:tcPr>
            <w:tcW w:w="1356" w:type="dxa"/>
          </w:tcPr>
          <w:p w14:paraId="3888739A" w14:textId="77777777" w:rsidR="00C846E9" w:rsidRDefault="00C846E9" w:rsidP="00EE2A22">
            <w:r>
              <w:t>16.3%</w:t>
            </w:r>
          </w:p>
        </w:tc>
        <w:tc>
          <w:tcPr>
            <w:tcW w:w="1109" w:type="dxa"/>
          </w:tcPr>
          <w:p w14:paraId="65C7B1EF" w14:textId="77777777" w:rsidR="00C846E9" w:rsidRDefault="00C846E9" w:rsidP="00EE2A22">
            <w:r>
              <w:t>9.2%</w:t>
            </w:r>
          </w:p>
        </w:tc>
        <w:tc>
          <w:tcPr>
            <w:tcW w:w="914" w:type="dxa"/>
          </w:tcPr>
          <w:p w14:paraId="3902199B" w14:textId="77777777" w:rsidR="00C846E9" w:rsidRDefault="00C846E9" w:rsidP="00EE2A22">
            <w:r>
              <w:t>0.000</w:t>
            </w:r>
          </w:p>
        </w:tc>
      </w:tr>
      <w:tr w:rsidR="00C846E9" w14:paraId="60E0060B" w14:textId="77777777" w:rsidTr="00EE2A22">
        <w:trPr>
          <w:trHeight w:val="304"/>
        </w:trPr>
        <w:tc>
          <w:tcPr>
            <w:tcW w:w="1431" w:type="dxa"/>
            <w:vMerge/>
          </w:tcPr>
          <w:p w14:paraId="48A7E3D2" w14:textId="77777777" w:rsidR="00C846E9" w:rsidRDefault="00C846E9" w:rsidP="00EE2A22"/>
        </w:tc>
        <w:tc>
          <w:tcPr>
            <w:tcW w:w="1858" w:type="dxa"/>
          </w:tcPr>
          <w:p w14:paraId="6BDBCDC5" w14:textId="77777777" w:rsidR="00C846E9" w:rsidRDefault="00C846E9" w:rsidP="00EE2A22">
            <w:r>
              <w:t>Alerts</w:t>
            </w:r>
          </w:p>
        </w:tc>
        <w:tc>
          <w:tcPr>
            <w:tcW w:w="1283" w:type="dxa"/>
          </w:tcPr>
          <w:p w14:paraId="6A7200A4" w14:textId="77777777" w:rsidR="00C846E9" w:rsidRDefault="00C846E9" w:rsidP="00EE2A22">
            <w:r>
              <w:t>4.99</w:t>
            </w:r>
          </w:p>
        </w:tc>
        <w:tc>
          <w:tcPr>
            <w:tcW w:w="1065" w:type="dxa"/>
          </w:tcPr>
          <w:p w14:paraId="328F7A02" w14:textId="77777777" w:rsidR="00C846E9" w:rsidRDefault="00C846E9" w:rsidP="00EE2A22">
            <w:r>
              <w:t>P=0.000</w:t>
            </w:r>
          </w:p>
        </w:tc>
        <w:tc>
          <w:tcPr>
            <w:tcW w:w="1356" w:type="dxa"/>
          </w:tcPr>
          <w:p w14:paraId="45485DD1" w14:textId="77777777" w:rsidR="00C846E9" w:rsidRDefault="00C846E9" w:rsidP="00EE2A22">
            <w:r>
              <w:t>23.8%</w:t>
            </w:r>
          </w:p>
        </w:tc>
        <w:tc>
          <w:tcPr>
            <w:tcW w:w="1109" w:type="dxa"/>
          </w:tcPr>
          <w:p w14:paraId="0443F285" w14:textId="77777777" w:rsidR="00C846E9" w:rsidRDefault="00C846E9" w:rsidP="00EE2A22">
            <w:r>
              <w:t>7.9%</w:t>
            </w:r>
          </w:p>
        </w:tc>
        <w:tc>
          <w:tcPr>
            <w:tcW w:w="914" w:type="dxa"/>
          </w:tcPr>
          <w:p w14:paraId="3DBB98C1" w14:textId="77777777" w:rsidR="00C846E9" w:rsidRDefault="00C846E9" w:rsidP="00EE2A22">
            <w:r>
              <w:t>0.000</w:t>
            </w:r>
          </w:p>
        </w:tc>
      </w:tr>
      <w:tr w:rsidR="00C846E9" w14:paraId="4F7C7829" w14:textId="77777777" w:rsidTr="00EE2A22">
        <w:trPr>
          <w:trHeight w:val="304"/>
        </w:trPr>
        <w:tc>
          <w:tcPr>
            <w:tcW w:w="1431" w:type="dxa"/>
            <w:vMerge/>
          </w:tcPr>
          <w:p w14:paraId="0D54BD59" w14:textId="77777777" w:rsidR="00C846E9" w:rsidRDefault="00C846E9" w:rsidP="00EE2A22"/>
        </w:tc>
        <w:tc>
          <w:tcPr>
            <w:tcW w:w="1858" w:type="dxa"/>
          </w:tcPr>
          <w:p w14:paraId="06F0C1A6" w14:textId="77777777" w:rsidR="00C846E9" w:rsidRDefault="00C846E9" w:rsidP="00EE2A22">
            <w:r>
              <w:t>Family_</w:t>
            </w:r>
          </w:p>
          <w:p w14:paraId="5D41A743" w14:textId="77777777" w:rsidR="00C846E9" w:rsidRDefault="00C846E9" w:rsidP="00EE2A22">
            <w:r>
              <w:t>communication</w:t>
            </w:r>
          </w:p>
        </w:tc>
        <w:tc>
          <w:tcPr>
            <w:tcW w:w="1283" w:type="dxa"/>
          </w:tcPr>
          <w:p w14:paraId="3ABAAAC1" w14:textId="77777777" w:rsidR="00C846E9" w:rsidRDefault="00C846E9" w:rsidP="00EE2A22">
            <w:r>
              <w:t>4.42</w:t>
            </w:r>
          </w:p>
        </w:tc>
        <w:tc>
          <w:tcPr>
            <w:tcW w:w="1065" w:type="dxa"/>
          </w:tcPr>
          <w:p w14:paraId="263579CB" w14:textId="77777777" w:rsidR="00C846E9" w:rsidRDefault="00C846E9" w:rsidP="00EE2A22">
            <w:r>
              <w:t>P=0.001</w:t>
            </w:r>
          </w:p>
        </w:tc>
        <w:tc>
          <w:tcPr>
            <w:tcW w:w="1356" w:type="dxa"/>
          </w:tcPr>
          <w:p w14:paraId="6C8E25C1" w14:textId="77777777" w:rsidR="00C846E9" w:rsidRDefault="00C846E9" w:rsidP="00EE2A22">
            <w:r>
              <w:t>13.9%</w:t>
            </w:r>
          </w:p>
        </w:tc>
        <w:tc>
          <w:tcPr>
            <w:tcW w:w="1109" w:type="dxa"/>
          </w:tcPr>
          <w:p w14:paraId="244B421E" w14:textId="77777777" w:rsidR="00C846E9" w:rsidRDefault="00C846E9" w:rsidP="00EE2A22">
            <w:r>
              <w:t>5.8%</w:t>
            </w:r>
          </w:p>
        </w:tc>
        <w:tc>
          <w:tcPr>
            <w:tcW w:w="914" w:type="dxa"/>
          </w:tcPr>
          <w:p w14:paraId="76344D0A" w14:textId="77777777" w:rsidR="00C846E9" w:rsidRDefault="00C846E9" w:rsidP="00EE2A22">
            <w:r>
              <w:t>0.000</w:t>
            </w:r>
          </w:p>
        </w:tc>
      </w:tr>
      <w:tr w:rsidR="00C846E9" w14:paraId="7C46B2EC" w14:textId="77777777" w:rsidTr="00EE2A22">
        <w:trPr>
          <w:trHeight w:val="304"/>
        </w:trPr>
        <w:tc>
          <w:tcPr>
            <w:tcW w:w="1431" w:type="dxa"/>
            <w:vMerge w:val="restart"/>
          </w:tcPr>
          <w:p w14:paraId="751A9C93" w14:textId="77777777" w:rsidR="00C846E9" w:rsidRDefault="00C846E9" w:rsidP="00EE2A22">
            <w:r>
              <w:t>Efficacy</w:t>
            </w:r>
          </w:p>
          <w:p w14:paraId="18F5B1E2" w14:textId="77777777" w:rsidR="00C846E9" w:rsidRDefault="00C846E9" w:rsidP="00EE2A22">
            <w:r>
              <w:t>Dataset:</w:t>
            </w:r>
          </w:p>
          <w:p w14:paraId="24B5F5F5" w14:textId="77777777" w:rsidR="00C846E9" w:rsidRDefault="00C846E9" w:rsidP="00EE2A22">
            <w:proofErr w:type="spellStart"/>
            <w:r>
              <w:t>Clean_k</w:t>
            </w:r>
            <w:proofErr w:type="spellEnd"/>
          </w:p>
        </w:tc>
        <w:tc>
          <w:tcPr>
            <w:tcW w:w="1858" w:type="dxa"/>
          </w:tcPr>
          <w:p w14:paraId="73A97D16" w14:textId="77777777" w:rsidR="00C846E9" w:rsidRDefault="00C846E9" w:rsidP="00EE2A22">
            <w:proofErr w:type="spellStart"/>
            <w:r>
              <w:t>Made_safer</w:t>
            </w:r>
            <w:proofErr w:type="spellEnd"/>
            <w:r>
              <w:t xml:space="preserve"> </w:t>
            </w:r>
          </w:p>
        </w:tc>
        <w:tc>
          <w:tcPr>
            <w:tcW w:w="1283" w:type="dxa"/>
          </w:tcPr>
          <w:p w14:paraId="4830A0F7" w14:textId="77777777" w:rsidR="00C846E9" w:rsidRDefault="00C846E9" w:rsidP="00EE2A22">
            <w:r>
              <w:t>2.96</w:t>
            </w:r>
          </w:p>
        </w:tc>
        <w:tc>
          <w:tcPr>
            <w:tcW w:w="1065" w:type="dxa"/>
          </w:tcPr>
          <w:p w14:paraId="0C9BF3D5" w14:textId="77777777" w:rsidR="00C846E9" w:rsidRDefault="00C846E9" w:rsidP="00EE2A22">
            <w:r>
              <w:t>P=0.000</w:t>
            </w:r>
          </w:p>
        </w:tc>
        <w:tc>
          <w:tcPr>
            <w:tcW w:w="1356" w:type="dxa"/>
          </w:tcPr>
          <w:p w14:paraId="55E5EC86" w14:textId="77777777" w:rsidR="00C846E9" w:rsidRDefault="00C846E9" w:rsidP="00EE2A22">
            <w:r>
              <w:t>16.1%</w:t>
            </w:r>
          </w:p>
        </w:tc>
        <w:tc>
          <w:tcPr>
            <w:tcW w:w="1109" w:type="dxa"/>
          </w:tcPr>
          <w:p w14:paraId="70AFA8B8" w14:textId="77777777" w:rsidR="00C846E9" w:rsidRDefault="00C846E9" w:rsidP="00EE2A22">
            <w:r>
              <w:t>4.5%</w:t>
            </w:r>
          </w:p>
        </w:tc>
        <w:tc>
          <w:tcPr>
            <w:tcW w:w="914" w:type="dxa"/>
          </w:tcPr>
          <w:p w14:paraId="1DE88518" w14:textId="77777777" w:rsidR="00C846E9" w:rsidRDefault="00C846E9" w:rsidP="00EE2A22">
            <w:r>
              <w:t>0.000</w:t>
            </w:r>
          </w:p>
        </w:tc>
      </w:tr>
      <w:tr w:rsidR="00C846E9" w14:paraId="78B4223D" w14:textId="77777777" w:rsidTr="00EE2A22">
        <w:trPr>
          <w:trHeight w:val="304"/>
        </w:trPr>
        <w:tc>
          <w:tcPr>
            <w:tcW w:w="1431" w:type="dxa"/>
            <w:vMerge/>
          </w:tcPr>
          <w:p w14:paraId="3F4AF355" w14:textId="77777777" w:rsidR="00C846E9" w:rsidRDefault="00C846E9" w:rsidP="00EE2A22"/>
        </w:tc>
        <w:tc>
          <w:tcPr>
            <w:tcW w:w="1858" w:type="dxa"/>
          </w:tcPr>
          <w:p w14:paraId="3965D76D" w14:textId="77777777" w:rsidR="00C846E9" w:rsidRDefault="00C846E9" w:rsidP="00EE2A22">
            <w:r>
              <w:t>Insured</w:t>
            </w:r>
          </w:p>
        </w:tc>
        <w:tc>
          <w:tcPr>
            <w:tcW w:w="1283" w:type="dxa"/>
          </w:tcPr>
          <w:p w14:paraId="13063862" w14:textId="77777777" w:rsidR="00C846E9" w:rsidRDefault="00C846E9" w:rsidP="00EE2A22">
            <w:r>
              <w:t>5.78</w:t>
            </w:r>
          </w:p>
        </w:tc>
        <w:tc>
          <w:tcPr>
            <w:tcW w:w="1065" w:type="dxa"/>
          </w:tcPr>
          <w:p w14:paraId="70ADBB86" w14:textId="77777777" w:rsidR="00C846E9" w:rsidRDefault="00C846E9" w:rsidP="00EE2A22">
            <w:r>
              <w:t>P=0.000</w:t>
            </w:r>
          </w:p>
        </w:tc>
        <w:tc>
          <w:tcPr>
            <w:tcW w:w="1356" w:type="dxa"/>
          </w:tcPr>
          <w:p w14:paraId="53FFFF29" w14:textId="77777777" w:rsidR="00C846E9" w:rsidRDefault="00C846E9" w:rsidP="00EE2A22">
            <w:r>
              <w:t>27.7%</w:t>
            </w:r>
          </w:p>
        </w:tc>
        <w:tc>
          <w:tcPr>
            <w:tcW w:w="1109" w:type="dxa"/>
          </w:tcPr>
          <w:p w14:paraId="1EECAEEC" w14:textId="77777777" w:rsidR="00C846E9" w:rsidRDefault="00C846E9" w:rsidP="00EE2A22">
            <w:r>
              <w:t>11.7%</w:t>
            </w:r>
          </w:p>
        </w:tc>
        <w:tc>
          <w:tcPr>
            <w:tcW w:w="914" w:type="dxa"/>
          </w:tcPr>
          <w:p w14:paraId="78FF6434" w14:textId="77777777" w:rsidR="00C846E9" w:rsidRDefault="00C846E9" w:rsidP="00EE2A22">
            <w:r>
              <w:t>0.000</w:t>
            </w:r>
          </w:p>
        </w:tc>
      </w:tr>
      <w:tr w:rsidR="00C846E9" w14:paraId="4E48B31B" w14:textId="77777777" w:rsidTr="00EE2A22">
        <w:trPr>
          <w:trHeight w:val="304"/>
        </w:trPr>
        <w:tc>
          <w:tcPr>
            <w:tcW w:w="1431" w:type="dxa"/>
            <w:vMerge/>
          </w:tcPr>
          <w:p w14:paraId="31926809" w14:textId="77777777" w:rsidR="00C846E9" w:rsidRDefault="00C846E9" w:rsidP="00EE2A22"/>
        </w:tc>
        <w:tc>
          <w:tcPr>
            <w:tcW w:w="1858" w:type="dxa"/>
          </w:tcPr>
          <w:p w14:paraId="58ADEE12" w14:textId="77777777" w:rsidR="00C846E9" w:rsidRDefault="00C846E9" w:rsidP="00EE2A22">
            <w:proofErr w:type="spellStart"/>
            <w:r>
              <w:t>Learned_routes</w:t>
            </w:r>
            <w:proofErr w:type="spellEnd"/>
          </w:p>
        </w:tc>
        <w:tc>
          <w:tcPr>
            <w:tcW w:w="1283" w:type="dxa"/>
          </w:tcPr>
          <w:p w14:paraId="23930959" w14:textId="77777777" w:rsidR="00C846E9" w:rsidRDefault="00C846E9" w:rsidP="00EE2A22">
            <w:r>
              <w:t>4.79</w:t>
            </w:r>
          </w:p>
        </w:tc>
        <w:tc>
          <w:tcPr>
            <w:tcW w:w="1065" w:type="dxa"/>
          </w:tcPr>
          <w:p w14:paraId="5ADA68E2" w14:textId="77777777" w:rsidR="00C846E9" w:rsidRDefault="00C846E9" w:rsidP="00EE2A22">
            <w:r>
              <w:t>P=0.000</w:t>
            </w:r>
          </w:p>
        </w:tc>
        <w:tc>
          <w:tcPr>
            <w:tcW w:w="1356" w:type="dxa"/>
          </w:tcPr>
          <w:p w14:paraId="07F67FDF" w14:textId="77777777" w:rsidR="00C846E9" w:rsidRDefault="00C846E9" w:rsidP="00EE2A22">
            <w:r>
              <w:t>26.3%</w:t>
            </w:r>
          </w:p>
        </w:tc>
        <w:tc>
          <w:tcPr>
            <w:tcW w:w="1109" w:type="dxa"/>
          </w:tcPr>
          <w:p w14:paraId="1694325B" w14:textId="77777777" w:rsidR="00C846E9" w:rsidRDefault="00C846E9" w:rsidP="00EE2A22">
            <w:r>
              <w:t>9.6%</w:t>
            </w:r>
          </w:p>
        </w:tc>
        <w:tc>
          <w:tcPr>
            <w:tcW w:w="914" w:type="dxa"/>
          </w:tcPr>
          <w:p w14:paraId="4E5C8435" w14:textId="77777777" w:rsidR="00C846E9" w:rsidRDefault="00C846E9" w:rsidP="00EE2A22">
            <w:r>
              <w:t>0.000</w:t>
            </w:r>
          </w:p>
        </w:tc>
      </w:tr>
      <w:tr w:rsidR="00C846E9" w14:paraId="285272BD" w14:textId="77777777" w:rsidTr="00EE2A22">
        <w:trPr>
          <w:trHeight w:val="304"/>
        </w:trPr>
        <w:tc>
          <w:tcPr>
            <w:tcW w:w="1431" w:type="dxa"/>
            <w:vMerge/>
          </w:tcPr>
          <w:p w14:paraId="560BE215" w14:textId="77777777" w:rsidR="00C846E9" w:rsidRDefault="00C846E9" w:rsidP="00EE2A22"/>
        </w:tc>
        <w:tc>
          <w:tcPr>
            <w:tcW w:w="1858" w:type="dxa"/>
          </w:tcPr>
          <w:p w14:paraId="20ED2037" w14:textId="77777777" w:rsidR="00C846E9" w:rsidRPr="009D1DBF" w:rsidRDefault="00C846E9" w:rsidP="00EE2A22">
            <w:pPr>
              <w:rPr>
                <w:highlight w:val="yellow"/>
              </w:rPr>
            </w:pPr>
            <w:r w:rsidRPr="009D1DBF">
              <w:rPr>
                <w:highlight w:val="yellow"/>
              </w:rPr>
              <w:t>Supplies</w:t>
            </w:r>
          </w:p>
        </w:tc>
        <w:tc>
          <w:tcPr>
            <w:tcW w:w="1283" w:type="dxa"/>
          </w:tcPr>
          <w:p w14:paraId="43F996A0" w14:textId="77777777" w:rsidR="00C846E9" w:rsidRPr="009D1DBF" w:rsidRDefault="00C846E9" w:rsidP="00EE2A22">
            <w:pPr>
              <w:rPr>
                <w:highlight w:val="yellow"/>
              </w:rPr>
            </w:pPr>
            <w:r w:rsidRPr="009D1DBF">
              <w:rPr>
                <w:highlight w:val="yellow"/>
              </w:rPr>
              <w:t>5.63</w:t>
            </w:r>
          </w:p>
        </w:tc>
        <w:tc>
          <w:tcPr>
            <w:tcW w:w="1065" w:type="dxa"/>
          </w:tcPr>
          <w:p w14:paraId="59145E40" w14:textId="77777777" w:rsidR="00C846E9" w:rsidRPr="009D1DBF" w:rsidRDefault="00C846E9" w:rsidP="00EE2A22">
            <w:pPr>
              <w:rPr>
                <w:highlight w:val="yellow"/>
              </w:rPr>
            </w:pPr>
            <w:r w:rsidRPr="009D1DBF">
              <w:rPr>
                <w:highlight w:val="yellow"/>
              </w:rPr>
              <w:t>P=0.000</w:t>
            </w:r>
          </w:p>
        </w:tc>
        <w:tc>
          <w:tcPr>
            <w:tcW w:w="1356" w:type="dxa"/>
          </w:tcPr>
          <w:p w14:paraId="7D70AD30" w14:textId="77777777" w:rsidR="00C846E9" w:rsidRPr="009D1DBF" w:rsidRDefault="00C846E9" w:rsidP="00EE2A22">
            <w:pPr>
              <w:rPr>
                <w:highlight w:val="yellow"/>
              </w:rPr>
            </w:pPr>
            <w:r w:rsidRPr="009D1DBF">
              <w:rPr>
                <w:highlight w:val="yellow"/>
              </w:rPr>
              <w:t>27.2%</w:t>
            </w:r>
          </w:p>
        </w:tc>
        <w:tc>
          <w:tcPr>
            <w:tcW w:w="1109" w:type="dxa"/>
          </w:tcPr>
          <w:p w14:paraId="66B118E0" w14:textId="77777777" w:rsidR="00C846E9" w:rsidRPr="009D1DBF" w:rsidRDefault="00C846E9" w:rsidP="00EE2A22">
            <w:pPr>
              <w:rPr>
                <w:highlight w:val="yellow"/>
              </w:rPr>
            </w:pPr>
            <w:r w:rsidRPr="009D1DBF">
              <w:rPr>
                <w:highlight w:val="yellow"/>
              </w:rPr>
              <w:t>11.4%</w:t>
            </w:r>
          </w:p>
        </w:tc>
        <w:tc>
          <w:tcPr>
            <w:tcW w:w="914" w:type="dxa"/>
          </w:tcPr>
          <w:p w14:paraId="33142EC1" w14:textId="77777777" w:rsidR="00C846E9" w:rsidRPr="009D1DBF" w:rsidRDefault="00C846E9" w:rsidP="00EE2A22">
            <w:pPr>
              <w:rPr>
                <w:highlight w:val="yellow"/>
              </w:rPr>
            </w:pPr>
            <w:r w:rsidRPr="009D1DBF">
              <w:rPr>
                <w:highlight w:val="yellow"/>
              </w:rPr>
              <w:t>0.000</w:t>
            </w:r>
          </w:p>
        </w:tc>
      </w:tr>
      <w:tr w:rsidR="00C846E9" w14:paraId="51B22FBE" w14:textId="77777777" w:rsidTr="00EE2A22">
        <w:trPr>
          <w:trHeight w:val="304"/>
        </w:trPr>
        <w:tc>
          <w:tcPr>
            <w:tcW w:w="1431" w:type="dxa"/>
            <w:vMerge/>
          </w:tcPr>
          <w:p w14:paraId="7E088137" w14:textId="77777777" w:rsidR="00C846E9" w:rsidRDefault="00C846E9" w:rsidP="00EE2A22"/>
        </w:tc>
        <w:tc>
          <w:tcPr>
            <w:tcW w:w="1858" w:type="dxa"/>
          </w:tcPr>
          <w:p w14:paraId="275222E7" w14:textId="77777777" w:rsidR="00C846E9" w:rsidRDefault="00C846E9" w:rsidP="00EE2A22">
            <w:r>
              <w:t>Involved</w:t>
            </w:r>
          </w:p>
        </w:tc>
        <w:tc>
          <w:tcPr>
            <w:tcW w:w="1283" w:type="dxa"/>
          </w:tcPr>
          <w:p w14:paraId="1511BE6E" w14:textId="77777777" w:rsidR="00C846E9" w:rsidRDefault="00C846E9" w:rsidP="00EE2A22">
            <w:r>
              <w:t>5.60</w:t>
            </w:r>
          </w:p>
        </w:tc>
        <w:tc>
          <w:tcPr>
            <w:tcW w:w="1065" w:type="dxa"/>
          </w:tcPr>
          <w:p w14:paraId="64C33283" w14:textId="77777777" w:rsidR="00C846E9" w:rsidRDefault="00C846E9" w:rsidP="00EE2A22">
            <w:r>
              <w:t>P=0.000</w:t>
            </w:r>
          </w:p>
        </w:tc>
        <w:tc>
          <w:tcPr>
            <w:tcW w:w="1356" w:type="dxa"/>
          </w:tcPr>
          <w:p w14:paraId="2F75C068" w14:textId="77777777" w:rsidR="00C846E9" w:rsidRDefault="00C846E9" w:rsidP="00EE2A22">
            <w:r>
              <w:t>14.7%</w:t>
            </w:r>
          </w:p>
        </w:tc>
        <w:tc>
          <w:tcPr>
            <w:tcW w:w="1109" w:type="dxa"/>
          </w:tcPr>
          <w:p w14:paraId="53631013" w14:textId="77777777" w:rsidR="00C846E9" w:rsidRDefault="00C846E9" w:rsidP="00EE2A22">
            <w:r>
              <w:t>9.3%</w:t>
            </w:r>
          </w:p>
        </w:tc>
        <w:tc>
          <w:tcPr>
            <w:tcW w:w="914" w:type="dxa"/>
          </w:tcPr>
          <w:p w14:paraId="1A6C8EE2" w14:textId="77777777" w:rsidR="00C846E9" w:rsidRDefault="00C846E9" w:rsidP="00EE2A22">
            <w:r>
              <w:t>0.000</w:t>
            </w:r>
          </w:p>
        </w:tc>
      </w:tr>
      <w:tr w:rsidR="00C846E9" w14:paraId="1CC2CA5C" w14:textId="77777777" w:rsidTr="00EE2A22">
        <w:trPr>
          <w:trHeight w:val="304"/>
        </w:trPr>
        <w:tc>
          <w:tcPr>
            <w:tcW w:w="1431" w:type="dxa"/>
            <w:vMerge/>
          </w:tcPr>
          <w:p w14:paraId="3BDE7C57" w14:textId="77777777" w:rsidR="00C846E9" w:rsidRDefault="00C846E9" w:rsidP="00EE2A22"/>
        </w:tc>
        <w:tc>
          <w:tcPr>
            <w:tcW w:w="1858" w:type="dxa"/>
          </w:tcPr>
          <w:p w14:paraId="6154FA28" w14:textId="77777777" w:rsidR="00C846E9" w:rsidRPr="009D1DBF" w:rsidRDefault="00C846E9" w:rsidP="00EE2A22">
            <w:pPr>
              <w:rPr>
                <w:highlight w:val="yellow"/>
              </w:rPr>
            </w:pPr>
            <w:proofErr w:type="spellStart"/>
            <w:r w:rsidRPr="009D1DBF">
              <w:rPr>
                <w:highlight w:val="yellow"/>
              </w:rPr>
              <w:t>Made_plan</w:t>
            </w:r>
            <w:proofErr w:type="spellEnd"/>
          </w:p>
        </w:tc>
        <w:tc>
          <w:tcPr>
            <w:tcW w:w="1283" w:type="dxa"/>
          </w:tcPr>
          <w:p w14:paraId="140DC798" w14:textId="77777777" w:rsidR="00C846E9" w:rsidRPr="009D1DBF" w:rsidRDefault="00C846E9" w:rsidP="00EE2A22">
            <w:pPr>
              <w:rPr>
                <w:highlight w:val="yellow"/>
              </w:rPr>
            </w:pPr>
            <w:r w:rsidRPr="009D1DBF">
              <w:rPr>
                <w:highlight w:val="yellow"/>
              </w:rPr>
              <w:t>5.63</w:t>
            </w:r>
          </w:p>
        </w:tc>
        <w:tc>
          <w:tcPr>
            <w:tcW w:w="1065" w:type="dxa"/>
          </w:tcPr>
          <w:p w14:paraId="6FAEDDBE" w14:textId="77777777" w:rsidR="00C846E9" w:rsidRPr="009D1DBF" w:rsidRDefault="00C846E9" w:rsidP="00EE2A22">
            <w:pPr>
              <w:rPr>
                <w:highlight w:val="yellow"/>
              </w:rPr>
            </w:pPr>
            <w:r w:rsidRPr="009D1DBF">
              <w:rPr>
                <w:highlight w:val="yellow"/>
              </w:rPr>
              <w:t>P=0.000</w:t>
            </w:r>
          </w:p>
        </w:tc>
        <w:tc>
          <w:tcPr>
            <w:tcW w:w="1356" w:type="dxa"/>
          </w:tcPr>
          <w:p w14:paraId="227DC5D3" w14:textId="77777777" w:rsidR="00C846E9" w:rsidRPr="009D1DBF" w:rsidRDefault="00C846E9" w:rsidP="00EE2A22">
            <w:pPr>
              <w:rPr>
                <w:highlight w:val="yellow"/>
              </w:rPr>
            </w:pPr>
            <w:r w:rsidRPr="009D1DBF">
              <w:rPr>
                <w:highlight w:val="yellow"/>
              </w:rPr>
              <w:t>27.2%</w:t>
            </w:r>
          </w:p>
        </w:tc>
        <w:tc>
          <w:tcPr>
            <w:tcW w:w="1109" w:type="dxa"/>
          </w:tcPr>
          <w:p w14:paraId="4E1AF69C" w14:textId="77777777" w:rsidR="00C846E9" w:rsidRPr="009D1DBF" w:rsidRDefault="00C846E9" w:rsidP="00EE2A22">
            <w:pPr>
              <w:rPr>
                <w:highlight w:val="yellow"/>
              </w:rPr>
            </w:pPr>
            <w:r w:rsidRPr="009D1DBF">
              <w:rPr>
                <w:highlight w:val="yellow"/>
              </w:rPr>
              <w:t>11.4</w:t>
            </w:r>
          </w:p>
        </w:tc>
        <w:tc>
          <w:tcPr>
            <w:tcW w:w="914" w:type="dxa"/>
          </w:tcPr>
          <w:p w14:paraId="7B739908" w14:textId="77777777" w:rsidR="00C846E9" w:rsidRPr="009D1DBF" w:rsidRDefault="00C846E9" w:rsidP="00EE2A22">
            <w:pPr>
              <w:rPr>
                <w:highlight w:val="yellow"/>
              </w:rPr>
            </w:pPr>
            <w:r w:rsidRPr="009D1DBF">
              <w:rPr>
                <w:highlight w:val="yellow"/>
              </w:rPr>
              <w:t>0.000</w:t>
            </w:r>
          </w:p>
        </w:tc>
      </w:tr>
      <w:tr w:rsidR="00C846E9" w14:paraId="7FB1B042" w14:textId="77777777" w:rsidTr="00EE2A22">
        <w:trPr>
          <w:trHeight w:val="304"/>
        </w:trPr>
        <w:tc>
          <w:tcPr>
            <w:tcW w:w="1431" w:type="dxa"/>
            <w:vMerge/>
          </w:tcPr>
          <w:p w14:paraId="77D9E809" w14:textId="77777777" w:rsidR="00C846E9" w:rsidRDefault="00C846E9" w:rsidP="00EE2A22"/>
        </w:tc>
        <w:tc>
          <w:tcPr>
            <w:tcW w:w="1858" w:type="dxa"/>
          </w:tcPr>
          <w:p w14:paraId="7DA79F72" w14:textId="77777777" w:rsidR="00C846E9" w:rsidRDefault="00C846E9" w:rsidP="00EE2A22">
            <w:proofErr w:type="spellStart"/>
            <w:r>
              <w:t>Practiced_drills</w:t>
            </w:r>
            <w:proofErr w:type="spellEnd"/>
          </w:p>
        </w:tc>
        <w:tc>
          <w:tcPr>
            <w:tcW w:w="1283" w:type="dxa"/>
          </w:tcPr>
          <w:p w14:paraId="229CD41F" w14:textId="77777777" w:rsidR="00C846E9" w:rsidRDefault="00C846E9" w:rsidP="00EE2A22">
            <w:r>
              <w:t>5.89</w:t>
            </w:r>
          </w:p>
        </w:tc>
        <w:tc>
          <w:tcPr>
            <w:tcW w:w="1065" w:type="dxa"/>
          </w:tcPr>
          <w:p w14:paraId="75827EE7" w14:textId="77777777" w:rsidR="00C846E9" w:rsidRDefault="00C846E9" w:rsidP="00EE2A22">
            <w:r>
              <w:t>P=0.000</w:t>
            </w:r>
          </w:p>
        </w:tc>
        <w:tc>
          <w:tcPr>
            <w:tcW w:w="1356" w:type="dxa"/>
          </w:tcPr>
          <w:p w14:paraId="2A4B555C" w14:textId="77777777" w:rsidR="00C846E9" w:rsidRDefault="00C846E9" w:rsidP="00EE2A22">
            <w:r>
              <w:t>12.1%</w:t>
            </w:r>
          </w:p>
        </w:tc>
        <w:tc>
          <w:tcPr>
            <w:tcW w:w="1109" w:type="dxa"/>
          </w:tcPr>
          <w:p w14:paraId="2716846A" w14:textId="77777777" w:rsidR="00C846E9" w:rsidRDefault="00C846E9" w:rsidP="00EE2A22">
            <w:r>
              <w:t>9.4%</w:t>
            </w:r>
          </w:p>
        </w:tc>
        <w:tc>
          <w:tcPr>
            <w:tcW w:w="914" w:type="dxa"/>
          </w:tcPr>
          <w:p w14:paraId="25E28FC1" w14:textId="77777777" w:rsidR="00C846E9" w:rsidRDefault="00C846E9" w:rsidP="00EE2A22">
            <w:r>
              <w:t>0.000</w:t>
            </w:r>
          </w:p>
        </w:tc>
      </w:tr>
      <w:tr w:rsidR="00C846E9" w14:paraId="7F9CB532" w14:textId="77777777" w:rsidTr="00EE2A22">
        <w:trPr>
          <w:trHeight w:val="304"/>
        </w:trPr>
        <w:tc>
          <w:tcPr>
            <w:tcW w:w="1431" w:type="dxa"/>
            <w:vMerge/>
          </w:tcPr>
          <w:p w14:paraId="5EC3C950" w14:textId="77777777" w:rsidR="00C846E9" w:rsidRDefault="00C846E9" w:rsidP="00EE2A22"/>
        </w:tc>
        <w:tc>
          <w:tcPr>
            <w:tcW w:w="1858" w:type="dxa"/>
          </w:tcPr>
          <w:p w14:paraId="180EED23" w14:textId="77777777" w:rsidR="00C846E9" w:rsidRDefault="00C846E9" w:rsidP="00EE2A22">
            <w:r>
              <w:t>Alerts</w:t>
            </w:r>
          </w:p>
        </w:tc>
        <w:tc>
          <w:tcPr>
            <w:tcW w:w="1283" w:type="dxa"/>
          </w:tcPr>
          <w:p w14:paraId="0FAC20D9" w14:textId="77777777" w:rsidR="00C846E9" w:rsidRDefault="00C846E9" w:rsidP="00EE2A22">
            <w:r>
              <w:t>3.49</w:t>
            </w:r>
          </w:p>
        </w:tc>
        <w:tc>
          <w:tcPr>
            <w:tcW w:w="1065" w:type="dxa"/>
          </w:tcPr>
          <w:p w14:paraId="5974E319" w14:textId="77777777" w:rsidR="00C846E9" w:rsidRDefault="00C846E9" w:rsidP="00EE2A22">
            <w:r>
              <w:t>P=0.000</w:t>
            </w:r>
          </w:p>
        </w:tc>
        <w:tc>
          <w:tcPr>
            <w:tcW w:w="1356" w:type="dxa"/>
          </w:tcPr>
          <w:p w14:paraId="74390DBF" w14:textId="77777777" w:rsidR="00C846E9" w:rsidRDefault="00C846E9" w:rsidP="00EE2A22">
            <w:r>
              <w:t>18.8%</w:t>
            </w:r>
          </w:p>
        </w:tc>
        <w:tc>
          <w:tcPr>
            <w:tcW w:w="1109" w:type="dxa"/>
          </w:tcPr>
          <w:p w14:paraId="4BD14628" w14:textId="77777777" w:rsidR="00C846E9" w:rsidRDefault="00C846E9" w:rsidP="00EE2A22">
            <w:r>
              <w:t>6.0%</w:t>
            </w:r>
          </w:p>
        </w:tc>
        <w:tc>
          <w:tcPr>
            <w:tcW w:w="914" w:type="dxa"/>
          </w:tcPr>
          <w:p w14:paraId="367D4A6B" w14:textId="77777777" w:rsidR="00C846E9" w:rsidRDefault="00C846E9" w:rsidP="00EE2A22">
            <w:r>
              <w:t>0.000</w:t>
            </w:r>
          </w:p>
        </w:tc>
      </w:tr>
      <w:tr w:rsidR="00C846E9" w14:paraId="611DC80E" w14:textId="77777777" w:rsidTr="00EE2A22">
        <w:trPr>
          <w:trHeight w:val="304"/>
        </w:trPr>
        <w:tc>
          <w:tcPr>
            <w:tcW w:w="1431" w:type="dxa"/>
            <w:vMerge/>
          </w:tcPr>
          <w:p w14:paraId="39E0468F" w14:textId="77777777" w:rsidR="00C846E9" w:rsidRDefault="00C846E9" w:rsidP="00EE2A22"/>
        </w:tc>
        <w:tc>
          <w:tcPr>
            <w:tcW w:w="1858" w:type="dxa"/>
          </w:tcPr>
          <w:p w14:paraId="6BFFBE7A" w14:textId="77777777" w:rsidR="00C846E9" w:rsidRDefault="00C846E9" w:rsidP="00EE2A22">
            <w:r>
              <w:t>Family_</w:t>
            </w:r>
          </w:p>
          <w:p w14:paraId="4D3B490D" w14:textId="77777777" w:rsidR="00C846E9" w:rsidRDefault="00C846E9" w:rsidP="00EE2A22">
            <w:r>
              <w:t>communication</w:t>
            </w:r>
          </w:p>
        </w:tc>
        <w:tc>
          <w:tcPr>
            <w:tcW w:w="1283" w:type="dxa"/>
          </w:tcPr>
          <w:p w14:paraId="766E65CA" w14:textId="77777777" w:rsidR="00C846E9" w:rsidRDefault="00C846E9" w:rsidP="00EE2A22">
            <w:r>
              <w:t>4.25</w:t>
            </w:r>
          </w:p>
        </w:tc>
        <w:tc>
          <w:tcPr>
            <w:tcW w:w="1065" w:type="dxa"/>
          </w:tcPr>
          <w:p w14:paraId="0443F012" w14:textId="77777777" w:rsidR="00C846E9" w:rsidRDefault="00C846E9" w:rsidP="00EE2A22">
            <w:r>
              <w:t>P=0.000</w:t>
            </w:r>
          </w:p>
        </w:tc>
        <w:tc>
          <w:tcPr>
            <w:tcW w:w="1356" w:type="dxa"/>
          </w:tcPr>
          <w:p w14:paraId="3D5D956A" w14:textId="77777777" w:rsidR="00C846E9" w:rsidRDefault="00C846E9" w:rsidP="00EE2A22">
            <w:r>
              <w:t>13.4%</w:t>
            </w:r>
          </w:p>
        </w:tc>
        <w:tc>
          <w:tcPr>
            <w:tcW w:w="1109" w:type="dxa"/>
          </w:tcPr>
          <w:p w14:paraId="4A39EA29" w14:textId="77777777" w:rsidR="00C846E9" w:rsidRDefault="00C846E9" w:rsidP="00EE2A22">
            <w:r>
              <w:t>7.0%</w:t>
            </w:r>
          </w:p>
        </w:tc>
        <w:tc>
          <w:tcPr>
            <w:tcW w:w="914" w:type="dxa"/>
          </w:tcPr>
          <w:p w14:paraId="2AD8FAE4" w14:textId="77777777" w:rsidR="00C846E9" w:rsidRDefault="00C846E9" w:rsidP="00EE2A22">
            <w:r>
              <w:t>0.000</w:t>
            </w:r>
          </w:p>
        </w:tc>
      </w:tr>
      <w:tr w:rsidR="00C846E9" w14:paraId="495645AB" w14:textId="77777777" w:rsidTr="00EE2A22">
        <w:trPr>
          <w:trHeight w:val="304"/>
        </w:trPr>
        <w:tc>
          <w:tcPr>
            <w:tcW w:w="1431" w:type="dxa"/>
            <w:vMerge w:val="restart"/>
          </w:tcPr>
          <w:p w14:paraId="4E90A903" w14:textId="77777777" w:rsidR="00C846E9" w:rsidRDefault="00C846E9" w:rsidP="00EE2A22">
            <w:r>
              <w:t>Awareness</w:t>
            </w:r>
          </w:p>
          <w:p w14:paraId="1EB0AF75" w14:textId="77777777" w:rsidR="00C846E9" w:rsidRDefault="00C846E9" w:rsidP="00EE2A22">
            <w:r>
              <w:t>Dataset:</w:t>
            </w:r>
          </w:p>
          <w:p w14:paraId="7B47ED66" w14:textId="77777777" w:rsidR="00C846E9" w:rsidRDefault="00C846E9" w:rsidP="00EE2A22">
            <w:proofErr w:type="spellStart"/>
            <w:r>
              <w:t>Clean_k</w:t>
            </w:r>
            <w:proofErr w:type="spellEnd"/>
            <w:r>
              <w:t xml:space="preserve"> </w:t>
            </w:r>
          </w:p>
        </w:tc>
        <w:tc>
          <w:tcPr>
            <w:tcW w:w="1858" w:type="dxa"/>
          </w:tcPr>
          <w:p w14:paraId="116B505A" w14:textId="77777777" w:rsidR="00C846E9" w:rsidRDefault="00C846E9" w:rsidP="00EE2A22">
            <w:proofErr w:type="spellStart"/>
            <w:r>
              <w:t>Made_safer</w:t>
            </w:r>
            <w:proofErr w:type="spellEnd"/>
            <w:r>
              <w:t xml:space="preserve"> </w:t>
            </w:r>
          </w:p>
        </w:tc>
        <w:tc>
          <w:tcPr>
            <w:tcW w:w="1283" w:type="dxa"/>
          </w:tcPr>
          <w:p w14:paraId="5CF64E8E" w14:textId="77777777" w:rsidR="00C846E9" w:rsidRDefault="00C846E9" w:rsidP="00EE2A22">
            <w:r>
              <w:t>3.1</w:t>
            </w:r>
          </w:p>
        </w:tc>
        <w:tc>
          <w:tcPr>
            <w:tcW w:w="1065" w:type="dxa"/>
          </w:tcPr>
          <w:p w14:paraId="703090D3" w14:textId="77777777" w:rsidR="00C846E9" w:rsidRDefault="00C846E9" w:rsidP="00EE2A22">
            <w:r>
              <w:t>P=0.000</w:t>
            </w:r>
          </w:p>
        </w:tc>
        <w:tc>
          <w:tcPr>
            <w:tcW w:w="1356" w:type="dxa"/>
          </w:tcPr>
          <w:p w14:paraId="1230D66E" w14:textId="77777777" w:rsidR="00C846E9" w:rsidRDefault="00C846E9" w:rsidP="00EE2A22">
            <w:r>
              <w:t>16.9%</w:t>
            </w:r>
          </w:p>
        </w:tc>
        <w:tc>
          <w:tcPr>
            <w:tcW w:w="1109" w:type="dxa"/>
          </w:tcPr>
          <w:p w14:paraId="769F0376" w14:textId="77777777" w:rsidR="00C846E9" w:rsidRDefault="00C846E9" w:rsidP="00EE2A22">
            <w:r>
              <w:t>4.8%</w:t>
            </w:r>
          </w:p>
        </w:tc>
        <w:tc>
          <w:tcPr>
            <w:tcW w:w="914" w:type="dxa"/>
          </w:tcPr>
          <w:p w14:paraId="4D54CD56" w14:textId="77777777" w:rsidR="00C846E9" w:rsidRDefault="00C846E9" w:rsidP="00EE2A22">
            <w:r>
              <w:t>0.000</w:t>
            </w:r>
          </w:p>
        </w:tc>
      </w:tr>
      <w:tr w:rsidR="00C846E9" w14:paraId="6EAF1573" w14:textId="77777777" w:rsidTr="00EE2A22">
        <w:trPr>
          <w:trHeight w:val="304"/>
        </w:trPr>
        <w:tc>
          <w:tcPr>
            <w:tcW w:w="1431" w:type="dxa"/>
            <w:vMerge/>
          </w:tcPr>
          <w:p w14:paraId="0DBB7A68" w14:textId="77777777" w:rsidR="00C846E9" w:rsidRDefault="00C846E9" w:rsidP="00EE2A22"/>
        </w:tc>
        <w:tc>
          <w:tcPr>
            <w:tcW w:w="1858" w:type="dxa"/>
          </w:tcPr>
          <w:p w14:paraId="6C538D9E" w14:textId="77777777" w:rsidR="00C846E9" w:rsidRDefault="00C846E9" w:rsidP="00EE2A22">
            <w:r>
              <w:t>Insured</w:t>
            </w:r>
          </w:p>
        </w:tc>
        <w:tc>
          <w:tcPr>
            <w:tcW w:w="1283" w:type="dxa"/>
          </w:tcPr>
          <w:p w14:paraId="5C6CDC2F" w14:textId="77777777" w:rsidR="00C846E9" w:rsidRDefault="00C846E9" w:rsidP="00EE2A22">
            <w:r>
              <w:t>3.66</w:t>
            </w:r>
          </w:p>
        </w:tc>
        <w:tc>
          <w:tcPr>
            <w:tcW w:w="1065" w:type="dxa"/>
          </w:tcPr>
          <w:p w14:paraId="5747E598" w14:textId="77777777" w:rsidR="00C846E9" w:rsidRDefault="00C846E9" w:rsidP="00EE2A22">
            <w:r>
              <w:t>P=0.000</w:t>
            </w:r>
          </w:p>
        </w:tc>
        <w:tc>
          <w:tcPr>
            <w:tcW w:w="1356" w:type="dxa"/>
          </w:tcPr>
          <w:p w14:paraId="7C3FCEFB" w14:textId="77777777" w:rsidR="00C846E9" w:rsidRDefault="00C846E9" w:rsidP="00EE2A22">
            <w:r>
              <w:t>22.0%</w:t>
            </w:r>
          </w:p>
        </w:tc>
        <w:tc>
          <w:tcPr>
            <w:tcW w:w="1109" w:type="dxa"/>
          </w:tcPr>
          <w:p w14:paraId="36F4806D" w14:textId="77777777" w:rsidR="00C846E9" w:rsidRDefault="00C846E9" w:rsidP="00EE2A22">
            <w:r>
              <w:t>6.4%</w:t>
            </w:r>
          </w:p>
        </w:tc>
        <w:tc>
          <w:tcPr>
            <w:tcW w:w="914" w:type="dxa"/>
          </w:tcPr>
          <w:p w14:paraId="5CEF9835" w14:textId="77777777" w:rsidR="00C846E9" w:rsidRDefault="00C846E9" w:rsidP="00EE2A22">
            <w:r>
              <w:t>0.000</w:t>
            </w:r>
          </w:p>
        </w:tc>
      </w:tr>
      <w:tr w:rsidR="00C846E9" w14:paraId="7C0CA323" w14:textId="77777777" w:rsidTr="00EE2A22">
        <w:trPr>
          <w:trHeight w:val="304"/>
        </w:trPr>
        <w:tc>
          <w:tcPr>
            <w:tcW w:w="1431" w:type="dxa"/>
            <w:vMerge/>
          </w:tcPr>
          <w:p w14:paraId="4DD6C1B5" w14:textId="77777777" w:rsidR="00C846E9" w:rsidRDefault="00C846E9" w:rsidP="00EE2A22"/>
        </w:tc>
        <w:tc>
          <w:tcPr>
            <w:tcW w:w="1858" w:type="dxa"/>
          </w:tcPr>
          <w:p w14:paraId="42D20A01" w14:textId="77777777" w:rsidR="00C846E9" w:rsidRDefault="00C846E9" w:rsidP="00EE2A22">
            <w:proofErr w:type="spellStart"/>
            <w:r>
              <w:t>Learned_routes</w:t>
            </w:r>
            <w:proofErr w:type="spellEnd"/>
          </w:p>
        </w:tc>
        <w:tc>
          <w:tcPr>
            <w:tcW w:w="1283" w:type="dxa"/>
          </w:tcPr>
          <w:p w14:paraId="0ED6AC9F" w14:textId="77777777" w:rsidR="00C846E9" w:rsidRDefault="00C846E9" w:rsidP="00EE2A22">
            <w:r>
              <w:t>4.71</w:t>
            </w:r>
          </w:p>
        </w:tc>
        <w:tc>
          <w:tcPr>
            <w:tcW w:w="1065" w:type="dxa"/>
          </w:tcPr>
          <w:p w14:paraId="5CA90496" w14:textId="77777777" w:rsidR="00C846E9" w:rsidRDefault="00C846E9" w:rsidP="00EE2A22">
            <w:r>
              <w:t>P=0.000</w:t>
            </w:r>
          </w:p>
        </w:tc>
        <w:tc>
          <w:tcPr>
            <w:tcW w:w="1356" w:type="dxa"/>
          </w:tcPr>
          <w:p w14:paraId="5B21CA81" w14:textId="77777777" w:rsidR="00C846E9" w:rsidRDefault="00C846E9" w:rsidP="00EE2A22">
            <w:r>
              <w:t>26.4%</w:t>
            </w:r>
          </w:p>
        </w:tc>
        <w:tc>
          <w:tcPr>
            <w:tcW w:w="1109" w:type="dxa"/>
          </w:tcPr>
          <w:p w14:paraId="3A6292CD" w14:textId="77777777" w:rsidR="00C846E9" w:rsidRDefault="00C846E9" w:rsidP="00EE2A22">
            <w:r>
              <w:t>9.0%</w:t>
            </w:r>
          </w:p>
        </w:tc>
        <w:tc>
          <w:tcPr>
            <w:tcW w:w="914" w:type="dxa"/>
          </w:tcPr>
          <w:p w14:paraId="72A69770" w14:textId="77777777" w:rsidR="00C846E9" w:rsidRDefault="00C846E9" w:rsidP="00EE2A22">
            <w:r>
              <w:t>0.000</w:t>
            </w:r>
          </w:p>
        </w:tc>
      </w:tr>
      <w:tr w:rsidR="00C846E9" w14:paraId="051089CA" w14:textId="77777777" w:rsidTr="00EE2A22">
        <w:trPr>
          <w:trHeight w:val="304"/>
        </w:trPr>
        <w:tc>
          <w:tcPr>
            <w:tcW w:w="1431" w:type="dxa"/>
            <w:vMerge/>
          </w:tcPr>
          <w:p w14:paraId="0BDB74DF" w14:textId="77777777" w:rsidR="00C846E9" w:rsidRDefault="00C846E9" w:rsidP="00EE2A22"/>
        </w:tc>
        <w:tc>
          <w:tcPr>
            <w:tcW w:w="1858" w:type="dxa"/>
          </w:tcPr>
          <w:p w14:paraId="7D1F4BED" w14:textId="77777777" w:rsidR="00C846E9" w:rsidRDefault="00C846E9" w:rsidP="00EE2A22">
            <w:r w:rsidRPr="009D1DBF">
              <w:t>Supplies</w:t>
            </w:r>
          </w:p>
        </w:tc>
        <w:tc>
          <w:tcPr>
            <w:tcW w:w="1283" w:type="dxa"/>
          </w:tcPr>
          <w:p w14:paraId="34B0B6CA" w14:textId="77777777" w:rsidR="00C846E9" w:rsidRDefault="00C846E9" w:rsidP="00EE2A22">
            <w:r>
              <w:t>5.53</w:t>
            </w:r>
          </w:p>
        </w:tc>
        <w:tc>
          <w:tcPr>
            <w:tcW w:w="1065" w:type="dxa"/>
          </w:tcPr>
          <w:p w14:paraId="7A61283D" w14:textId="77777777" w:rsidR="00C846E9" w:rsidRDefault="00C846E9" w:rsidP="00EE2A22">
            <w:r>
              <w:t>P=0.000</w:t>
            </w:r>
          </w:p>
        </w:tc>
        <w:tc>
          <w:tcPr>
            <w:tcW w:w="1356" w:type="dxa"/>
          </w:tcPr>
          <w:p w14:paraId="7C51A996" w14:textId="77777777" w:rsidR="00C846E9" w:rsidRDefault="00C846E9" w:rsidP="00EE2A22">
            <w:r>
              <w:t>27.5%</w:t>
            </w:r>
          </w:p>
        </w:tc>
        <w:tc>
          <w:tcPr>
            <w:tcW w:w="1109" w:type="dxa"/>
          </w:tcPr>
          <w:p w14:paraId="63E3E23D" w14:textId="77777777" w:rsidR="00C846E9" w:rsidRDefault="00C846E9" w:rsidP="00EE2A22">
            <w:r>
              <w:t>10.4%</w:t>
            </w:r>
          </w:p>
        </w:tc>
        <w:tc>
          <w:tcPr>
            <w:tcW w:w="914" w:type="dxa"/>
          </w:tcPr>
          <w:p w14:paraId="386B3D04" w14:textId="77777777" w:rsidR="00C846E9" w:rsidRDefault="00C846E9" w:rsidP="00EE2A22">
            <w:r>
              <w:t>0.000</w:t>
            </w:r>
          </w:p>
        </w:tc>
      </w:tr>
      <w:tr w:rsidR="00C846E9" w14:paraId="0ACD9F88" w14:textId="77777777" w:rsidTr="00EE2A22">
        <w:trPr>
          <w:trHeight w:val="304"/>
        </w:trPr>
        <w:tc>
          <w:tcPr>
            <w:tcW w:w="1431" w:type="dxa"/>
            <w:vMerge/>
          </w:tcPr>
          <w:p w14:paraId="6682BADC" w14:textId="77777777" w:rsidR="00C846E9" w:rsidRDefault="00C846E9" w:rsidP="00EE2A22"/>
        </w:tc>
        <w:tc>
          <w:tcPr>
            <w:tcW w:w="1858" w:type="dxa"/>
          </w:tcPr>
          <w:p w14:paraId="404777C4" w14:textId="77777777" w:rsidR="00C846E9" w:rsidRDefault="00C846E9" w:rsidP="00EE2A22">
            <w:r>
              <w:t>Involved</w:t>
            </w:r>
          </w:p>
        </w:tc>
        <w:tc>
          <w:tcPr>
            <w:tcW w:w="1283" w:type="dxa"/>
          </w:tcPr>
          <w:p w14:paraId="10CA7EFC" w14:textId="77777777" w:rsidR="00C846E9" w:rsidRDefault="00C846E9" w:rsidP="00EE2A22">
            <w:r>
              <w:t>4.78</w:t>
            </w:r>
          </w:p>
        </w:tc>
        <w:tc>
          <w:tcPr>
            <w:tcW w:w="1065" w:type="dxa"/>
          </w:tcPr>
          <w:p w14:paraId="437648C9" w14:textId="77777777" w:rsidR="00C846E9" w:rsidRDefault="00C846E9" w:rsidP="00EE2A22">
            <w:r>
              <w:t>P=0.000</w:t>
            </w:r>
          </w:p>
        </w:tc>
        <w:tc>
          <w:tcPr>
            <w:tcW w:w="1356" w:type="dxa"/>
          </w:tcPr>
          <w:p w14:paraId="2BD32C8D" w14:textId="77777777" w:rsidR="00C846E9" w:rsidRDefault="00C846E9" w:rsidP="00EE2A22">
            <w:r>
              <w:t>13.6%</w:t>
            </w:r>
          </w:p>
        </w:tc>
        <w:tc>
          <w:tcPr>
            <w:tcW w:w="1109" w:type="dxa"/>
          </w:tcPr>
          <w:p w14:paraId="5F60D56B" w14:textId="77777777" w:rsidR="00C846E9" w:rsidRDefault="00C846E9" w:rsidP="00EE2A22">
            <w:r>
              <w:t>7.0%</w:t>
            </w:r>
          </w:p>
        </w:tc>
        <w:tc>
          <w:tcPr>
            <w:tcW w:w="914" w:type="dxa"/>
          </w:tcPr>
          <w:p w14:paraId="20E84C8E" w14:textId="77777777" w:rsidR="00C846E9" w:rsidRDefault="00C846E9" w:rsidP="00EE2A22">
            <w:r>
              <w:t>0.000</w:t>
            </w:r>
          </w:p>
        </w:tc>
      </w:tr>
      <w:tr w:rsidR="00C846E9" w14:paraId="6816F0D3" w14:textId="77777777" w:rsidTr="00EE2A22">
        <w:trPr>
          <w:trHeight w:val="304"/>
        </w:trPr>
        <w:tc>
          <w:tcPr>
            <w:tcW w:w="1431" w:type="dxa"/>
            <w:vMerge/>
          </w:tcPr>
          <w:p w14:paraId="0D6DE3E0" w14:textId="77777777" w:rsidR="00C846E9" w:rsidRDefault="00C846E9" w:rsidP="00EE2A22"/>
        </w:tc>
        <w:tc>
          <w:tcPr>
            <w:tcW w:w="1858" w:type="dxa"/>
          </w:tcPr>
          <w:p w14:paraId="4BCBB615" w14:textId="77777777" w:rsidR="00C846E9" w:rsidRDefault="00C846E9" w:rsidP="00EE2A22">
            <w:proofErr w:type="spellStart"/>
            <w:r w:rsidRPr="009D1DBF">
              <w:t>Made_plan</w:t>
            </w:r>
            <w:proofErr w:type="spellEnd"/>
          </w:p>
        </w:tc>
        <w:tc>
          <w:tcPr>
            <w:tcW w:w="1283" w:type="dxa"/>
          </w:tcPr>
          <w:p w14:paraId="611515D3" w14:textId="77777777" w:rsidR="00C846E9" w:rsidRDefault="00C846E9" w:rsidP="00EE2A22">
            <w:r>
              <w:t>4.11</w:t>
            </w:r>
          </w:p>
        </w:tc>
        <w:tc>
          <w:tcPr>
            <w:tcW w:w="1065" w:type="dxa"/>
          </w:tcPr>
          <w:p w14:paraId="00F32376" w14:textId="77777777" w:rsidR="00C846E9" w:rsidRDefault="00C846E9" w:rsidP="00EE2A22">
            <w:r>
              <w:t>P=0.000</w:t>
            </w:r>
          </w:p>
        </w:tc>
        <w:tc>
          <w:tcPr>
            <w:tcW w:w="1356" w:type="dxa"/>
          </w:tcPr>
          <w:p w14:paraId="0AA41740" w14:textId="77777777" w:rsidR="00C846E9" w:rsidRDefault="00C846E9" w:rsidP="00EE2A22">
            <w:r>
              <w:t>23.5%</w:t>
            </w:r>
          </w:p>
        </w:tc>
        <w:tc>
          <w:tcPr>
            <w:tcW w:w="1109" w:type="dxa"/>
          </w:tcPr>
          <w:p w14:paraId="541C9A43" w14:textId="77777777" w:rsidR="00C846E9" w:rsidRDefault="00C846E9" w:rsidP="00EE2A22">
            <w:r>
              <w:t>7.5%</w:t>
            </w:r>
          </w:p>
        </w:tc>
        <w:tc>
          <w:tcPr>
            <w:tcW w:w="914" w:type="dxa"/>
          </w:tcPr>
          <w:p w14:paraId="6856E187" w14:textId="77777777" w:rsidR="00C846E9" w:rsidRDefault="00C846E9" w:rsidP="00EE2A22">
            <w:r>
              <w:t>0.000</w:t>
            </w:r>
          </w:p>
        </w:tc>
      </w:tr>
      <w:tr w:rsidR="00C846E9" w14:paraId="48EC2E0F" w14:textId="77777777" w:rsidTr="00EE2A22">
        <w:trPr>
          <w:trHeight w:val="304"/>
        </w:trPr>
        <w:tc>
          <w:tcPr>
            <w:tcW w:w="1431" w:type="dxa"/>
            <w:vMerge/>
          </w:tcPr>
          <w:p w14:paraId="5321C75C" w14:textId="77777777" w:rsidR="00C846E9" w:rsidRDefault="00C846E9" w:rsidP="00EE2A22"/>
        </w:tc>
        <w:tc>
          <w:tcPr>
            <w:tcW w:w="1858" w:type="dxa"/>
          </w:tcPr>
          <w:p w14:paraId="51EA062A" w14:textId="77777777" w:rsidR="00C846E9" w:rsidRDefault="00C846E9" w:rsidP="00EE2A22">
            <w:proofErr w:type="spellStart"/>
            <w:r>
              <w:t>Practiced_drills</w:t>
            </w:r>
            <w:proofErr w:type="spellEnd"/>
          </w:p>
        </w:tc>
        <w:tc>
          <w:tcPr>
            <w:tcW w:w="1283" w:type="dxa"/>
          </w:tcPr>
          <w:p w14:paraId="19FB48C2" w14:textId="77777777" w:rsidR="00C846E9" w:rsidRDefault="00C846E9" w:rsidP="00EE2A22">
            <w:r>
              <w:t>4.5</w:t>
            </w:r>
          </w:p>
        </w:tc>
        <w:tc>
          <w:tcPr>
            <w:tcW w:w="1065" w:type="dxa"/>
          </w:tcPr>
          <w:p w14:paraId="5823099A" w14:textId="77777777" w:rsidR="00C846E9" w:rsidRDefault="00C846E9" w:rsidP="00EE2A22">
            <w:r>
              <w:t>P=0.000</w:t>
            </w:r>
          </w:p>
        </w:tc>
        <w:tc>
          <w:tcPr>
            <w:tcW w:w="1356" w:type="dxa"/>
          </w:tcPr>
          <w:p w14:paraId="53342B97" w14:textId="77777777" w:rsidR="00C846E9" w:rsidRDefault="00C846E9" w:rsidP="00EE2A22">
            <w:r>
              <w:t>11.3%</w:t>
            </w:r>
          </w:p>
        </w:tc>
        <w:tc>
          <w:tcPr>
            <w:tcW w:w="1109" w:type="dxa"/>
          </w:tcPr>
          <w:p w14:paraId="1379271C" w14:textId="77777777" w:rsidR="00C846E9" w:rsidRDefault="00C846E9" w:rsidP="00EE2A22">
            <w:r>
              <w:t>6.3%</w:t>
            </w:r>
          </w:p>
        </w:tc>
        <w:tc>
          <w:tcPr>
            <w:tcW w:w="914" w:type="dxa"/>
          </w:tcPr>
          <w:p w14:paraId="29DE1C30" w14:textId="77777777" w:rsidR="00C846E9" w:rsidRDefault="00C846E9" w:rsidP="00EE2A22">
            <w:r>
              <w:t>0.000</w:t>
            </w:r>
          </w:p>
        </w:tc>
      </w:tr>
      <w:tr w:rsidR="00C846E9" w14:paraId="354A06F2" w14:textId="77777777" w:rsidTr="00EE2A22">
        <w:trPr>
          <w:trHeight w:val="304"/>
        </w:trPr>
        <w:tc>
          <w:tcPr>
            <w:tcW w:w="1431" w:type="dxa"/>
            <w:vMerge/>
          </w:tcPr>
          <w:p w14:paraId="27AFE060" w14:textId="77777777" w:rsidR="00C846E9" w:rsidRDefault="00C846E9" w:rsidP="00EE2A22"/>
        </w:tc>
        <w:tc>
          <w:tcPr>
            <w:tcW w:w="1858" w:type="dxa"/>
          </w:tcPr>
          <w:p w14:paraId="213F7E12" w14:textId="77777777" w:rsidR="00C846E9" w:rsidRDefault="00C846E9" w:rsidP="00EE2A22">
            <w:r>
              <w:t>Alerts</w:t>
            </w:r>
          </w:p>
        </w:tc>
        <w:tc>
          <w:tcPr>
            <w:tcW w:w="1283" w:type="dxa"/>
          </w:tcPr>
          <w:p w14:paraId="1BD43F0D" w14:textId="77777777" w:rsidR="00C846E9" w:rsidRDefault="00C846E9" w:rsidP="00EE2A22">
            <w:r>
              <w:t>4.29</w:t>
            </w:r>
          </w:p>
        </w:tc>
        <w:tc>
          <w:tcPr>
            <w:tcW w:w="1065" w:type="dxa"/>
          </w:tcPr>
          <w:p w14:paraId="38838647" w14:textId="77777777" w:rsidR="00C846E9" w:rsidRDefault="00C846E9" w:rsidP="00EE2A22">
            <w:r>
              <w:t>P=0.000</w:t>
            </w:r>
          </w:p>
        </w:tc>
        <w:tc>
          <w:tcPr>
            <w:tcW w:w="1356" w:type="dxa"/>
          </w:tcPr>
          <w:p w14:paraId="28C3203F" w14:textId="77777777" w:rsidR="00C846E9" w:rsidRDefault="00C846E9" w:rsidP="00EE2A22">
            <w:r>
              <w:t>21.6%</w:t>
            </w:r>
          </w:p>
        </w:tc>
        <w:tc>
          <w:tcPr>
            <w:tcW w:w="1109" w:type="dxa"/>
          </w:tcPr>
          <w:p w14:paraId="60B8CB2E" w14:textId="77777777" w:rsidR="00C846E9" w:rsidRDefault="00C846E9" w:rsidP="00EE2A22">
            <w:r>
              <w:t>7.5%</w:t>
            </w:r>
          </w:p>
        </w:tc>
        <w:tc>
          <w:tcPr>
            <w:tcW w:w="914" w:type="dxa"/>
          </w:tcPr>
          <w:p w14:paraId="2C5789B1" w14:textId="77777777" w:rsidR="00C846E9" w:rsidRDefault="00C846E9" w:rsidP="00EE2A22">
            <w:r>
              <w:t>0.000</w:t>
            </w:r>
          </w:p>
        </w:tc>
      </w:tr>
      <w:tr w:rsidR="00C846E9" w14:paraId="3DE8F3AA" w14:textId="77777777" w:rsidTr="00EE2A22">
        <w:trPr>
          <w:trHeight w:val="304"/>
        </w:trPr>
        <w:tc>
          <w:tcPr>
            <w:tcW w:w="1431" w:type="dxa"/>
            <w:vMerge/>
          </w:tcPr>
          <w:p w14:paraId="73F93BDE" w14:textId="77777777" w:rsidR="00C846E9" w:rsidRDefault="00C846E9" w:rsidP="00EE2A22"/>
        </w:tc>
        <w:tc>
          <w:tcPr>
            <w:tcW w:w="1858" w:type="dxa"/>
          </w:tcPr>
          <w:p w14:paraId="3B7A9834" w14:textId="77777777" w:rsidR="00C846E9" w:rsidRDefault="00C846E9" w:rsidP="00EE2A22">
            <w:r>
              <w:t>Family_</w:t>
            </w:r>
          </w:p>
          <w:p w14:paraId="692DD396" w14:textId="77777777" w:rsidR="00C846E9" w:rsidRDefault="00C846E9" w:rsidP="00EE2A22">
            <w:r>
              <w:t>communication</w:t>
            </w:r>
          </w:p>
        </w:tc>
        <w:tc>
          <w:tcPr>
            <w:tcW w:w="1283" w:type="dxa"/>
          </w:tcPr>
          <w:p w14:paraId="1E1B1363" w14:textId="77777777" w:rsidR="00C846E9" w:rsidRDefault="00C846E9" w:rsidP="00EE2A22">
            <w:r>
              <w:t>4.55</w:t>
            </w:r>
          </w:p>
        </w:tc>
        <w:tc>
          <w:tcPr>
            <w:tcW w:w="1065" w:type="dxa"/>
          </w:tcPr>
          <w:p w14:paraId="0FC3740A" w14:textId="77777777" w:rsidR="00C846E9" w:rsidRDefault="00C846E9" w:rsidP="00EE2A22">
            <w:r>
              <w:t>P=0.000</w:t>
            </w:r>
          </w:p>
        </w:tc>
        <w:tc>
          <w:tcPr>
            <w:tcW w:w="1356" w:type="dxa"/>
          </w:tcPr>
          <w:p w14:paraId="58476A84" w14:textId="77777777" w:rsidR="00C846E9" w:rsidRDefault="00C846E9" w:rsidP="00EE2A22">
            <w:r>
              <w:t>14.1%</w:t>
            </w:r>
          </w:p>
        </w:tc>
        <w:tc>
          <w:tcPr>
            <w:tcW w:w="1109" w:type="dxa"/>
          </w:tcPr>
          <w:p w14:paraId="46CE1D59" w14:textId="77777777" w:rsidR="00C846E9" w:rsidRDefault="00C846E9" w:rsidP="00EE2A22">
            <w:r>
              <w:t>6.8%</w:t>
            </w:r>
          </w:p>
        </w:tc>
        <w:tc>
          <w:tcPr>
            <w:tcW w:w="914" w:type="dxa"/>
          </w:tcPr>
          <w:p w14:paraId="6C48BF8A" w14:textId="77777777" w:rsidR="00C846E9" w:rsidRDefault="00C846E9" w:rsidP="00EE2A22">
            <w:r>
              <w:t>0.000s</w:t>
            </w:r>
          </w:p>
        </w:tc>
      </w:tr>
    </w:tbl>
    <w:p w14:paraId="64601EBC" w14:textId="77777777" w:rsidR="00C1456E" w:rsidRPr="00C1456E" w:rsidRDefault="00C846E9" w:rsidP="00C1456E">
      <w:pPr>
        <w:pStyle w:val="Bibliography"/>
        <w:rPr>
          <w:rFonts w:ascii="Aptos"/>
          <w:color w:val="008080"/>
          <w:sz w:val="18"/>
          <w:lang w:val="en-GB"/>
        </w:rPr>
      </w:pPr>
      <w:r>
        <w:t xml:space="preserve">Table </w:t>
      </w:r>
      <w:r>
        <w:fldChar w:fldCharType="begin"/>
      </w:r>
      <w:r>
        <w:instrText xml:space="preserve"> SEQ Table \* ARABIC </w:instrText>
      </w:r>
      <w:r>
        <w:fldChar w:fldCharType="separate"/>
      </w:r>
      <w:r w:rsidR="00C1456E" w:rsidRPr="00C1456E">
        <w:rPr>
          <w:rFonts w:ascii="Aptos"/>
          <w:color w:val="008080"/>
          <w:sz w:val="18"/>
          <w:lang w:val="en-GB"/>
        </w:rPr>
        <w:t>2023 National Household Survey on Disaster Preparedness: Survey Instrument (English). (2023).</w:t>
      </w:r>
    </w:p>
    <w:p w14:paraId="568808A0" w14:textId="77777777" w:rsidR="00C1456E" w:rsidRPr="00C1456E" w:rsidRDefault="00C1456E" w:rsidP="00C1456E">
      <w:pPr>
        <w:pStyle w:val="Bibliography"/>
        <w:rPr>
          <w:rFonts w:ascii="Aptos"/>
          <w:color w:val="008080"/>
          <w:sz w:val="18"/>
          <w:lang w:val="en-GB"/>
        </w:rPr>
      </w:pPr>
      <w:r w:rsidRPr="00C1456E">
        <w:rPr>
          <w:rFonts w:ascii="Aptos"/>
          <w:color w:val="008080"/>
          <w:sz w:val="18"/>
          <w:lang w:val="en-GB"/>
        </w:rPr>
        <w:t>Adger, W. N. (2006). Vulnerability. Global Environmental Change, 16(3), 268–281. https://doi.org/10.1016/j.gloenvcha.2006.02.006</w:t>
      </w:r>
    </w:p>
    <w:p w14:paraId="3BBFD331" w14:textId="77777777" w:rsidR="00C1456E" w:rsidRPr="00C1456E" w:rsidRDefault="00C1456E" w:rsidP="00C1456E">
      <w:pPr>
        <w:pStyle w:val="Bibliography"/>
        <w:rPr>
          <w:rFonts w:ascii="Aptos"/>
          <w:color w:val="008080"/>
          <w:sz w:val="18"/>
          <w:lang w:val="en-GB"/>
        </w:rPr>
      </w:pPr>
      <w:proofErr w:type="spellStart"/>
      <w:r w:rsidRPr="00C1456E">
        <w:rPr>
          <w:rFonts w:ascii="Aptos"/>
          <w:color w:val="008080"/>
          <w:sz w:val="18"/>
          <w:lang w:val="en-GB"/>
        </w:rPr>
        <w:t>Botzen</w:t>
      </w:r>
      <w:proofErr w:type="spellEnd"/>
      <w:r w:rsidRPr="00C1456E">
        <w:rPr>
          <w:rFonts w:ascii="Aptos"/>
          <w:color w:val="008080"/>
          <w:sz w:val="18"/>
          <w:lang w:val="en-GB"/>
        </w:rPr>
        <w:t>, W. J. W., &amp; Van den Bergh, J. C. J. M. (2009). Managing natural disaster risks in a changing climate. Environmental Hazards, 8(3), 209–225. https://doi.org/10.3763/ehaz.2009.0023</w:t>
      </w:r>
    </w:p>
    <w:p w14:paraId="4915DC50" w14:textId="77777777" w:rsidR="00C1456E" w:rsidRPr="00C1456E" w:rsidRDefault="00C1456E" w:rsidP="00C1456E">
      <w:pPr>
        <w:pStyle w:val="Bibliography"/>
        <w:rPr>
          <w:rFonts w:ascii="Aptos"/>
          <w:color w:val="008080"/>
          <w:sz w:val="18"/>
          <w:lang w:val="en-GB"/>
        </w:rPr>
      </w:pPr>
      <w:r w:rsidRPr="00C1456E">
        <w:rPr>
          <w:rFonts w:ascii="Aptos"/>
          <w:color w:val="008080"/>
          <w:sz w:val="18"/>
          <w:lang w:val="en-GB"/>
        </w:rPr>
        <w:t>Brooks, N. (2003). Vulnerability, risk and adaptation: A conceptual framework.</w:t>
      </w:r>
    </w:p>
    <w:p w14:paraId="66B1B6E9" w14:textId="77777777" w:rsidR="00C1456E" w:rsidRPr="00C1456E" w:rsidRDefault="00C1456E" w:rsidP="00C1456E">
      <w:pPr>
        <w:pStyle w:val="Bibliography"/>
        <w:rPr>
          <w:rFonts w:ascii="Aptos"/>
          <w:color w:val="008080"/>
          <w:sz w:val="18"/>
          <w:lang w:val="en-GB"/>
        </w:rPr>
      </w:pPr>
      <w:r w:rsidRPr="00C1456E">
        <w:rPr>
          <w:rFonts w:ascii="Aptos"/>
          <w:color w:val="008080"/>
          <w:sz w:val="18"/>
          <w:lang w:val="en-GB"/>
        </w:rPr>
        <w:t>Brooks, N., Neil Adger, W., &amp; Mick Kelly, P. (2005). The determinants of vulnerability and adaptive capacity at the national level and the implications for adaptation. Global Environmental Change, 15(2), 151–163. https://doi.org/10.1016/j.gloenvcha.2004.12.006</w:t>
      </w:r>
    </w:p>
    <w:p w14:paraId="4AC2FE48" w14:textId="77777777" w:rsidR="00C1456E" w:rsidRPr="00C1456E" w:rsidRDefault="00C1456E" w:rsidP="00C1456E">
      <w:pPr>
        <w:pStyle w:val="Bibliography"/>
        <w:rPr>
          <w:rFonts w:ascii="Aptos"/>
          <w:color w:val="008080"/>
          <w:sz w:val="18"/>
          <w:lang w:val="en-GB"/>
        </w:rPr>
      </w:pPr>
      <w:proofErr w:type="spellStart"/>
      <w:r w:rsidRPr="00C1456E">
        <w:rPr>
          <w:rFonts w:ascii="Aptos"/>
          <w:color w:val="008080"/>
          <w:sz w:val="18"/>
          <w:lang w:val="en-GB"/>
        </w:rPr>
        <w:t>Coronese</w:t>
      </w:r>
      <w:proofErr w:type="spellEnd"/>
      <w:r w:rsidRPr="00C1456E">
        <w:rPr>
          <w:rFonts w:ascii="Aptos"/>
          <w:color w:val="008080"/>
          <w:sz w:val="18"/>
          <w:lang w:val="en-GB"/>
        </w:rPr>
        <w:t xml:space="preserve">, M., Lamperti, F., Keller, K., </w:t>
      </w:r>
      <w:proofErr w:type="spellStart"/>
      <w:r w:rsidRPr="00C1456E">
        <w:rPr>
          <w:rFonts w:ascii="Aptos"/>
          <w:color w:val="008080"/>
          <w:sz w:val="18"/>
          <w:lang w:val="en-GB"/>
        </w:rPr>
        <w:t>Chiaromonte</w:t>
      </w:r>
      <w:proofErr w:type="spellEnd"/>
      <w:r w:rsidRPr="00C1456E">
        <w:rPr>
          <w:rFonts w:ascii="Aptos"/>
          <w:color w:val="008080"/>
          <w:sz w:val="18"/>
          <w:lang w:val="en-GB"/>
        </w:rPr>
        <w:t xml:space="preserve">, F., &amp; </w:t>
      </w:r>
      <w:proofErr w:type="spellStart"/>
      <w:r w:rsidRPr="00C1456E">
        <w:rPr>
          <w:rFonts w:ascii="Aptos"/>
          <w:color w:val="008080"/>
          <w:sz w:val="18"/>
          <w:lang w:val="en-GB"/>
        </w:rPr>
        <w:t>Roventini</w:t>
      </w:r>
      <w:proofErr w:type="spellEnd"/>
      <w:r w:rsidRPr="00C1456E">
        <w:rPr>
          <w:rFonts w:ascii="Aptos"/>
          <w:color w:val="008080"/>
          <w:sz w:val="18"/>
          <w:lang w:val="en-GB"/>
        </w:rPr>
        <w:t>, A. (2019). Evidence for sharp increase in the economic damages of extreme natural disasters. Proceedings of the National Academy of Sciences, 116(43), 21450–21455. https://doi.org/10.1073/pnas.1907826116</w:t>
      </w:r>
    </w:p>
    <w:p w14:paraId="35A1F0BD" w14:textId="77777777" w:rsidR="00C1456E" w:rsidRPr="00C1456E" w:rsidRDefault="00C1456E" w:rsidP="00C1456E">
      <w:pPr>
        <w:pStyle w:val="Bibliography"/>
        <w:rPr>
          <w:rFonts w:ascii="Aptos"/>
          <w:color w:val="008080"/>
          <w:sz w:val="18"/>
          <w:lang w:val="en-GB"/>
        </w:rPr>
      </w:pPr>
      <w:r w:rsidRPr="00C1456E">
        <w:rPr>
          <w:rFonts w:ascii="Aptos"/>
          <w:color w:val="008080"/>
          <w:sz w:val="18"/>
          <w:lang w:val="en-GB"/>
        </w:rPr>
        <w:t>Cutter, S. L., Boruff, B. J., &amp; Shirley, W. L. (2003). Social Vulnerability to Environmental Hazards</w:t>
      </w:r>
      <w:r w:rsidRPr="00C1456E">
        <w:rPr>
          <w:rFonts w:ascii="Aptos"/>
          <w:color w:val="008080"/>
          <w:sz w:val="18"/>
          <w:vertAlign w:val="superscript"/>
          <w:lang w:val="en-GB"/>
        </w:rPr>
        <w:t>*</w:t>
      </w:r>
      <w:r w:rsidRPr="00C1456E">
        <w:rPr>
          <w:rFonts w:ascii="Aptos"/>
          <w:color w:val="008080"/>
          <w:sz w:val="18"/>
          <w:lang w:val="en-GB"/>
        </w:rPr>
        <w:t>. Social Science Quarterly, 84(2), 242–261. https://doi.org/10.1111/1540-6237.8402002</w:t>
      </w:r>
    </w:p>
    <w:p w14:paraId="209D61AC" w14:textId="77777777" w:rsidR="00C1456E" w:rsidRPr="00C1456E" w:rsidRDefault="00C1456E" w:rsidP="00C1456E">
      <w:pPr>
        <w:pStyle w:val="Bibliography"/>
        <w:rPr>
          <w:rFonts w:ascii="Aptos"/>
          <w:color w:val="008080"/>
          <w:sz w:val="18"/>
          <w:lang w:val="en-GB"/>
        </w:rPr>
      </w:pPr>
      <w:r w:rsidRPr="00C1456E">
        <w:rPr>
          <w:rFonts w:ascii="Aptos"/>
          <w:color w:val="008080"/>
          <w:sz w:val="18"/>
          <w:lang w:val="en-GB"/>
        </w:rPr>
        <w:t>Denevan, W. M. (1983). Adaptation, Variation, and Cultural Geography</w:t>
      </w:r>
      <w:r w:rsidRPr="00C1456E">
        <w:rPr>
          <w:rFonts w:ascii="Aptos" w:cs="Cambria Math"/>
          <w:color w:val="008080"/>
          <w:sz w:val="18"/>
          <w:lang w:val="en-GB"/>
        </w:rPr>
        <w:t>∗</w:t>
      </w:r>
      <w:r w:rsidRPr="00C1456E">
        <w:rPr>
          <w:rFonts w:ascii="Aptos"/>
          <w:color w:val="008080"/>
          <w:sz w:val="18"/>
          <w:lang w:val="en-GB"/>
        </w:rPr>
        <w:t>. The Professional Geographer, 35(4), 399–407. https://doi.org/10.1111/j.0033-0124.1983.00399.x</w:t>
      </w:r>
    </w:p>
    <w:p w14:paraId="50B8C33F" w14:textId="77777777" w:rsidR="00C1456E" w:rsidRPr="00C1456E" w:rsidRDefault="00C1456E" w:rsidP="00C1456E">
      <w:pPr>
        <w:pStyle w:val="Bibliography"/>
        <w:rPr>
          <w:rFonts w:ascii="Aptos"/>
          <w:color w:val="008080"/>
          <w:sz w:val="18"/>
          <w:lang w:val="en-GB"/>
        </w:rPr>
      </w:pPr>
      <w:proofErr w:type="spellStart"/>
      <w:r w:rsidRPr="00C1456E">
        <w:rPr>
          <w:rFonts w:ascii="Aptos"/>
          <w:color w:val="008080"/>
          <w:sz w:val="18"/>
          <w:lang w:val="en-GB"/>
        </w:rPr>
        <w:t>Donatti</w:t>
      </w:r>
      <w:proofErr w:type="spellEnd"/>
      <w:r w:rsidRPr="00C1456E">
        <w:rPr>
          <w:rFonts w:ascii="Aptos"/>
          <w:color w:val="008080"/>
          <w:sz w:val="18"/>
          <w:lang w:val="en-GB"/>
        </w:rPr>
        <w:t>, C. I., Harvey, C. A., Hole, D., Panfil, S. N., &amp; Schurman, H. (2020). Indicators to measure the climate change adaptation outcomes of ecosystem-based adaptation. Climatic Change, 158(3–4), 413–433. https://doi.org/10.1007/s10584-019-02565-9</w:t>
      </w:r>
    </w:p>
    <w:p w14:paraId="5B2737D4" w14:textId="77777777" w:rsidR="00C1456E" w:rsidRPr="00C1456E" w:rsidRDefault="00C1456E" w:rsidP="00C1456E">
      <w:pPr>
        <w:pStyle w:val="Bibliography"/>
        <w:rPr>
          <w:rFonts w:ascii="Aptos"/>
          <w:color w:val="008080"/>
          <w:sz w:val="18"/>
          <w:lang w:val="en-GB"/>
        </w:rPr>
      </w:pPr>
      <w:proofErr w:type="spellStart"/>
      <w:r w:rsidRPr="00C1456E">
        <w:rPr>
          <w:rFonts w:ascii="Aptos"/>
          <w:color w:val="008080"/>
          <w:sz w:val="18"/>
          <w:lang w:val="en-GB"/>
        </w:rPr>
        <w:lastRenderedPageBreak/>
        <w:t>Dronkers</w:t>
      </w:r>
      <w:proofErr w:type="spellEnd"/>
      <w:r w:rsidRPr="00C1456E">
        <w:rPr>
          <w:rFonts w:ascii="Aptos"/>
          <w:color w:val="008080"/>
          <w:sz w:val="18"/>
          <w:lang w:val="en-GB"/>
        </w:rPr>
        <w:t xml:space="preserve">, J., Gilbert, J. T. E., Butler, L. W., Carey, J. J., Campbell, J., James, E., McKenzie, C., </w:t>
      </w:r>
      <w:proofErr w:type="spellStart"/>
      <w:r w:rsidRPr="00C1456E">
        <w:rPr>
          <w:rFonts w:ascii="Aptos"/>
          <w:color w:val="008080"/>
          <w:sz w:val="18"/>
          <w:lang w:val="en-GB"/>
        </w:rPr>
        <w:t>Misdorp</w:t>
      </w:r>
      <w:proofErr w:type="spellEnd"/>
      <w:r w:rsidRPr="00C1456E">
        <w:rPr>
          <w:rFonts w:ascii="Aptos"/>
          <w:color w:val="008080"/>
          <w:sz w:val="18"/>
          <w:lang w:val="en-GB"/>
        </w:rPr>
        <w:t xml:space="preserve">, R., Quin, N., Ries, K. L., Schroder, P. C., Spradley, J. R., Titus, J. G., </w:t>
      </w:r>
      <w:proofErr w:type="spellStart"/>
      <w:r w:rsidRPr="00C1456E">
        <w:rPr>
          <w:rFonts w:ascii="Aptos"/>
          <w:color w:val="008080"/>
          <w:sz w:val="18"/>
          <w:lang w:val="en-GB"/>
        </w:rPr>
        <w:t>Vallianos</w:t>
      </w:r>
      <w:proofErr w:type="spellEnd"/>
      <w:r w:rsidRPr="00C1456E">
        <w:rPr>
          <w:rFonts w:ascii="Aptos"/>
          <w:color w:val="008080"/>
          <w:sz w:val="18"/>
          <w:lang w:val="en-GB"/>
        </w:rPr>
        <w:t xml:space="preserve">, L., &amp; von </w:t>
      </w:r>
      <w:proofErr w:type="spellStart"/>
      <w:r w:rsidRPr="00C1456E">
        <w:rPr>
          <w:rFonts w:ascii="Aptos"/>
          <w:color w:val="008080"/>
          <w:sz w:val="18"/>
          <w:lang w:val="en-GB"/>
        </w:rPr>
        <w:t>Dadelszen</w:t>
      </w:r>
      <w:proofErr w:type="spellEnd"/>
      <w:r w:rsidRPr="00C1456E">
        <w:rPr>
          <w:rFonts w:ascii="Aptos"/>
          <w:color w:val="008080"/>
          <w:sz w:val="18"/>
          <w:lang w:val="en-GB"/>
        </w:rPr>
        <w:t>, J. (1990). Coastal Management. In Strategies for Adaptation to Sea Level Rise. Intergovernmental Panel on Climate Change.</w:t>
      </w:r>
    </w:p>
    <w:p w14:paraId="0A95A818" w14:textId="77777777" w:rsidR="00C1456E" w:rsidRPr="00C1456E" w:rsidRDefault="00C1456E" w:rsidP="00C1456E">
      <w:pPr>
        <w:pStyle w:val="Bibliography"/>
        <w:rPr>
          <w:rFonts w:ascii="Aptos"/>
          <w:color w:val="008080"/>
          <w:sz w:val="18"/>
          <w:lang w:val="en-GB"/>
        </w:rPr>
      </w:pPr>
      <w:r w:rsidRPr="00C1456E">
        <w:rPr>
          <w:rFonts w:ascii="Aptos"/>
          <w:color w:val="008080"/>
          <w:sz w:val="18"/>
          <w:lang w:val="en-GB"/>
        </w:rPr>
        <w:t>Engle, N. L. (2011). Adaptive capacity and its assessment. Global Environmental Change, 21(2), 647–656. https://doi.org/10.1016/j.gloenvcha.2011.01.019</w:t>
      </w:r>
    </w:p>
    <w:p w14:paraId="2A5E5FA9" w14:textId="77777777" w:rsidR="00C1456E" w:rsidRPr="00C1456E" w:rsidRDefault="00C1456E" w:rsidP="00C1456E">
      <w:pPr>
        <w:pStyle w:val="Bibliography"/>
        <w:rPr>
          <w:rFonts w:ascii="Aptos"/>
          <w:color w:val="008080"/>
          <w:sz w:val="18"/>
          <w:lang w:val="en-GB"/>
        </w:rPr>
      </w:pPr>
      <w:r w:rsidRPr="00C1456E">
        <w:rPr>
          <w:rFonts w:ascii="Aptos"/>
          <w:color w:val="008080"/>
          <w:sz w:val="18"/>
          <w:lang w:val="en-GB"/>
        </w:rPr>
        <w:t>Fankhauser, S., Smith, J. B., &amp; Tol, R. S. J. (1999). Weathering climate change: Some simple rules to guide adaptation decisions. Ecological Economics, 30(1), 67–78. https://doi.org/10.1016/S0921-8009(98)00117-7</w:t>
      </w:r>
    </w:p>
    <w:p w14:paraId="0188A00E" w14:textId="77777777" w:rsidR="00C1456E" w:rsidRPr="00C1456E" w:rsidRDefault="00C1456E" w:rsidP="00C1456E">
      <w:pPr>
        <w:pStyle w:val="Bibliography"/>
        <w:rPr>
          <w:rFonts w:ascii="Aptos"/>
          <w:color w:val="008080"/>
          <w:sz w:val="18"/>
          <w:lang w:val="en-GB"/>
        </w:rPr>
      </w:pPr>
      <w:r w:rsidRPr="00C1456E">
        <w:rPr>
          <w:rFonts w:ascii="Aptos"/>
          <w:color w:val="008080"/>
          <w:sz w:val="18"/>
          <w:lang w:val="en-GB"/>
        </w:rPr>
        <w:t>Finlayson, M. C., &amp; D’Cruz, R. (2008). Climate Change Mitigation. OECD. https://www.oecd.org/en/publications/climate-change-mitigation_9789264059610-en.html</w:t>
      </w:r>
    </w:p>
    <w:p w14:paraId="7170DB67" w14:textId="77777777" w:rsidR="00C1456E" w:rsidRPr="00C1456E" w:rsidRDefault="00C1456E" w:rsidP="00C1456E">
      <w:pPr>
        <w:pStyle w:val="Bibliography"/>
        <w:rPr>
          <w:rFonts w:ascii="Aptos"/>
          <w:color w:val="008080"/>
          <w:sz w:val="18"/>
          <w:lang w:val="en-GB"/>
        </w:rPr>
      </w:pPr>
      <w:r w:rsidRPr="00C1456E">
        <w:rPr>
          <w:rFonts w:ascii="Aptos"/>
          <w:color w:val="008080"/>
          <w:sz w:val="18"/>
          <w:lang w:val="en-GB"/>
        </w:rPr>
        <w:t>Haggag, M., Siam, A. S., El-</w:t>
      </w:r>
      <w:proofErr w:type="spellStart"/>
      <w:r w:rsidRPr="00C1456E">
        <w:rPr>
          <w:rFonts w:ascii="Aptos"/>
          <w:color w:val="008080"/>
          <w:sz w:val="18"/>
          <w:lang w:val="en-GB"/>
        </w:rPr>
        <w:t>Dakhakhni</w:t>
      </w:r>
      <w:proofErr w:type="spellEnd"/>
      <w:r w:rsidRPr="00C1456E">
        <w:rPr>
          <w:rFonts w:ascii="Aptos"/>
          <w:color w:val="008080"/>
          <w:sz w:val="18"/>
          <w:lang w:val="en-GB"/>
        </w:rPr>
        <w:t>, W., Coulibaly, P., &amp; Hassini, E. (2021). A deep learning model for predicting climate-induced disasters. Natural Hazards, 107(1), 1009–1034. https://doi.org/10.1007/s11069-021-04620-0</w:t>
      </w:r>
    </w:p>
    <w:p w14:paraId="119DDF9B" w14:textId="77777777" w:rsidR="00C1456E" w:rsidRPr="00C1456E" w:rsidRDefault="00C1456E" w:rsidP="00C1456E">
      <w:pPr>
        <w:pStyle w:val="Bibliography"/>
        <w:rPr>
          <w:rFonts w:ascii="Aptos"/>
          <w:color w:val="008080"/>
          <w:sz w:val="18"/>
          <w:lang w:val="en-GB"/>
        </w:rPr>
      </w:pPr>
      <w:r w:rsidRPr="00C1456E">
        <w:rPr>
          <w:rFonts w:ascii="Aptos"/>
          <w:color w:val="008080"/>
          <w:sz w:val="18"/>
          <w:lang w:val="en-GB"/>
        </w:rPr>
        <w:t>Harries, T., &amp; Penning-Rowsell, E. (2011). Victim pressure, institutional inertia and climate change adaptation: The case of flood risk. Global Environmental Change, 21(1), 188–197. https://doi.org/10.1016/j.gloenvcha.2010.09.002</w:t>
      </w:r>
    </w:p>
    <w:p w14:paraId="7097EC70" w14:textId="77777777" w:rsidR="00C1456E" w:rsidRPr="00C1456E" w:rsidRDefault="00C1456E" w:rsidP="00C1456E">
      <w:pPr>
        <w:pStyle w:val="Bibliography"/>
        <w:rPr>
          <w:rFonts w:ascii="Aptos"/>
          <w:color w:val="008080"/>
          <w:sz w:val="18"/>
          <w:lang w:val="en-GB"/>
        </w:rPr>
      </w:pPr>
      <w:r w:rsidRPr="00C1456E">
        <w:rPr>
          <w:rFonts w:ascii="Aptos"/>
          <w:color w:val="008080"/>
          <w:sz w:val="18"/>
          <w:lang w:val="en-GB"/>
        </w:rPr>
        <w:t xml:space="preserve">Koerth, J., </w:t>
      </w:r>
      <w:proofErr w:type="spellStart"/>
      <w:r w:rsidRPr="00C1456E">
        <w:rPr>
          <w:rFonts w:ascii="Aptos"/>
          <w:color w:val="008080"/>
          <w:sz w:val="18"/>
          <w:lang w:val="en-GB"/>
        </w:rPr>
        <w:t>Vafeidis</w:t>
      </w:r>
      <w:proofErr w:type="spellEnd"/>
      <w:r w:rsidRPr="00C1456E">
        <w:rPr>
          <w:rFonts w:ascii="Aptos"/>
          <w:color w:val="008080"/>
          <w:sz w:val="18"/>
          <w:lang w:val="en-GB"/>
        </w:rPr>
        <w:t>, A. T., &amp; Hinkel, J. (2017). Household</w:t>
      </w:r>
      <w:r w:rsidRPr="00C1456E">
        <w:rPr>
          <w:rFonts w:ascii="Aptos" w:cs="Cambria Math"/>
          <w:color w:val="008080"/>
          <w:sz w:val="18"/>
          <w:lang w:val="en-GB"/>
        </w:rPr>
        <w:t>‐</w:t>
      </w:r>
      <w:r w:rsidRPr="00C1456E">
        <w:rPr>
          <w:rFonts w:ascii="Aptos"/>
          <w:color w:val="008080"/>
          <w:sz w:val="18"/>
          <w:lang w:val="en-GB"/>
        </w:rPr>
        <w:t>Level Coastal Adaptation and Its Drivers: A Systematic Case Study Review. Risk Analysis, 37(4), 629–646. https://doi.org/10.1111/risa.12663</w:t>
      </w:r>
    </w:p>
    <w:p w14:paraId="0F566832" w14:textId="77777777" w:rsidR="00C1456E" w:rsidRPr="00C1456E" w:rsidRDefault="00C1456E" w:rsidP="00C1456E">
      <w:pPr>
        <w:pStyle w:val="Bibliography"/>
        <w:rPr>
          <w:rFonts w:ascii="Aptos"/>
          <w:color w:val="008080"/>
          <w:sz w:val="18"/>
          <w:lang w:val="en-GB"/>
        </w:rPr>
      </w:pPr>
      <w:r w:rsidRPr="00C1456E">
        <w:rPr>
          <w:rFonts w:ascii="Aptos"/>
          <w:color w:val="008080"/>
          <w:sz w:val="18"/>
          <w:lang w:val="en-GB"/>
        </w:rPr>
        <w:t>National Household Survey | FEMA.gov. (2023, December 22). https://www.fema.gov/about/openfema/data-sets/national-household-survey</w:t>
      </w:r>
    </w:p>
    <w:p w14:paraId="00E80209" w14:textId="77777777" w:rsidR="00C1456E" w:rsidRPr="00C1456E" w:rsidRDefault="00C1456E" w:rsidP="00C1456E">
      <w:pPr>
        <w:pStyle w:val="Bibliography"/>
        <w:rPr>
          <w:rFonts w:ascii="Aptos"/>
          <w:color w:val="008080"/>
          <w:sz w:val="18"/>
          <w:lang w:val="en-GB"/>
        </w:rPr>
      </w:pPr>
      <w:r w:rsidRPr="00C1456E">
        <w:rPr>
          <w:rFonts w:ascii="Aptos"/>
          <w:color w:val="008080"/>
          <w:sz w:val="18"/>
          <w:lang w:val="en-GB"/>
        </w:rPr>
        <w:t>Pasquier, U., Few, R., Goulden, M. C., Hooton, S., He, Y., &amp; Hiscock, K. M. (2020). “We can’t do it on our own!”—Integrating stakeholder and scientific knowledge of future flood risk to inform climate change adaptation planning in a coastal region. Environmental Science &amp; Policy, 103, 50–57. https://doi.org/10.1016/j.envsci.2019.10.016</w:t>
      </w:r>
    </w:p>
    <w:p w14:paraId="5FA2CBC4" w14:textId="77777777" w:rsidR="00C1456E" w:rsidRPr="00C1456E" w:rsidRDefault="00C1456E" w:rsidP="00C1456E">
      <w:pPr>
        <w:pStyle w:val="Bibliography"/>
        <w:rPr>
          <w:rFonts w:ascii="Aptos"/>
          <w:color w:val="008080"/>
          <w:sz w:val="18"/>
          <w:lang w:val="en-GB"/>
        </w:rPr>
      </w:pPr>
      <w:proofErr w:type="spellStart"/>
      <w:r w:rsidRPr="00C1456E">
        <w:rPr>
          <w:rFonts w:ascii="Aptos"/>
          <w:color w:val="008080"/>
          <w:sz w:val="18"/>
          <w:lang w:val="en-GB"/>
        </w:rPr>
        <w:t>Sauerborn</w:t>
      </w:r>
      <w:proofErr w:type="spellEnd"/>
      <w:r w:rsidRPr="00C1456E">
        <w:rPr>
          <w:rFonts w:ascii="Aptos"/>
          <w:color w:val="008080"/>
          <w:sz w:val="18"/>
          <w:lang w:val="en-GB"/>
        </w:rPr>
        <w:t>, R., &amp; Ebi, K. (2012). Climate change and natural disasters – integrating science and practice to protect health. Global Health Action, 5(1), 19295. https://doi.org/10.3402/gha.v5i0.19295</w:t>
      </w:r>
    </w:p>
    <w:p w14:paraId="036FF666" w14:textId="77777777" w:rsidR="00C1456E" w:rsidRPr="00C1456E" w:rsidRDefault="00C1456E" w:rsidP="00C1456E">
      <w:pPr>
        <w:pStyle w:val="Bibliography"/>
        <w:rPr>
          <w:rFonts w:ascii="Aptos"/>
          <w:color w:val="008080"/>
          <w:sz w:val="18"/>
          <w:lang w:val="en-GB"/>
        </w:rPr>
      </w:pPr>
      <w:r w:rsidRPr="00C1456E">
        <w:rPr>
          <w:rFonts w:ascii="Aptos"/>
          <w:color w:val="008080"/>
          <w:sz w:val="18"/>
          <w:lang w:val="en-GB"/>
        </w:rPr>
        <w:t>Smit, B., &amp; Wandel, J. (2006). Adaptation, adaptive capacity and vulnerability. Global Environmental Change, 16(3), 282–292. https://doi.org/10.1016/j.gloenvcha.2006.03.008</w:t>
      </w:r>
    </w:p>
    <w:p w14:paraId="794C5DF9" w14:textId="77777777" w:rsidR="00C1456E" w:rsidRPr="00C1456E" w:rsidRDefault="00C1456E" w:rsidP="00C1456E">
      <w:pPr>
        <w:pStyle w:val="Bibliography"/>
        <w:rPr>
          <w:rFonts w:ascii="Aptos"/>
          <w:color w:val="008080"/>
          <w:sz w:val="18"/>
          <w:lang w:val="en-GB"/>
        </w:rPr>
      </w:pPr>
      <w:proofErr w:type="spellStart"/>
      <w:r w:rsidRPr="00C1456E">
        <w:rPr>
          <w:rFonts w:ascii="Aptos"/>
          <w:color w:val="008080"/>
          <w:sz w:val="18"/>
          <w:lang w:val="en-GB"/>
        </w:rPr>
        <w:t>Storbjörk</w:t>
      </w:r>
      <w:proofErr w:type="spellEnd"/>
      <w:r w:rsidRPr="00C1456E">
        <w:rPr>
          <w:rFonts w:ascii="Aptos"/>
          <w:color w:val="008080"/>
          <w:sz w:val="18"/>
          <w:lang w:val="en-GB"/>
        </w:rPr>
        <w:t>, S. (2007). Governing Climate Adaptation in the Local Arena: Challenges of Risk Management and Planning in Sweden. Local Environment, 12(5), 457–469. https://doi.org/10.1080/13549830701656960</w:t>
      </w:r>
    </w:p>
    <w:p w14:paraId="01BE1F22" w14:textId="77777777" w:rsidR="00C1456E" w:rsidRPr="00C1456E" w:rsidRDefault="00C1456E" w:rsidP="00C1456E">
      <w:pPr>
        <w:pStyle w:val="Bibliography"/>
        <w:rPr>
          <w:rFonts w:ascii="Aptos"/>
          <w:color w:val="008080"/>
          <w:sz w:val="18"/>
          <w:lang w:val="en-GB"/>
        </w:rPr>
      </w:pPr>
      <w:proofErr w:type="spellStart"/>
      <w:r w:rsidRPr="00C1456E">
        <w:rPr>
          <w:rFonts w:ascii="Aptos"/>
          <w:color w:val="008080"/>
          <w:sz w:val="18"/>
          <w:lang w:val="en-GB"/>
        </w:rPr>
        <w:t>Veall</w:t>
      </w:r>
      <w:proofErr w:type="spellEnd"/>
      <w:r w:rsidRPr="00C1456E">
        <w:rPr>
          <w:rFonts w:ascii="Aptos"/>
          <w:color w:val="008080"/>
          <w:sz w:val="18"/>
          <w:lang w:val="en-GB"/>
        </w:rPr>
        <w:t>, M. R., &amp; Zimmermann, K. F. (1994). Evaluating Pseudo-R2’s for binary probit models. Quality &amp; Quantity, 28(2), 151–164. https://doi.org/10.1007/BF01102759</w:t>
      </w:r>
    </w:p>
    <w:p w14:paraId="75BD109F" w14:textId="77777777" w:rsidR="00C1456E" w:rsidRPr="00C1456E" w:rsidRDefault="00C1456E" w:rsidP="00C1456E">
      <w:pPr>
        <w:pStyle w:val="Bibliography"/>
        <w:rPr>
          <w:rFonts w:ascii="Aptos"/>
          <w:color w:val="008080"/>
          <w:sz w:val="18"/>
          <w:lang w:val="en-GB"/>
        </w:rPr>
      </w:pPr>
      <w:proofErr w:type="spellStart"/>
      <w:r w:rsidRPr="00C1456E">
        <w:rPr>
          <w:rFonts w:ascii="Aptos"/>
          <w:color w:val="008080"/>
          <w:sz w:val="18"/>
          <w:lang w:val="en-GB"/>
        </w:rPr>
        <w:lastRenderedPageBreak/>
        <w:t>Verschuuren</w:t>
      </w:r>
      <w:proofErr w:type="spellEnd"/>
      <w:r w:rsidRPr="00C1456E">
        <w:rPr>
          <w:rFonts w:ascii="Aptos"/>
          <w:color w:val="008080"/>
          <w:sz w:val="18"/>
          <w:lang w:val="en-GB"/>
        </w:rPr>
        <w:t>, J. (2022). In Research Handbook on Climate Change Adaptation Law, Chapter 1: Introduction to Climate Change Adaptation.</w:t>
      </w:r>
    </w:p>
    <w:p w14:paraId="7133A995" w14:textId="77777777" w:rsidR="00C1456E" w:rsidRPr="00C1456E" w:rsidRDefault="00C1456E" w:rsidP="00C1456E">
      <w:pPr>
        <w:pStyle w:val="Bibliography"/>
        <w:rPr>
          <w:rFonts w:ascii="Aptos"/>
          <w:color w:val="008080"/>
          <w:sz w:val="18"/>
          <w:lang w:val="en-GB"/>
        </w:rPr>
      </w:pPr>
      <w:r w:rsidRPr="00C1456E">
        <w:rPr>
          <w:rFonts w:ascii="Aptos"/>
          <w:color w:val="008080"/>
          <w:sz w:val="18"/>
          <w:lang w:val="en-GB"/>
        </w:rPr>
        <w:t>Wilby, R. L., &amp; Keenan, R. (2012). Adapting to flood risk under climate change. Progress in Physical Geography: Earth and Environment, 36(3), 348–378. https://doi.org/10.1177/0309133312438908</w:t>
      </w:r>
    </w:p>
    <w:p w14:paraId="65DC6C2D" w14:textId="525AD7B1" w:rsidR="0017240B" w:rsidRDefault="00C846E9" w:rsidP="00C846E9">
      <w:pPr>
        <w:pStyle w:val="Caption"/>
      </w:pPr>
      <w:r>
        <w:fldChar w:fldCharType="end"/>
      </w:r>
      <w:r>
        <w:t>: Logit results for cognitive determinants</w:t>
      </w:r>
    </w:p>
    <w:p w14:paraId="043A63D5" w14:textId="77777777" w:rsidR="0017240B" w:rsidRDefault="0017240B" w:rsidP="0017240B"/>
    <w:p w14:paraId="69BD80FE" w14:textId="77777777" w:rsidR="005E40B8" w:rsidRPr="0017240B" w:rsidRDefault="005E40B8" w:rsidP="0017240B"/>
    <w:p w14:paraId="61F60CD0" w14:textId="77777777" w:rsidR="00E65F72" w:rsidRDefault="00E65F72" w:rsidP="00E65F72"/>
    <w:tbl>
      <w:tblPr>
        <w:tblStyle w:val="TableGrid"/>
        <w:tblW w:w="0" w:type="auto"/>
        <w:tblLook w:val="04A0" w:firstRow="1" w:lastRow="0" w:firstColumn="1" w:lastColumn="0" w:noHBand="0" w:noVBand="1"/>
      </w:tblPr>
      <w:tblGrid>
        <w:gridCol w:w="4508"/>
        <w:gridCol w:w="4508"/>
      </w:tblGrid>
      <w:tr w:rsidR="00E65F72" w14:paraId="64C92332" w14:textId="77777777" w:rsidTr="00A24786">
        <w:tc>
          <w:tcPr>
            <w:tcW w:w="4508" w:type="dxa"/>
          </w:tcPr>
          <w:p w14:paraId="375661C7" w14:textId="77777777" w:rsidR="00E65F72" w:rsidRPr="001D1B24" w:rsidRDefault="00E65F72" w:rsidP="00A24786">
            <w:pPr>
              <w:rPr>
                <w:b/>
                <w:bCs/>
              </w:rPr>
            </w:pPr>
            <w:r w:rsidRPr="001D1B24">
              <w:rPr>
                <w:b/>
                <w:bCs/>
              </w:rPr>
              <w:t>Variable</w:t>
            </w:r>
          </w:p>
        </w:tc>
        <w:tc>
          <w:tcPr>
            <w:tcW w:w="4508" w:type="dxa"/>
          </w:tcPr>
          <w:p w14:paraId="07F1DD72" w14:textId="77777777" w:rsidR="00E65F72" w:rsidRPr="001D1B24" w:rsidRDefault="00E65F72" w:rsidP="00A24786">
            <w:pPr>
              <w:rPr>
                <w:b/>
                <w:bCs/>
              </w:rPr>
            </w:pPr>
            <w:r w:rsidRPr="001D1B24">
              <w:rPr>
                <w:b/>
                <w:bCs/>
              </w:rPr>
              <w:t xml:space="preserve">Description </w:t>
            </w:r>
          </w:p>
        </w:tc>
      </w:tr>
      <w:tr w:rsidR="00E65F72" w14:paraId="4CDD13E4" w14:textId="77777777" w:rsidTr="00A24786">
        <w:tc>
          <w:tcPr>
            <w:tcW w:w="4508" w:type="dxa"/>
          </w:tcPr>
          <w:p w14:paraId="13582BA1" w14:textId="77777777" w:rsidR="00E65F72" w:rsidRDefault="00E65F72" w:rsidP="00A24786">
            <w:proofErr w:type="spellStart"/>
            <w:r>
              <w:t>Cfld_prepactions_a</w:t>
            </w:r>
            <w:proofErr w:type="spellEnd"/>
          </w:p>
        </w:tc>
        <w:tc>
          <w:tcPr>
            <w:tcW w:w="4508" w:type="dxa"/>
          </w:tcPr>
          <w:p w14:paraId="388E79A2" w14:textId="77777777" w:rsidR="00E65F72" w:rsidRDefault="00E65F72" w:rsidP="00A24786">
            <w:r>
              <w:t>Assembled or updated supplies</w:t>
            </w:r>
          </w:p>
        </w:tc>
      </w:tr>
      <w:tr w:rsidR="00E65F72" w14:paraId="6D2C6B30" w14:textId="77777777" w:rsidTr="00A24786">
        <w:tc>
          <w:tcPr>
            <w:tcW w:w="4508" w:type="dxa"/>
          </w:tcPr>
          <w:p w14:paraId="5850FC13" w14:textId="77777777" w:rsidR="00E65F72" w:rsidRDefault="00E65F72" w:rsidP="00A24786">
            <w:proofErr w:type="spellStart"/>
            <w:r>
              <w:t>Cfld_prepactions_b</w:t>
            </w:r>
            <w:proofErr w:type="spellEnd"/>
          </w:p>
        </w:tc>
        <w:tc>
          <w:tcPr>
            <w:tcW w:w="4508" w:type="dxa"/>
          </w:tcPr>
          <w:p w14:paraId="35E35479" w14:textId="77777777" w:rsidR="00E65F72" w:rsidRDefault="00E65F72" w:rsidP="00A24786">
            <w:r>
              <w:t>Documented and insured property</w:t>
            </w:r>
          </w:p>
        </w:tc>
      </w:tr>
      <w:tr w:rsidR="00E65F72" w14:paraId="160FD2B3" w14:textId="77777777" w:rsidTr="00A24786">
        <w:tc>
          <w:tcPr>
            <w:tcW w:w="4508" w:type="dxa"/>
          </w:tcPr>
          <w:p w14:paraId="5C190A58" w14:textId="77777777" w:rsidR="00E65F72" w:rsidRDefault="00E65F72" w:rsidP="00A24786">
            <w:proofErr w:type="spellStart"/>
            <w:r>
              <w:t>Cfld_prepactions_c</w:t>
            </w:r>
            <w:proofErr w:type="spellEnd"/>
          </w:p>
        </w:tc>
        <w:tc>
          <w:tcPr>
            <w:tcW w:w="4508" w:type="dxa"/>
          </w:tcPr>
          <w:p w14:paraId="47AEC030" w14:textId="77777777" w:rsidR="00E65F72" w:rsidRDefault="00E65F72" w:rsidP="00A24786">
            <w:r>
              <w:t xml:space="preserve">Got involved in the community </w:t>
            </w:r>
          </w:p>
        </w:tc>
      </w:tr>
      <w:tr w:rsidR="00E65F72" w14:paraId="4153B010" w14:textId="77777777" w:rsidTr="00A24786">
        <w:tc>
          <w:tcPr>
            <w:tcW w:w="4508" w:type="dxa"/>
          </w:tcPr>
          <w:p w14:paraId="7812C7A9" w14:textId="77777777" w:rsidR="00E65F72" w:rsidRDefault="00E65F72" w:rsidP="00A24786">
            <w:proofErr w:type="spellStart"/>
            <w:r>
              <w:t>Cfld_prepactions_d</w:t>
            </w:r>
            <w:proofErr w:type="spellEnd"/>
          </w:p>
        </w:tc>
        <w:tc>
          <w:tcPr>
            <w:tcW w:w="4508" w:type="dxa"/>
          </w:tcPr>
          <w:p w14:paraId="038285CD" w14:textId="77777777" w:rsidR="00E65F72" w:rsidRDefault="00E65F72" w:rsidP="00A24786">
            <w:r>
              <w:t xml:space="preserve">Learned my evacuation routes </w:t>
            </w:r>
          </w:p>
        </w:tc>
      </w:tr>
      <w:tr w:rsidR="00E65F72" w14:paraId="7170E178" w14:textId="77777777" w:rsidTr="00A24786">
        <w:tc>
          <w:tcPr>
            <w:tcW w:w="4508" w:type="dxa"/>
          </w:tcPr>
          <w:p w14:paraId="42961E32" w14:textId="77777777" w:rsidR="00E65F72" w:rsidRDefault="00E65F72" w:rsidP="00A24786">
            <w:proofErr w:type="spellStart"/>
            <w:r>
              <w:t>Cfld_prepactions_e</w:t>
            </w:r>
            <w:proofErr w:type="spellEnd"/>
          </w:p>
        </w:tc>
        <w:tc>
          <w:tcPr>
            <w:tcW w:w="4508" w:type="dxa"/>
          </w:tcPr>
          <w:p w14:paraId="1411297A" w14:textId="77777777" w:rsidR="00E65F72" w:rsidRDefault="00E65F72" w:rsidP="00A24786">
            <w:proofErr w:type="gramStart"/>
            <w:r>
              <w:t>Made a plan</w:t>
            </w:r>
            <w:proofErr w:type="gramEnd"/>
          </w:p>
        </w:tc>
      </w:tr>
      <w:tr w:rsidR="00E65F72" w14:paraId="32D6B148" w14:textId="77777777" w:rsidTr="00A24786">
        <w:tc>
          <w:tcPr>
            <w:tcW w:w="4508" w:type="dxa"/>
          </w:tcPr>
          <w:p w14:paraId="1286A29F" w14:textId="77777777" w:rsidR="00E65F72" w:rsidRDefault="00E65F72" w:rsidP="00A24786">
            <w:proofErr w:type="spellStart"/>
            <w:r>
              <w:t>Cfld_prepactions_f</w:t>
            </w:r>
            <w:proofErr w:type="spellEnd"/>
          </w:p>
        </w:tc>
        <w:tc>
          <w:tcPr>
            <w:tcW w:w="4508" w:type="dxa"/>
          </w:tcPr>
          <w:p w14:paraId="52196223" w14:textId="77777777" w:rsidR="00E65F72" w:rsidRDefault="00E65F72" w:rsidP="00A24786">
            <w:r>
              <w:t xml:space="preserve">Made my home safer </w:t>
            </w:r>
          </w:p>
        </w:tc>
      </w:tr>
      <w:tr w:rsidR="00E65F72" w14:paraId="2AD654EE" w14:textId="77777777" w:rsidTr="00A24786">
        <w:tc>
          <w:tcPr>
            <w:tcW w:w="4508" w:type="dxa"/>
          </w:tcPr>
          <w:p w14:paraId="715BE574" w14:textId="77777777" w:rsidR="00E65F72" w:rsidRDefault="00E65F72" w:rsidP="00A24786">
            <w:proofErr w:type="spellStart"/>
            <w:r>
              <w:t>Cfld_prepactions_g</w:t>
            </w:r>
            <w:proofErr w:type="spellEnd"/>
          </w:p>
        </w:tc>
        <w:tc>
          <w:tcPr>
            <w:tcW w:w="4508" w:type="dxa"/>
          </w:tcPr>
          <w:p w14:paraId="6D7E8C39" w14:textId="77777777" w:rsidR="00E65F72" w:rsidRDefault="00E65F72" w:rsidP="00A24786">
            <w:r>
              <w:t xml:space="preserve">Planned with neighbors </w:t>
            </w:r>
          </w:p>
        </w:tc>
      </w:tr>
      <w:tr w:rsidR="00E65F72" w14:paraId="41897F61" w14:textId="77777777" w:rsidTr="00A24786">
        <w:tc>
          <w:tcPr>
            <w:tcW w:w="4508" w:type="dxa"/>
          </w:tcPr>
          <w:p w14:paraId="7B84E96D" w14:textId="77777777" w:rsidR="00E65F72" w:rsidRDefault="00E65F72" w:rsidP="00A24786">
            <w:proofErr w:type="spellStart"/>
            <w:r>
              <w:t>Cfld_prepactions_h</w:t>
            </w:r>
            <w:proofErr w:type="spellEnd"/>
          </w:p>
        </w:tc>
        <w:tc>
          <w:tcPr>
            <w:tcW w:w="4508" w:type="dxa"/>
          </w:tcPr>
          <w:p w14:paraId="34FBF8EE" w14:textId="77777777" w:rsidR="00E65F72" w:rsidRDefault="00E65F72" w:rsidP="00A24786">
            <w:r>
              <w:t xml:space="preserve">Practiced emergency drills or habits </w:t>
            </w:r>
          </w:p>
        </w:tc>
      </w:tr>
      <w:tr w:rsidR="00E65F72" w14:paraId="165F82D7" w14:textId="77777777" w:rsidTr="00A24786">
        <w:tc>
          <w:tcPr>
            <w:tcW w:w="4508" w:type="dxa"/>
          </w:tcPr>
          <w:p w14:paraId="52E87990" w14:textId="77777777" w:rsidR="00E65F72" w:rsidRDefault="00E65F72" w:rsidP="00A24786">
            <w:proofErr w:type="spellStart"/>
            <w:r>
              <w:t>Cfld_prepactions_i</w:t>
            </w:r>
            <w:proofErr w:type="spellEnd"/>
          </w:p>
        </w:tc>
        <w:tc>
          <w:tcPr>
            <w:tcW w:w="4508" w:type="dxa"/>
          </w:tcPr>
          <w:p w14:paraId="3B8C7489" w14:textId="77777777" w:rsidR="00E65F72" w:rsidRDefault="00E65F72" w:rsidP="00A24786">
            <w:r>
              <w:t xml:space="preserve">Safeguarded documents </w:t>
            </w:r>
          </w:p>
        </w:tc>
      </w:tr>
      <w:tr w:rsidR="00E65F72" w14:paraId="5BF92025" w14:textId="77777777" w:rsidTr="00A24786">
        <w:tc>
          <w:tcPr>
            <w:tcW w:w="4508" w:type="dxa"/>
          </w:tcPr>
          <w:p w14:paraId="692B2820" w14:textId="77777777" w:rsidR="00E65F72" w:rsidRDefault="00E65F72" w:rsidP="00A24786">
            <w:proofErr w:type="spellStart"/>
            <w:r>
              <w:t>Cfld_prepactions_j</w:t>
            </w:r>
            <w:proofErr w:type="spellEnd"/>
          </w:p>
        </w:tc>
        <w:tc>
          <w:tcPr>
            <w:tcW w:w="4508" w:type="dxa"/>
          </w:tcPr>
          <w:p w14:paraId="7C678120" w14:textId="77777777" w:rsidR="00557157" w:rsidRDefault="00E65F72" w:rsidP="00A24786">
            <w:r>
              <w:t xml:space="preserve">Saved </w:t>
            </w:r>
          </w:p>
          <w:p w14:paraId="37AF5268" w14:textId="58317522" w:rsidR="00E65F72" w:rsidRDefault="00E65F72" w:rsidP="00A24786">
            <w:r>
              <w:t xml:space="preserve">for a rainy day </w:t>
            </w:r>
          </w:p>
        </w:tc>
      </w:tr>
      <w:tr w:rsidR="00E65F72" w14:paraId="67C20ED6" w14:textId="77777777" w:rsidTr="00A24786">
        <w:tc>
          <w:tcPr>
            <w:tcW w:w="4508" w:type="dxa"/>
          </w:tcPr>
          <w:p w14:paraId="7F530667" w14:textId="77777777" w:rsidR="00E65F72" w:rsidRDefault="00E65F72" w:rsidP="00A24786">
            <w:proofErr w:type="spellStart"/>
            <w:r>
              <w:t>Cfld_prepactions_k</w:t>
            </w:r>
            <w:proofErr w:type="spellEnd"/>
          </w:p>
        </w:tc>
        <w:tc>
          <w:tcPr>
            <w:tcW w:w="4508" w:type="dxa"/>
          </w:tcPr>
          <w:p w14:paraId="2F298AE4" w14:textId="77777777" w:rsidR="00E65F72" w:rsidRDefault="00E65F72" w:rsidP="00A24786">
            <w:r>
              <w:t xml:space="preserve">Signed up for alerts and warnings </w:t>
            </w:r>
          </w:p>
        </w:tc>
      </w:tr>
      <w:tr w:rsidR="00E65F72" w14:paraId="5552F476" w14:textId="77777777" w:rsidTr="00A24786">
        <w:tc>
          <w:tcPr>
            <w:tcW w:w="4508" w:type="dxa"/>
          </w:tcPr>
          <w:p w14:paraId="1AC028EC" w14:textId="77777777" w:rsidR="00E65F72" w:rsidRDefault="00E65F72" w:rsidP="00A24786">
            <w:proofErr w:type="spellStart"/>
            <w:r>
              <w:t>Cfld_prepactions_l</w:t>
            </w:r>
            <w:proofErr w:type="spellEnd"/>
          </w:p>
        </w:tc>
        <w:tc>
          <w:tcPr>
            <w:tcW w:w="4508" w:type="dxa"/>
          </w:tcPr>
          <w:p w14:paraId="58EE9EE7" w14:textId="77777777" w:rsidR="00E65F72" w:rsidRDefault="00E65F72" w:rsidP="00A24786">
            <w:r>
              <w:t xml:space="preserve">Tested family communication plan </w:t>
            </w:r>
          </w:p>
        </w:tc>
      </w:tr>
      <w:tr w:rsidR="00E65F72" w14:paraId="04440DD5" w14:textId="77777777" w:rsidTr="00A24786">
        <w:tc>
          <w:tcPr>
            <w:tcW w:w="4508" w:type="dxa"/>
          </w:tcPr>
          <w:p w14:paraId="6A7925F6" w14:textId="77777777" w:rsidR="00E65F72" w:rsidRDefault="00E65F72" w:rsidP="00A24786">
            <w:proofErr w:type="spellStart"/>
            <w:r>
              <w:t>Cfld_prepactions_m</w:t>
            </w:r>
            <w:proofErr w:type="spellEnd"/>
          </w:p>
        </w:tc>
        <w:tc>
          <w:tcPr>
            <w:tcW w:w="4508" w:type="dxa"/>
          </w:tcPr>
          <w:p w14:paraId="44B23911" w14:textId="77777777" w:rsidR="00E65F72" w:rsidRDefault="00E65F72" w:rsidP="00A24786">
            <w:r>
              <w:t>None of the above (exclusive)</w:t>
            </w:r>
          </w:p>
        </w:tc>
      </w:tr>
      <w:tr w:rsidR="00E65F72" w14:paraId="5071BEFE" w14:textId="77777777" w:rsidTr="00A24786">
        <w:tc>
          <w:tcPr>
            <w:tcW w:w="4508" w:type="dxa"/>
          </w:tcPr>
          <w:p w14:paraId="41D350E3" w14:textId="77777777" w:rsidR="00E65F72" w:rsidRDefault="00E65F72" w:rsidP="00A24786">
            <w:proofErr w:type="spellStart"/>
            <w:r>
              <w:t>Cfld_prepactions_n</w:t>
            </w:r>
            <w:proofErr w:type="spellEnd"/>
          </w:p>
        </w:tc>
        <w:tc>
          <w:tcPr>
            <w:tcW w:w="4508" w:type="dxa"/>
          </w:tcPr>
          <w:p w14:paraId="62D2EA42" w14:textId="77777777" w:rsidR="00E65F72" w:rsidRDefault="00E65F72" w:rsidP="00A24786">
            <w:r>
              <w:t xml:space="preserve">Don’t know (exclusive) </w:t>
            </w:r>
          </w:p>
        </w:tc>
      </w:tr>
    </w:tbl>
    <w:p w14:paraId="0DF6A750" w14:textId="260A7E58" w:rsidR="00804430" w:rsidRDefault="00E65F72" w:rsidP="00804430">
      <w:pPr>
        <w:pStyle w:val="Caption"/>
      </w:pPr>
      <w:r>
        <w:t>Table 3:</w:t>
      </w:r>
      <w:r w:rsidRPr="00E65F72">
        <w:t xml:space="preserve"> </w:t>
      </w:r>
      <w:r>
        <w:t>Variables of adaptation measures and their corresponding description in the survey</w:t>
      </w:r>
    </w:p>
    <w:p w14:paraId="570806C3" w14:textId="77777777" w:rsidR="00FD43B1" w:rsidRDefault="00FD43B1" w:rsidP="00632EA6">
      <w:pPr>
        <w:rPr>
          <w:b/>
          <w:bCs/>
        </w:rPr>
      </w:pPr>
    </w:p>
    <w:p w14:paraId="1AE2FFAD" w14:textId="77777777" w:rsidR="00D20E54" w:rsidRDefault="00D20E54" w:rsidP="00632EA6">
      <w:pPr>
        <w:rPr>
          <w:b/>
          <w:bCs/>
        </w:rPr>
      </w:pPr>
    </w:p>
    <w:p w14:paraId="3ECFB588" w14:textId="77777777" w:rsidR="009A4F6A" w:rsidRDefault="009A4F6A" w:rsidP="00632EA6">
      <w:pPr>
        <w:rPr>
          <w:b/>
          <w:bCs/>
        </w:rPr>
      </w:pPr>
    </w:p>
    <w:p w14:paraId="18871B3C" w14:textId="77777777" w:rsidR="009A4F6A" w:rsidRDefault="009A4F6A" w:rsidP="00632EA6">
      <w:pPr>
        <w:rPr>
          <w:b/>
          <w:bCs/>
        </w:rPr>
      </w:pPr>
    </w:p>
    <w:p w14:paraId="5338ACF5" w14:textId="77777777" w:rsidR="009A4F6A" w:rsidRDefault="009A4F6A" w:rsidP="00632EA6">
      <w:pPr>
        <w:rPr>
          <w:b/>
          <w:bCs/>
        </w:rPr>
      </w:pPr>
    </w:p>
    <w:p w14:paraId="5DA7227F" w14:textId="77777777" w:rsidR="009A4F6A" w:rsidRDefault="009A4F6A" w:rsidP="00632EA6">
      <w:pPr>
        <w:rPr>
          <w:b/>
          <w:bCs/>
        </w:rPr>
      </w:pPr>
    </w:p>
    <w:p w14:paraId="7DCB1D1B" w14:textId="35F38F34" w:rsidR="009A4F6A" w:rsidRDefault="009A4F6A" w:rsidP="009A4F6A">
      <w:pPr>
        <w:pStyle w:val="Heading2"/>
      </w:pPr>
      <w:bookmarkStart w:id="63" w:name="_Toc197002985"/>
      <w:r>
        <w:t>Appendix 5.2</w:t>
      </w:r>
      <w:bookmarkEnd w:id="63"/>
    </w:p>
    <w:p w14:paraId="3568A844" w14:textId="77777777" w:rsidR="009A4F6A" w:rsidRDefault="009A4F6A" w:rsidP="009A4F6A"/>
    <w:p w14:paraId="65FCF506" w14:textId="3E759B04" w:rsidR="009A4F6A" w:rsidRDefault="009A4F6A" w:rsidP="009A4F6A">
      <w:r>
        <w:rPr>
          <w:noProof/>
        </w:rPr>
        <w:lastRenderedPageBreak/>
        <w:drawing>
          <wp:inline distT="0" distB="0" distL="0" distR="0" wp14:anchorId="40C8B75A" wp14:editId="6214AC28">
            <wp:extent cx="5731510" cy="2865755"/>
            <wp:effectExtent l="0" t="0" r="0" b="4445"/>
            <wp:docPr id="1668045557" name="Picture 3" descr="A graph of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45557" name="Picture 3" descr="A graph of different number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1D9CB5C" w14:textId="6CA6D7E9" w:rsidR="009A4F6A" w:rsidRPr="009A4F6A" w:rsidRDefault="009A4F6A" w:rsidP="009A4F6A">
      <w:pPr>
        <w:pStyle w:val="Caption"/>
      </w:pPr>
      <w:r>
        <w:t xml:space="preserve">Figure </w:t>
      </w:r>
      <w:r>
        <w:fldChar w:fldCharType="begin"/>
      </w:r>
      <w:r>
        <w:instrText xml:space="preserve"> SEQ Figure \* ARABIC </w:instrText>
      </w:r>
      <w:r>
        <w:fldChar w:fldCharType="separate"/>
      </w:r>
      <w:r w:rsidR="004E5AE3">
        <w:rPr>
          <w:noProof/>
        </w:rPr>
        <w:t>11</w:t>
      </w:r>
      <w:r>
        <w:fldChar w:fldCharType="end"/>
      </w:r>
      <w:r>
        <w:t>: Distribution of socioeconomic determinants</w:t>
      </w:r>
    </w:p>
    <w:p w14:paraId="5456A0EC" w14:textId="77777777" w:rsidR="009A4F6A" w:rsidRDefault="009A4F6A" w:rsidP="00632EA6">
      <w:pPr>
        <w:rPr>
          <w:b/>
          <w:bCs/>
        </w:rPr>
      </w:pPr>
    </w:p>
    <w:p w14:paraId="2955A232" w14:textId="77777777" w:rsidR="00D20E54" w:rsidRDefault="00D20E54" w:rsidP="00632EA6">
      <w:pPr>
        <w:rPr>
          <w:b/>
          <w:bCs/>
        </w:rPr>
      </w:pPr>
    </w:p>
    <w:p w14:paraId="0A00147D" w14:textId="5BC30FD2" w:rsidR="003C0742" w:rsidRDefault="003C0742" w:rsidP="00632EA6">
      <w:pPr>
        <w:rPr>
          <w:b/>
          <w:bCs/>
        </w:rPr>
      </w:pPr>
      <w:r>
        <w:rPr>
          <w:b/>
          <w:bCs/>
          <w:noProof/>
        </w:rPr>
        <w:drawing>
          <wp:inline distT="0" distB="0" distL="0" distR="0" wp14:anchorId="127CECD5" wp14:editId="69463F95">
            <wp:extent cx="5731510" cy="1910715"/>
            <wp:effectExtent l="0" t="0" r="0" b="0"/>
            <wp:docPr id="189520152" name="Picture 3" descr="A graph of different types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0152" name="Picture 3" descr="A graph of different types of object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5090D221" w14:textId="5391F9F6" w:rsidR="003C0742" w:rsidRPr="003C0742" w:rsidRDefault="003C0742" w:rsidP="003C0742">
      <w:pPr>
        <w:pStyle w:val="Caption"/>
      </w:pPr>
      <w:bookmarkStart w:id="64" w:name="_Toc195623941"/>
      <w:commentRangeStart w:id="65"/>
      <w:r>
        <w:t xml:space="preserve">Figure </w:t>
      </w:r>
      <w:r>
        <w:fldChar w:fldCharType="begin"/>
      </w:r>
      <w:r>
        <w:instrText xml:space="preserve"> SEQ Figure \* ARABIC </w:instrText>
      </w:r>
      <w:r>
        <w:fldChar w:fldCharType="separate"/>
      </w:r>
      <w:r w:rsidR="004E5AE3">
        <w:rPr>
          <w:noProof/>
        </w:rPr>
        <w:t>12</w:t>
      </w:r>
      <w:r>
        <w:fldChar w:fldCharType="end"/>
      </w:r>
      <w:r>
        <w:t>:distribution of adaptation measures for large clean dat</w:t>
      </w:r>
      <w:r>
        <w:rPr>
          <w:noProof/>
        </w:rPr>
        <w:t>aset</w:t>
      </w:r>
      <w:commentRangeEnd w:id="65"/>
      <w:r w:rsidR="007B1FAA">
        <w:rPr>
          <w:rStyle w:val="CommentReference"/>
          <w:i w:val="0"/>
          <w:iCs w:val="0"/>
          <w:color w:val="auto"/>
        </w:rPr>
        <w:commentReference w:id="65"/>
      </w:r>
      <w:bookmarkEnd w:id="64"/>
    </w:p>
    <w:p w14:paraId="3D9E17B0" w14:textId="77777777" w:rsidR="003C0742" w:rsidRDefault="003C0742" w:rsidP="003C0742">
      <w:pPr>
        <w:keepNext/>
      </w:pPr>
      <w:r>
        <w:rPr>
          <w:b/>
          <w:bCs/>
          <w:noProof/>
        </w:rPr>
        <w:drawing>
          <wp:inline distT="0" distB="0" distL="0" distR="0" wp14:anchorId="3A6E5852" wp14:editId="31A6DBAD">
            <wp:extent cx="5731510" cy="1910715"/>
            <wp:effectExtent l="0" t="0" r="0" b="0"/>
            <wp:docPr id="890692169" name="Picture 4" descr="A graph of different types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92169" name="Picture 4" descr="A graph of different types of object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CAE37B4" w14:textId="16EE04C0" w:rsidR="00D20E54" w:rsidRDefault="003C0742" w:rsidP="003C0742">
      <w:pPr>
        <w:pStyle w:val="Caption"/>
      </w:pPr>
      <w:bookmarkStart w:id="66" w:name="_Toc195623942"/>
      <w:r>
        <w:t xml:space="preserve">Figure </w:t>
      </w:r>
      <w:r>
        <w:fldChar w:fldCharType="begin"/>
      </w:r>
      <w:r>
        <w:instrText xml:space="preserve"> SEQ Figure \* ARABIC </w:instrText>
      </w:r>
      <w:r>
        <w:fldChar w:fldCharType="separate"/>
      </w:r>
      <w:r w:rsidR="004E5AE3">
        <w:rPr>
          <w:noProof/>
        </w:rPr>
        <w:t>13</w:t>
      </w:r>
      <w:r>
        <w:fldChar w:fldCharType="end"/>
      </w:r>
      <w:r w:rsidRPr="006B7959">
        <w:t xml:space="preserve">:distribution of adaptation measures for </w:t>
      </w:r>
      <w:r>
        <w:t>small</w:t>
      </w:r>
      <w:r w:rsidRPr="006B7959">
        <w:t xml:space="preserve"> clean dataset</w:t>
      </w:r>
      <w:bookmarkEnd w:id="66"/>
    </w:p>
    <w:p w14:paraId="061A5621" w14:textId="77777777" w:rsidR="00557157" w:rsidRPr="00557157" w:rsidRDefault="00557157" w:rsidP="00557157"/>
    <w:p w14:paraId="68D11B02" w14:textId="7637EF47" w:rsidR="00557157" w:rsidRDefault="007B1FAA" w:rsidP="00557157">
      <w:r>
        <w:rPr>
          <w:noProof/>
        </w:rPr>
        <w:lastRenderedPageBreak/>
        <w:drawing>
          <wp:inline distT="0" distB="0" distL="0" distR="0" wp14:anchorId="5AE3678F" wp14:editId="71FD63B8">
            <wp:extent cx="5731510" cy="2704465"/>
            <wp:effectExtent l="0" t="0" r="0" b="635"/>
            <wp:docPr id="1663748573" name="Picture 1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48573" name="Picture 12" descr="A graph of different colored bar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379E8B56" w14:textId="28AFC1FE" w:rsidR="00557157" w:rsidRDefault="00557157" w:rsidP="00557157">
      <w:pPr>
        <w:pStyle w:val="Caption"/>
      </w:pPr>
      <w:bookmarkStart w:id="67" w:name="_Toc195623943"/>
      <w:r>
        <w:t xml:space="preserve">Figure </w:t>
      </w:r>
      <w:r>
        <w:fldChar w:fldCharType="begin"/>
      </w:r>
      <w:r>
        <w:instrText xml:space="preserve"> SEQ Figure \* ARABIC </w:instrText>
      </w:r>
      <w:r>
        <w:fldChar w:fldCharType="separate"/>
      </w:r>
      <w:r w:rsidR="004E5AE3">
        <w:rPr>
          <w:noProof/>
        </w:rPr>
        <w:t>14</w:t>
      </w:r>
      <w:r>
        <w:fldChar w:fldCharType="end"/>
      </w:r>
      <w:r>
        <w:t>: Distribution of adaptations per region for large clean dataset</w:t>
      </w:r>
      <w:bookmarkEnd w:id="67"/>
    </w:p>
    <w:p w14:paraId="776D242A" w14:textId="77777777" w:rsidR="00557157" w:rsidRDefault="00557157" w:rsidP="00557157"/>
    <w:p w14:paraId="3A240D94" w14:textId="77777777" w:rsidR="0069588F" w:rsidRDefault="007B1FAA" w:rsidP="00557157">
      <w:pPr>
        <w:pStyle w:val="Caption"/>
      </w:pPr>
      <w:r>
        <w:rPr>
          <w:noProof/>
        </w:rPr>
        <w:drawing>
          <wp:inline distT="0" distB="0" distL="0" distR="0" wp14:anchorId="511C57C6" wp14:editId="27667C65">
            <wp:extent cx="5731510" cy="2704465"/>
            <wp:effectExtent l="0" t="0" r="0" b="635"/>
            <wp:docPr id="669835459" name="Picture 10"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35459" name="Picture 10" descr="A graph of different colored bar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004BFD47" w14:textId="131C986C" w:rsidR="00557157" w:rsidRDefault="00557157" w:rsidP="00557157">
      <w:pPr>
        <w:pStyle w:val="Caption"/>
      </w:pPr>
      <w:bookmarkStart w:id="68" w:name="_Toc195623944"/>
      <w:r>
        <w:t xml:space="preserve">Figure </w:t>
      </w:r>
      <w:r>
        <w:fldChar w:fldCharType="begin"/>
      </w:r>
      <w:r>
        <w:instrText xml:space="preserve"> SEQ Figure \* ARABIC </w:instrText>
      </w:r>
      <w:r>
        <w:fldChar w:fldCharType="separate"/>
      </w:r>
      <w:r w:rsidR="004E5AE3">
        <w:rPr>
          <w:noProof/>
        </w:rPr>
        <w:t>15</w:t>
      </w:r>
      <w:r>
        <w:fldChar w:fldCharType="end"/>
      </w:r>
      <w:r>
        <w:t>: Distribution of adaptations per region for small clean dataset</w:t>
      </w:r>
      <w:bookmarkEnd w:id="68"/>
    </w:p>
    <w:p w14:paraId="09B904F1" w14:textId="77777777" w:rsidR="00557157" w:rsidRDefault="00557157" w:rsidP="00557157"/>
    <w:p w14:paraId="6FD17D2E" w14:textId="279C6069" w:rsidR="00557157" w:rsidRDefault="007B1FAA" w:rsidP="00557157">
      <w:r>
        <w:rPr>
          <w:noProof/>
        </w:rPr>
        <w:lastRenderedPageBreak/>
        <w:drawing>
          <wp:inline distT="0" distB="0" distL="0" distR="0" wp14:anchorId="352B5517" wp14:editId="4DDE7B44">
            <wp:extent cx="3852809" cy="3503436"/>
            <wp:effectExtent l="0" t="0" r="0" b="1905"/>
            <wp:docPr id="13573967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96769" name="Picture 1357396769"/>
                    <pic:cNvPicPr/>
                  </pic:nvPicPr>
                  <pic:blipFill>
                    <a:blip r:embed="rId30">
                      <a:extLst>
                        <a:ext uri="{28A0092B-C50C-407E-A947-70E740481C1C}">
                          <a14:useLocalDpi xmlns:a14="http://schemas.microsoft.com/office/drawing/2010/main" val="0"/>
                        </a:ext>
                      </a:extLst>
                    </a:blip>
                    <a:stretch>
                      <a:fillRect/>
                    </a:stretch>
                  </pic:blipFill>
                  <pic:spPr>
                    <a:xfrm>
                      <a:off x="0" y="0"/>
                      <a:ext cx="3892947" cy="3539934"/>
                    </a:xfrm>
                    <a:prstGeom prst="rect">
                      <a:avLst/>
                    </a:prstGeom>
                  </pic:spPr>
                </pic:pic>
              </a:graphicData>
            </a:graphic>
          </wp:inline>
        </w:drawing>
      </w:r>
    </w:p>
    <w:p w14:paraId="39031861" w14:textId="7B63F94D" w:rsidR="00557157" w:rsidRDefault="00557157" w:rsidP="00557157">
      <w:pPr>
        <w:pStyle w:val="Caption"/>
      </w:pPr>
      <w:bookmarkStart w:id="69" w:name="_Toc195623945"/>
      <w:r>
        <w:t xml:space="preserve">Figure </w:t>
      </w:r>
      <w:r>
        <w:fldChar w:fldCharType="begin"/>
      </w:r>
      <w:r>
        <w:instrText xml:space="preserve"> SEQ Figure \* ARABIC </w:instrText>
      </w:r>
      <w:r>
        <w:fldChar w:fldCharType="separate"/>
      </w:r>
      <w:r w:rsidR="004E5AE3">
        <w:rPr>
          <w:noProof/>
        </w:rPr>
        <w:t>16</w:t>
      </w:r>
      <w:r>
        <w:fldChar w:fldCharType="end"/>
      </w:r>
      <w:r>
        <w:t>: share of missing observations per variable</w:t>
      </w:r>
      <w:bookmarkEnd w:id="69"/>
    </w:p>
    <w:p w14:paraId="59809980" w14:textId="77777777" w:rsidR="007B1FAA" w:rsidRDefault="007B1FAA" w:rsidP="007B1FAA"/>
    <w:p w14:paraId="1826FE42" w14:textId="113661EA" w:rsidR="007B1FAA" w:rsidRDefault="007B1FAA" w:rsidP="007B1FAA">
      <w:r>
        <w:rPr>
          <w:noProof/>
        </w:rPr>
        <w:drawing>
          <wp:inline distT="0" distB="0" distL="0" distR="0" wp14:anchorId="6E571A35" wp14:editId="08CEDC47">
            <wp:extent cx="5835344" cy="3156373"/>
            <wp:effectExtent l="0" t="0" r="0" b="6350"/>
            <wp:docPr id="7826881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88166" name="Picture 782688166"/>
                    <pic:cNvPicPr/>
                  </pic:nvPicPr>
                  <pic:blipFill rotWithShape="1">
                    <a:blip r:embed="rId31">
                      <a:extLst>
                        <a:ext uri="{28A0092B-C50C-407E-A947-70E740481C1C}">
                          <a14:useLocalDpi xmlns:a14="http://schemas.microsoft.com/office/drawing/2010/main" val="0"/>
                        </a:ext>
                      </a:extLst>
                    </a:blip>
                    <a:srcRect l="11820" t="29545" r="9578" b="27938"/>
                    <a:stretch/>
                  </pic:blipFill>
                  <pic:spPr bwMode="auto">
                    <a:xfrm>
                      <a:off x="0" y="0"/>
                      <a:ext cx="5920885" cy="3202643"/>
                    </a:xfrm>
                    <a:prstGeom prst="rect">
                      <a:avLst/>
                    </a:prstGeom>
                    <a:ln>
                      <a:noFill/>
                    </a:ln>
                    <a:extLst>
                      <a:ext uri="{53640926-AAD7-44D8-BBD7-CCE9431645EC}">
                        <a14:shadowObscured xmlns:a14="http://schemas.microsoft.com/office/drawing/2010/main"/>
                      </a:ext>
                    </a:extLst>
                  </pic:spPr>
                </pic:pic>
              </a:graphicData>
            </a:graphic>
          </wp:inline>
        </w:drawing>
      </w:r>
    </w:p>
    <w:p w14:paraId="3A25431C" w14:textId="77E6B0FF" w:rsidR="007B1FAA" w:rsidRDefault="007B1FAA" w:rsidP="007B1FAA">
      <w:pPr>
        <w:pStyle w:val="Caption"/>
      </w:pPr>
      <w:bookmarkStart w:id="70" w:name="_Toc195623946"/>
      <w:r>
        <w:t xml:space="preserve">Figure </w:t>
      </w:r>
      <w:r>
        <w:fldChar w:fldCharType="begin"/>
      </w:r>
      <w:r>
        <w:instrText xml:space="preserve"> SEQ Figure \* ARABIC </w:instrText>
      </w:r>
      <w:r>
        <w:fldChar w:fldCharType="separate"/>
      </w:r>
      <w:r w:rsidR="004E5AE3">
        <w:rPr>
          <w:noProof/>
        </w:rPr>
        <w:t>17</w:t>
      </w:r>
      <w:r>
        <w:fldChar w:fldCharType="end"/>
      </w:r>
      <w:r>
        <w:t>: Spatial distribution of observations</w:t>
      </w:r>
      <w:bookmarkEnd w:id="70"/>
    </w:p>
    <w:p w14:paraId="008D8FED" w14:textId="77777777" w:rsidR="00953EF8" w:rsidRDefault="00953EF8" w:rsidP="00953EF8"/>
    <w:p w14:paraId="5CD021E5" w14:textId="461B3F76" w:rsidR="000856C9" w:rsidRDefault="000856C9" w:rsidP="00953EF8">
      <w:r>
        <w:t>&lt;</w:t>
      </w:r>
      <w:proofErr w:type="spellStart"/>
      <w:r>
        <w:t>EDA_n</w:t>
      </w:r>
      <w:proofErr w:type="spellEnd"/>
      <w:r>
        <w:t xml:space="preserve"> or </w:t>
      </w:r>
      <w:proofErr w:type="spellStart"/>
      <w:r>
        <w:t>EDA_</w:t>
      </w:r>
      <w:proofErr w:type="gramStart"/>
      <w:r>
        <w:t>k?I</w:t>
      </w:r>
      <w:proofErr w:type="spellEnd"/>
      <w:proofErr w:type="gramEnd"/>
      <w:r>
        <w:t xml:space="preserve"> think we can report both here&gt;</w:t>
      </w:r>
    </w:p>
    <w:p w14:paraId="44E56DF5" w14:textId="0C179A95" w:rsidR="00953EF8" w:rsidRDefault="0069588F" w:rsidP="00953EF8">
      <w:r>
        <w:rPr>
          <w:noProof/>
        </w:rPr>
        <w:lastRenderedPageBreak/>
        <w:drawing>
          <wp:inline distT="0" distB="0" distL="0" distR="0" wp14:anchorId="0091FF9A" wp14:editId="1429B093">
            <wp:extent cx="5181600" cy="4305300"/>
            <wp:effectExtent l="0" t="0" r="0" b="0"/>
            <wp:docPr id="1146177680" name="Picture 1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77680" name="Picture 16" descr="A screenshot of a graph&#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81600" cy="4305300"/>
                    </a:xfrm>
                    <a:prstGeom prst="rect">
                      <a:avLst/>
                    </a:prstGeom>
                  </pic:spPr>
                </pic:pic>
              </a:graphicData>
            </a:graphic>
          </wp:inline>
        </w:drawing>
      </w:r>
    </w:p>
    <w:p w14:paraId="23FEF715" w14:textId="6E1DF6A0" w:rsidR="00953EF8" w:rsidRDefault="0069588F" w:rsidP="0069588F">
      <w:pPr>
        <w:pStyle w:val="Caption"/>
        <w:rPr>
          <w:noProof/>
        </w:rPr>
      </w:pPr>
      <w:bookmarkStart w:id="71" w:name="_Toc195623947"/>
      <w:r>
        <w:t xml:space="preserve">Figure </w:t>
      </w:r>
      <w:r>
        <w:fldChar w:fldCharType="begin"/>
      </w:r>
      <w:r>
        <w:instrText xml:space="preserve"> SEQ Figure \* ARABIC </w:instrText>
      </w:r>
      <w:r>
        <w:fldChar w:fldCharType="separate"/>
      </w:r>
      <w:r w:rsidR="004E5AE3">
        <w:rPr>
          <w:noProof/>
        </w:rPr>
        <w:t>18</w:t>
      </w:r>
      <w:r>
        <w:fldChar w:fldCharType="end"/>
      </w:r>
      <w:r>
        <w:t xml:space="preserve">: Spearman Rank correlation </w:t>
      </w:r>
      <w:r>
        <w:rPr>
          <w:noProof/>
        </w:rPr>
        <w:t>of determinants</w:t>
      </w:r>
      <w:bookmarkEnd w:id="71"/>
    </w:p>
    <w:p w14:paraId="2A6EFACB" w14:textId="17599A36" w:rsidR="0094277E" w:rsidRDefault="0094277E" w:rsidP="0094277E">
      <w:r>
        <w:rPr>
          <w:noProof/>
        </w:rPr>
        <w:lastRenderedPageBreak/>
        <w:drawing>
          <wp:inline distT="0" distB="0" distL="0" distR="0" wp14:anchorId="637DC901" wp14:editId="2A475D15">
            <wp:extent cx="5524500" cy="4546600"/>
            <wp:effectExtent l="0" t="0" r="0" b="0"/>
            <wp:docPr id="1386346070" name="Picture 1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6070" name="Picture 17" descr="A screenshot of a graph&#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24500" cy="4546600"/>
                    </a:xfrm>
                    <a:prstGeom prst="rect">
                      <a:avLst/>
                    </a:prstGeom>
                  </pic:spPr>
                </pic:pic>
              </a:graphicData>
            </a:graphic>
          </wp:inline>
        </w:drawing>
      </w:r>
    </w:p>
    <w:p w14:paraId="282D30F0" w14:textId="41CC80C1" w:rsidR="0094277E" w:rsidRDefault="0094277E" w:rsidP="0094277E">
      <w:pPr>
        <w:pStyle w:val="Caption"/>
      </w:pPr>
      <w:bookmarkStart w:id="72" w:name="_Toc195623948"/>
      <w:r>
        <w:t xml:space="preserve">Figure </w:t>
      </w:r>
      <w:r>
        <w:fldChar w:fldCharType="begin"/>
      </w:r>
      <w:r>
        <w:instrText xml:space="preserve"> SEQ Figure \* ARABIC </w:instrText>
      </w:r>
      <w:r>
        <w:fldChar w:fldCharType="separate"/>
      </w:r>
      <w:r w:rsidR="004E5AE3">
        <w:rPr>
          <w:noProof/>
        </w:rPr>
        <w:t>19</w:t>
      </w:r>
      <w:r>
        <w:fldChar w:fldCharType="end"/>
      </w:r>
      <w:r>
        <w:t>: Spearman rank correlation of socioeconomic determinants</w:t>
      </w:r>
      <w:bookmarkEnd w:id="72"/>
    </w:p>
    <w:p w14:paraId="4D4EA985" w14:textId="77777777" w:rsidR="0014612D" w:rsidRDefault="0014612D" w:rsidP="0014612D"/>
    <w:p w14:paraId="5BF4BEF6" w14:textId="57DB4C39" w:rsidR="009A4F6A" w:rsidRDefault="009A4F6A" w:rsidP="009A4F6A">
      <w:pPr>
        <w:pStyle w:val="Heading2"/>
      </w:pPr>
      <w:bookmarkStart w:id="73" w:name="_Toc197002986"/>
      <w:r>
        <w:t>Appendix 6</w:t>
      </w:r>
      <w:bookmarkEnd w:id="73"/>
    </w:p>
    <w:p w14:paraId="2F1975E1" w14:textId="77777777" w:rsidR="0014612D" w:rsidRDefault="0014612D" w:rsidP="0014612D"/>
    <w:p w14:paraId="79FBD230" w14:textId="77777777" w:rsidR="0014612D" w:rsidRDefault="0014612D" w:rsidP="0014612D">
      <w:r>
        <w:t>&lt;</w:t>
      </w:r>
      <w:commentRangeStart w:id="74"/>
      <w:r>
        <w:t>univariate models BIC</w:t>
      </w:r>
      <w:commentRangeEnd w:id="74"/>
      <w:r>
        <w:rPr>
          <w:rStyle w:val="CommentReference"/>
        </w:rPr>
        <w:commentReference w:id="74"/>
      </w:r>
      <w:r>
        <w:t>&gt;</w:t>
      </w:r>
    </w:p>
    <w:p w14:paraId="4CBB8647" w14:textId="77777777" w:rsidR="0014612D" w:rsidRDefault="0014612D" w:rsidP="0014612D">
      <w:r>
        <w:rPr>
          <w:noProof/>
        </w:rPr>
        <w:drawing>
          <wp:inline distT="0" distB="0" distL="0" distR="0" wp14:anchorId="78B43419" wp14:editId="343F9918">
            <wp:extent cx="5731510" cy="2382520"/>
            <wp:effectExtent l="0" t="0" r="0" b="0"/>
            <wp:docPr id="1117563852" name="Chart 1">
              <a:extLst xmlns:a="http://schemas.openxmlformats.org/drawingml/2006/main">
                <a:ext uri="{FF2B5EF4-FFF2-40B4-BE49-F238E27FC236}">
                  <a16:creationId xmlns:a16="http://schemas.microsoft.com/office/drawing/2014/main" id="{3A7466AD-57FA-4FC2-8529-D4421A6492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00B3F0F" w14:textId="7D327FD5" w:rsidR="0014612D" w:rsidRDefault="0014612D" w:rsidP="0014612D">
      <w:pPr>
        <w:pStyle w:val="Caption"/>
      </w:pPr>
      <w:r>
        <w:t xml:space="preserve">Figure </w:t>
      </w:r>
      <w:r>
        <w:fldChar w:fldCharType="begin"/>
      </w:r>
      <w:r>
        <w:instrText xml:space="preserve"> SEQ Figure \* ARABIC </w:instrText>
      </w:r>
      <w:r>
        <w:fldChar w:fldCharType="separate"/>
      </w:r>
      <w:r w:rsidR="004E5AE3">
        <w:rPr>
          <w:noProof/>
        </w:rPr>
        <w:t>20</w:t>
      </w:r>
      <w:r>
        <w:fldChar w:fldCharType="end"/>
      </w:r>
      <w:r>
        <w:t>: BIC for selected univariate models</w:t>
      </w:r>
    </w:p>
    <w:p w14:paraId="511B41F6" w14:textId="77777777" w:rsidR="0014612D" w:rsidRDefault="0014612D" w:rsidP="0014612D"/>
    <w:p w14:paraId="1DBE50FD" w14:textId="77777777" w:rsidR="0014612D" w:rsidRDefault="0014612D" w:rsidP="0014612D"/>
    <w:p w14:paraId="2935AC7D" w14:textId="77777777" w:rsidR="0014612D" w:rsidRDefault="0014612D" w:rsidP="0014612D">
      <w:r>
        <w:lastRenderedPageBreak/>
        <w:t>&lt;</w:t>
      </w:r>
      <w:commentRangeStart w:id="75"/>
      <w:r>
        <w:t xml:space="preserve">univariate models </w:t>
      </w:r>
      <w:commentRangeEnd w:id="75"/>
      <w:r>
        <w:rPr>
          <w:rStyle w:val="CommentReference"/>
        </w:rPr>
        <w:commentReference w:id="75"/>
      </w:r>
      <w:r>
        <w:t>R2&gt;</w:t>
      </w:r>
    </w:p>
    <w:p w14:paraId="0B270231" w14:textId="77777777" w:rsidR="0014612D" w:rsidRDefault="0014612D" w:rsidP="0014612D">
      <w:r>
        <w:rPr>
          <w:noProof/>
        </w:rPr>
        <w:drawing>
          <wp:inline distT="0" distB="0" distL="0" distR="0" wp14:anchorId="06E10ADC" wp14:editId="026A44EF">
            <wp:extent cx="5731510" cy="2075180"/>
            <wp:effectExtent l="0" t="0" r="0" b="0"/>
            <wp:docPr id="1004926461" name="Chart 1">
              <a:extLst xmlns:a="http://schemas.openxmlformats.org/drawingml/2006/main">
                <a:ext uri="{FF2B5EF4-FFF2-40B4-BE49-F238E27FC236}">
                  <a16:creationId xmlns:a16="http://schemas.microsoft.com/office/drawing/2014/main" id="{6711BA07-3774-44DC-BA04-2CA301E65C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F0752AF" w14:textId="2C2F770A" w:rsidR="0014612D" w:rsidRDefault="0014612D" w:rsidP="0014612D">
      <w:pPr>
        <w:pStyle w:val="Caption"/>
      </w:pPr>
      <w:r>
        <w:t xml:space="preserve">Figure </w:t>
      </w:r>
      <w:r>
        <w:fldChar w:fldCharType="begin"/>
      </w:r>
      <w:r>
        <w:instrText xml:space="preserve"> SEQ Figure \* ARABIC </w:instrText>
      </w:r>
      <w:r>
        <w:fldChar w:fldCharType="separate"/>
      </w:r>
      <w:r w:rsidR="004E5AE3">
        <w:rPr>
          <w:noProof/>
        </w:rPr>
        <w:t>21</w:t>
      </w:r>
      <w:r>
        <w:fldChar w:fldCharType="end"/>
      </w:r>
      <w:r>
        <w:t>: R_2 for selected univariate models</w:t>
      </w:r>
    </w:p>
    <w:p w14:paraId="0CEC23DE" w14:textId="77777777" w:rsidR="0090784D" w:rsidRDefault="0090784D" w:rsidP="0090784D"/>
    <w:p w14:paraId="6690E7C2" w14:textId="77777777" w:rsidR="0090784D" w:rsidRDefault="0090784D" w:rsidP="0090784D"/>
    <w:p w14:paraId="12D6549C" w14:textId="77777777" w:rsidR="0090784D" w:rsidRDefault="0090784D" w:rsidP="0090784D"/>
    <w:p w14:paraId="07BED575" w14:textId="01A78918" w:rsidR="0090784D" w:rsidRPr="0090784D" w:rsidRDefault="0090784D" w:rsidP="0090784D">
      <w:r>
        <w:rPr>
          <w:noProof/>
        </w:rPr>
        <w:drawing>
          <wp:inline distT="0" distB="0" distL="0" distR="0" wp14:anchorId="13430A74" wp14:editId="1B5E40E2">
            <wp:extent cx="5731510" cy="2376805"/>
            <wp:effectExtent l="0" t="0" r="0" b="0"/>
            <wp:docPr id="2087234093" name="Chart 1">
              <a:extLst xmlns:a="http://schemas.openxmlformats.org/drawingml/2006/main">
                <a:ext uri="{FF2B5EF4-FFF2-40B4-BE49-F238E27FC236}">
                  <a16:creationId xmlns:a16="http://schemas.microsoft.com/office/drawing/2014/main" id="{761D84D9-DAD3-4AD8-A109-B18E11C2C9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28BCFEA" w14:textId="30616DE9" w:rsidR="0014612D" w:rsidRDefault="0090784D" w:rsidP="0090784D">
      <w:pPr>
        <w:pStyle w:val="Caption"/>
      </w:pPr>
      <w:r>
        <w:t xml:space="preserve">Figure </w:t>
      </w:r>
      <w:r>
        <w:fldChar w:fldCharType="begin"/>
      </w:r>
      <w:r>
        <w:instrText xml:space="preserve"> SEQ Figure \* ARABIC </w:instrText>
      </w:r>
      <w:r>
        <w:fldChar w:fldCharType="separate"/>
      </w:r>
      <w:r w:rsidR="004E5AE3">
        <w:rPr>
          <w:noProof/>
        </w:rPr>
        <w:t>22</w:t>
      </w:r>
      <w:r>
        <w:fldChar w:fldCharType="end"/>
      </w:r>
      <w:r>
        <w:t>:Marginal effects for selected univariate models</w:t>
      </w:r>
    </w:p>
    <w:p w14:paraId="7328A982" w14:textId="1F10C0DC" w:rsidR="0014612D" w:rsidRDefault="0014612D" w:rsidP="0014612D"/>
    <w:p w14:paraId="2CE117B2" w14:textId="77777777" w:rsidR="005648D3" w:rsidRPr="0014612D" w:rsidRDefault="005648D3" w:rsidP="0014612D"/>
    <w:sectPr w:rsidR="005648D3" w:rsidRPr="0014612D" w:rsidSect="0005305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hilip Muller" w:date="2025-04-05T14:17:00Z" w:initials="p">
    <w:p w14:paraId="50717D52" w14:textId="77777777" w:rsidR="009A390B" w:rsidRDefault="009A390B" w:rsidP="009A390B">
      <w:r>
        <w:rPr>
          <w:rStyle w:val="CommentReference"/>
        </w:rPr>
        <w:annotationRef/>
      </w:r>
      <w:r>
        <w:rPr>
          <w:color w:val="000000"/>
          <w:sz w:val="20"/>
          <w:szCs w:val="20"/>
        </w:rPr>
        <w:t xml:space="preserve">What is driving household-level flood preparedness? </w:t>
      </w:r>
    </w:p>
  </w:comment>
  <w:comment w:id="5" w:author="Philip Muller" w:date="2025-04-24T11:02:00Z" w:initials="p">
    <w:p w14:paraId="7774CA6F" w14:textId="77777777" w:rsidR="00B96B6D" w:rsidRDefault="00B96B6D" w:rsidP="00B96B6D">
      <w:r>
        <w:rPr>
          <w:rStyle w:val="CommentReference"/>
        </w:rPr>
        <w:annotationRef/>
      </w:r>
      <w:r>
        <w:rPr>
          <w:color w:val="000000"/>
          <w:sz w:val="20"/>
          <w:szCs w:val="20"/>
        </w:rPr>
        <w:t xml:space="preserve">Take out? </w:t>
      </w:r>
    </w:p>
  </w:comment>
  <w:comment w:id="6" w:author="Philip Muller" w:date="2025-05-03T12:21:00Z" w:initials="p">
    <w:p w14:paraId="4E2A3E4B" w14:textId="77777777" w:rsidR="00595732" w:rsidRDefault="00595732" w:rsidP="00595732">
      <w:r>
        <w:rPr>
          <w:rStyle w:val="CommentReference"/>
        </w:rPr>
        <w:annotationRef/>
      </w:r>
      <w:r>
        <w:rPr>
          <w:color w:val="000000"/>
          <w:sz w:val="20"/>
          <w:szCs w:val="20"/>
        </w:rPr>
        <w:t xml:space="preserve">Change? </w:t>
      </w:r>
    </w:p>
  </w:comment>
  <w:comment w:id="8" w:author="Philip Muller" w:date="2025-05-03T14:02:00Z" w:initials="p">
    <w:p w14:paraId="7A32E49F" w14:textId="77777777" w:rsidR="00A96E5E" w:rsidRDefault="00A96E5E" w:rsidP="00A96E5E">
      <w:r>
        <w:rPr>
          <w:rStyle w:val="CommentReference"/>
        </w:rPr>
        <w:annotationRef/>
      </w:r>
      <w:r>
        <w:rPr>
          <w:color w:val="000000"/>
          <w:sz w:val="20"/>
          <w:szCs w:val="20"/>
        </w:rPr>
        <w:t>Review later if that is correct</w:t>
      </w:r>
    </w:p>
  </w:comment>
  <w:comment w:id="11" w:author="Philip Muller" w:date="2025-05-05T19:58:00Z" w:initials="p">
    <w:p w14:paraId="6BE13A29" w14:textId="77777777" w:rsidR="009028C3" w:rsidRDefault="009028C3" w:rsidP="009028C3">
      <w:r>
        <w:rPr>
          <w:rStyle w:val="CommentReference"/>
        </w:rPr>
        <w:annotationRef/>
      </w:r>
      <w:r>
        <w:rPr>
          <w:color w:val="000000"/>
          <w:sz w:val="20"/>
          <w:szCs w:val="20"/>
        </w:rPr>
        <w:t>wording?</w:t>
      </w:r>
    </w:p>
  </w:comment>
  <w:comment w:id="12" w:author="Philip Muller" w:date="2025-05-05T20:59:00Z" w:initials="p">
    <w:p w14:paraId="389D67C8" w14:textId="77777777" w:rsidR="00564DFF" w:rsidRDefault="00564DFF" w:rsidP="00564DFF">
      <w:r>
        <w:rPr>
          <w:rStyle w:val="CommentReference"/>
        </w:rPr>
        <w:annotationRef/>
      </w:r>
      <w:r>
        <w:rPr>
          <w:color w:val="000000"/>
          <w:sz w:val="20"/>
          <w:szCs w:val="20"/>
        </w:rPr>
        <w:t>Brain capacity?</w:t>
      </w:r>
    </w:p>
  </w:comment>
  <w:comment w:id="14" w:author="Philip Muller" w:date="2025-05-04T14:59:00Z" w:initials="p">
    <w:p w14:paraId="0BA17033" w14:textId="21A66EE5" w:rsidR="008D244A" w:rsidRDefault="008D244A" w:rsidP="008D244A">
      <w:r>
        <w:rPr>
          <w:rStyle w:val="CommentReference"/>
        </w:rPr>
        <w:annotationRef/>
      </w:r>
      <w:r>
        <w:rPr>
          <w:color w:val="000000"/>
          <w:sz w:val="20"/>
          <w:szCs w:val="20"/>
        </w:rPr>
        <w:t>double check in the end</w:t>
      </w:r>
    </w:p>
  </w:comment>
  <w:comment w:id="15" w:author="Philip Muller" w:date="2025-05-03T15:38:00Z" w:initials="p">
    <w:p w14:paraId="13B85FFF" w14:textId="28B7D4E3" w:rsidR="005171C3" w:rsidRDefault="005171C3" w:rsidP="005171C3">
      <w:r>
        <w:rPr>
          <w:rStyle w:val="CommentReference"/>
        </w:rPr>
        <w:annotationRef/>
      </w:r>
      <w:r>
        <w:rPr>
          <w:color w:val="000000"/>
          <w:sz w:val="20"/>
          <w:szCs w:val="20"/>
        </w:rPr>
        <w:t>Rephrase</w:t>
      </w:r>
    </w:p>
  </w:comment>
  <w:comment w:id="16" w:author="Philip Muller" w:date="2025-05-04T10:37:00Z" w:initials="p">
    <w:p w14:paraId="7235F558" w14:textId="77777777" w:rsidR="00150D82" w:rsidRDefault="00150D82" w:rsidP="00150D82">
      <w:r>
        <w:rPr>
          <w:rStyle w:val="CommentReference"/>
        </w:rPr>
        <w:annotationRef/>
      </w:r>
      <w:r>
        <w:rPr>
          <w:color w:val="000000"/>
          <w:sz w:val="20"/>
          <w:szCs w:val="20"/>
        </w:rPr>
        <w:t>Reactive?</w:t>
      </w:r>
    </w:p>
  </w:comment>
  <w:comment w:id="17" w:author="Philip Muller" w:date="2025-05-03T19:34:00Z" w:initials="p">
    <w:p w14:paraId="4B0157BD" w14:textId="3DBC2322" w:rsidR="00CE15B3" w:rsidRDefault="00CE15B3" w:rsidP="00CE15B3">
      <w:r>
        <w:rPr>
          <w:rStyle w:val="CommentReference"/>
        </w:rPr>
        <w:annotationRef/>
      </w:r>
      <w:r>
        <w:rPr>
          <w:color w:val="000000"/>
          <w:sz w:val="20"/>
          <w:szCs w:val="20"/>
        </w:rPr>
        <w:t>sources</w:t>
      </w:r>
    </w:p>
  </w:comment>
  <w:comment w:id="18" w:author="Philip Muller" w:date="2025-04-09T10:13:00Z" w:initials="p">
    <w:p w14:paraId="384DF4DA" w14:textId="0D2A2447" w:rsidR="00035F24" w:rsidRDefault="00035F24" w:rsidP="00035F24">
      <w:r>
        <w:rPr>
          <w:rStyle w:val="CommentReference"/>
        </w:rPr>
        <w:annotationRef/>
      </w:r>
      <w:r>
        <w:rPr>
          <w:color w:val="000000"/>
          <w:sz w:val="20"/>
          <w:szCs w:val="20"/>
        </w:rPr>
        <w:t xml:space="preserve">Move this section to model? </w:t>
      </w:r>
    </w:p>
  </w:comment>
  <w:comment w:id="21" w:author="Philip Muller" w:date="2025-04-09T12:06:00Z" w:initials="p">
    <w:p w14:paraId="588FB8ED" w14:textId="77777777" w:rsidR="00B33B9F" w:rsidRDefault="00B33B9F" w:rsidP="00B33B9F">
      <w:r>
        <w:rPr>
          <w:rStyle w:val="CommentReference"/>
        </w:rPr>
        <w:annotationRef/>
      </w:r>
      <w:r>
        <w:rPr>
          <w:color w:val="000000"/>
          <w:sz w:val="20"/>
          <w:szCs w:val="20"/>
        </w:rPr>
        <w:t xml:space="preserve">Leave out? </w:t>
      </w:r>
    </w:p>
  </w:comment>
  <w:comment w:id="23" w:author="Philip Muller" w:date="2025-04-10T11:13:00Z" w:initials="p">
    <w:p w14:paraId="37DD8343" w14:textId="77777777" w:rsidR="007506DD" w:rsidRDefault="003A0719" w:rsidP="007506DD">
      <w:r>
        <w:rPr>
          <w:rStyle w:val="CommentReference"/>
        </w:rPr>
        <w:annotationRef/>
      </w:r>
      <w:r w:rsidR="007506DD">
        <w:rPr>
          <w:sz w:val="20"/>
          <w:szCs w:val="20"/>
        </w:rPr>
        <w:t>Drop this section?</w:t>
      </w:r>
    </w:p>
  </w:comment>
  <w:comment w:id="24" w:author="Philip Muller" w:date="2025-04-24T11:09:00Z" w:initials="p">
    <w:p w14:paraId="21E3067B" w14:textId="77777777" w:rsidR="00B96B6D" w:rsidRDefault="00B96B6D" w:rsidP="00B96B6D">
      <w:r>
        <w:rPr>
          <w:rStyle w:val="CommentReference"/>
        </w:rPr>
        <w:annotationRef/>
      </w:r>
      <w:r>
        <w:rPr>
          <w:color w:val="000000"/>
          <w:sz w:val="20"/>
          <w:szCs w:val="20"/>
        </w:rPr>
        <w:t>Choose the one that economists favour and use it to advance a hypothesis (wrt effect direction)</w:t>
      </w:r>
    </w:p>
  </w:comment>
  <w:comment w:id="26" w:author="Philip Muller" w:date="2025-04-10T11:26:00Z" w:initials="p">
    <w:p w14:paraId="78DCDA43" w14:textId="7D184A29" w:rsidR="00527759" w:rsidRDefault="00527759" w:rsidP="00527759">
      <w:r>
        <w:rPr>
          <w:rStyle w:val="CommentReference"/>
        </w:rPr>
        <w:annotationRef/>
      </w:r>
      <w:r>
        <w:rPr>
          <w:color w:val="000000"/>
          <w:sz w:val="20"/>
          <w:szCs w:val="20"/>
        </w:rPr>
        <w:t>Move this to analysis</w:t>
      </w:r>
    </w:p>
  </w:comment>
  <w:comment w:id="27" w:author="Philip Muller" w:date="2025-04-10T11:49:00Z" w:initials="p">
    <w:p w14:paraId="3EF2154B" w14:textId="77777777" w:rsidR="009C71D2" w:rsidRDefault="009C71D2" w:rsidP="009C71D2">
      <w:r>
        <w:rPr>
          <w:rStyle w:val="CommentReference"/>
        </w:rPr>
        <w:annotationRef/>
      </w:r>
      <w:r>
        <w:rPr>
          <w:color w:val="000000"/>
          <w:sz w:val="20"/>
          <w:szCs w:val="20"/>
        </w:rPr>
        <w:t>Which would be complements?</w:t>
      </w:r>
    </w:p>
  </w:comment>
  <w:comment w:id="28" w:author="Philip Muller" w:date="2025-04-10T11:54:00Z" w:initials="p">
    <w:p w14:paraId="3F55758A" w14:textId="77777777" w:rsidR="00795C94" w:rsidRDefault="00795C94" w:rsidP="00795C94">
      <w:r>
        <w:rPr>
          <w:rStyle w:val="CommentReference"/>
        </w:rPr>
        <w:annotationRef/>
      </w:r>
      <w:r>
        <w:rPr>
          <w:color w:val="000000"/>
          <w:sz w:val="20"/>
          <w:szCs w:val="20"/>
        </w:rPr>
        <w:t>This is a secondary hypothesis</w:t>
      </w:r>
    </w:p>
  </w:comment>
  <w:comment w:id="30" w:author="Philip Muller" w:date="2025-04-09T14:54:00Z" w:initials="p">
    <w:p w14:paraId="0837BF1B" w14:textId="03B1EAAA" w:rsidR="009277AC" w:rsidRDefault="009277AC" w:rsidP="009277AC">
      <w:r>
        <w:rPr>
          <w:rStyle w:val="CommentReference"/>
        </w:rPr>
        <w:annotationRef/>
      </w:r>
      <w:r>
        <w:rPr>
          <w:color w:val="000000"/>
          <w:sz w:val="20"/>
          <w:szCs w:val="20"/>
        </w:rPr>
        <w:t xml:space="preserve">Are we going to use it later? </w:t>
      </w:r>
    </w:p>
  </w:comment>
  <w:comment w:id="32" w:author="Philip Muller" w:date="2025-04-09T15:26:00Z" w:initials="p">
    <w:p w14:paraId="7FDCBEEB" w14:textId="77777777" w:rsidR="00936580" w:rsidRDefault="00936580" w:rsidP="00936580">
      <w:r>
        <w:rPr>
          <w:rStyle w:val="CommentReference"/>
        </w:rPr>
        <w:annotationRef/>
      </w:r>
      <w:r>
        <w:rPr>
          <w:color w:val="000000"/>
          <w:sz w:val="20"/>
          <w:szCs w:val="20"/>
        </w:rPr>
        <w:t xml:space="preserve">Rent mortgage? </w:t>
      </w:r>
    </w:p>
  </w:comment>
  <w:comment w:id="33" w:author="Philip Muller" w:date="2025-04-09T15:44:00Z" w:initials="p">
    <w:p w14:paraId="0E2A9CAD" w14:textId="77777777" w:rsidR="00CF7964" w:rsidRDefault="00CF7964" w:rsidP="00CF7964">
      <w:r>
        <w:rPr>
          <w:rStyle w:val="CommentReference"/>
        </w:rPr>
        <w:annotationRef/>
      </w:r>
      <w:r>
        <w:rPr>
          <w:color w:val="000000"/>
          <w:sz w:val="20"/>
          <w:szCs w:val="20"/>
        </w:rPr>
        <w:t>cfld_iprepactions, cfld_stepsheld, cfld_condidence</w:t>
      </w:r>
    </w:p>
  </w:comment>
  <w:comment w:id="34" w:author="Philip Muller" w:date="2025-04-09T15:49:00Z" w:initials="p">
    <w:p w14:paraId="15486B7F" w14:textId="77777777" w:rsidR="00EB7C73" w:rsidRDefault="00EB7C73" w:rsidP="00EB7C73">
      <w:r>
        <w:rPr>
          <w:rStyle w:val="CommentReference"/>
        </w:rPr>
        <w:annotationRef/>
      </w:r>
      <w:r>
        <w:rPr>
          <w:sz w:val="20"/>
          <w:szCs w:val="20"/>
        </w:rPr>
        <w:t>Cite also excel file directly?</w:t>
      </w:r>
    </w:p>
  </w:comment>
  <w:comment w:id="37" w:author="Philip Muller" w:date="2025-04-09T21:12:00Z" w:initials="p">
    <w:p w14:paraId="1D81AFA8" w14:textId="77777777" w:rsidR="00D24BD7" w:rsidRDefault="00D24BD7" w:rsidP="00D24BD7">
      <w:r>
        <w:rPr>
          <w:rStyle w:val="CommentReference"/>
        </w:rPr>
        <w:annotationRef/>
      </w:r>
      <w:r>
        <w:rPr>
          <w:color w:val="000000"/>
          <w:sz w:val="20"/>
          <w:szCs w:val="20"/>
        </w:rPr>
        <w:t xml:space="preserve">Indicator for effectiveness of these two? </w:t>
      </w:r>
    </w:p>
  </w:comment>
  <w:comment w:id="38" w:author="Philip Muller" w:date="2025-04-16T12:07:00Z" w:initials="p">
    <w:p w14:paraId="5C92A474" w14:textId="77777777" w:rsidR="00C35761" w:rsidRDefault="00C35761" w:rsidP="00C35761">
      <w:r>
        <w:rPr>
          <w:rStyle w:val="CommentReference"/>
        </w:rPr>
        <w:annotationRef/>
      </w:r>
      <w:r>
        <w:rPr>
          <w:color w:val="000000"/>
          <w:sz w:val="20"/>
          <w:szCs w:val="20"/>
        </w:rPr>
        <w:t>What do we gain from that?</w:t>
      </w:r>
    </w:p>
  </w:comment>
  <w:comment w:id="40" w:author="Philip Muller" w:date="2025-04-11T12:45:00Z" w:initials="p">
    <w:p w14:paraId="5A75E923" w14:textId="65E1480D" w:rsidR="00466312" w:rsidRDefault="00466312" w:rsidP="00466312">
      <w:r>
        <w:rPr>
          <w:rStyle w:val="CommentReference"/>
        </w:rPr>
        <w:annotationRef/>
      </w:r>
      <w:r>
        <w:rPr>
          <w:color w:val="000000"/>
          <w:sz w:val="20"/>
          <w:szCs w:val="20"/>
        </w:rPr>
        <w:t>Scores might improve a bit later with more predictors</w:t>
      </w:r>
    </w:p>
  </w:comment>
  <w:comment w:id="42" w:author="Philip Muller" w:date="2025-04-17T12:50:00Z" w:initials="p">
    <w:p w14:paraId="63BA15E8" w14:textId="77777777" w:rsidR="00B008AB" w:rsidRDefault="00B008AB" w:rsidP="00B008AB">
      <w:r>
        <w:rPr>
          <w:rStyle w:val="CommentReference"/>
        </w:rPr>
        <w:annotationRef/>
      </w:r>
      <w:hyperlink r:id="rId1" w:history="1">
        <w:r w:rsidRPr="001102A2">
          <w:rPr>
            <w:rStyle w:val="Hyperlink"/>
            <w:sz w:val="20"/>
            <w:szCs w:val="20"/>
          </w:rPr>
          <w:t>fema.gov/about/glossary/flood-zones</w:t>
        </w:r>
      </w:hyperlink>
    </w:p>
  </w:comment>
  <w:comment w:id="43" w:author="Philip Muller" w:date="2025-04-17T12:59:00Z" w:initials="p">
    <w:p w14:paraId="34525216" w14:textId="77777777" w:rsidR="00A84239" w:rsidRDefault="00A84239" w:rsidP="00A84239">
      <w:r>
        <w:rPr>
          <w:rStyle w:val="CommentReference"/>
        </w:rPr>
        <w:annotationRef/>
      </w:r>
      <w:r>
        <w:rPr>
          <w:color w:val="000000"/>
          <w:sz w:val="20"/>
          <w:szCs w:val="20"/>
        </w:rPr>
        <w:t>Do we have to change working in the simple model section?</w:t>
      </w:r>
    </w:p>
  </w:comment>
  <w:comment w:id="48" w:author="Philip Muller" w:date="2025-05-01T19:06:00Z" w:initials="p">
    <w:p w14:paraId="16629EE7" w14:textId="77777777" w:rsidR="003C7BEC" w:rsidRDefault="003C7BEC" w:rsidP="003C7BEC">
      <w:r>
        <w:rPr>
          <w:rStyle w:val="CommentReference"/>
        </w:rPr>
        <w:annotationRef/>
      </w:r>
      <w:r>
        <w:rPr>
          <w:color w:val="000000"/>
          <w:sz w:val="20"/>
          <w:szCs w:val="20"/>
        </w:rPr>
        <w:t>Mention at the end</w:t>
      </w:r>
    </w:p>
  </w:comment>
  <w:comment w:id="49" w:author="Philip Muller" w:date="2025-04-10T11:54:00Z" w:initials="p">
    <w:p w14:paraId="045A5F7A" w14:textId="77777777" w:rsidR="00112E12" w:rsidRDefault="00112E12" w:rsidP="00112E12">
      <w:r>
        <w:rPr>
          <w:rStyle w:val="CommentReference"/>
        </w:rPr>
        <w:annotationRef/>
      </w:r>
      <w:r>
        <w:rPr>
          <w:color w:val="000000"/>
          <w:sz w:val="20"/>
          <w:szCs w:val="20"/>
        </w:rPr>
        <w:t>This is a secondary hypothesis</w:t>
      </w:r>
    </w:p>
  </w:comment>
  <w:comment w:id="52" w:author="Philip Muller" w:date="2025-04-16T22:07:00Z" w:initials="p">
    <w:p w14:paraId="11C11B0E" w14:textId="72DCC122" w:rsidR="003A1C09" w:rsidRDefault="003A1C09" w:rsidP="003A1C09">
      <w:r>
        <w:rPr>
          <w:rStyle w:val="CommentReference"/>
        </w:rPr>
        <w:annotationRef/>
      </w:r>
      <w:r>
        <w:rPr>
          <w:color w:val="000000"/>
          <w:sz w:val="20"/>
          <w:szCs w:val="20"/>
        </w:rPr>
        <w:t xml:space="preserve">Double check if this is being taken from the multivariate design </w:t>
      </w:r>
    </w:p>
  </w:comment>
  <w:comment w:id="53" w:author="Philip Muller" w:date="2025-04-16T22:18:00Z" w:initials="p">
    <w:p w14:paraId="663F6407" w14:textId="77777777" w:rsidR="001F4303" w:rsidRDefault="001F4303" w:rsidP="001F4303">
      <w:r>
        <w:rPr>
          <w:rStyle w:val="CommentReference"/>
        </w:rPr>
        <w:annotationRef/>
      </w:r>
      <w:r>
        <w:rPr>
          <w:color w:val="000000"/>
          <w:sz w:val="20"/>
          <w:szCs w:val="20"/>
        </w:rPr>
        <w:t xml:space="preserve">Did we accidentally override this with the new script? </w:t>
      </w:r>
    </w:p>
    <w:p w14:paraId="02B3E43A" w14:textId="77777777" w:rsidR="001F4303" w:rsidRDefault="001F4303" w:rsidP="001F4303"/>
  </w:comment>
  <w:comment w:id="54" w:author="Philip Muller" w:date="2025-04-16T22:26:00Z" w:initials="p">
    <w:p w14:paraId="3B41F870" w14:textId="77777777" w:rsidR="001F4303" w:rsidRDefault="001F4303" w:rsidP="001F4303">
      <w:r>
        <w:rPr>
          <w:rStyle w:val="CommentReference"/>
        </w:rPr>
        <w:annotationRef/>
      </w:r>
      <w:r>
        <w:rPr>
          <w:color w:val="000000"/>
          <w:sz w:val="20"/>
          <w:szCs w:val="20"/>
        </w:rPr>
        <w:t>Also, should we take log income?</w:t>
      </w:r>
    </w:p>
  </w:comment>
  <w:comment w:id="55" w:author="Philip Muller" w:date="2025-04-17T10:59:00Z" w:initials="p">
    <w:p w14:paraId="4C8F90FB" w14:textId="77777777" w:rsidR="00EB5FFC" w:rsidRDefault="00EB5FFC" w:rsidP="00EB5FFC">
      <w:r>
        <w:rPr>
          <w:rStyle w:val="CommentReference"/>
        </w:rPr>
        <w:annotationRef/>
      </w:r>
      <w:r>
        <w:rPr>
          <w:color w:val="000000"/>
          <w:sz w:val="20"/>
          <w:szCs w:val="20"/>
        </w:rPr>
        <w:t>Is this some type of risk aversion?</w:t>
      </w:r>
    </w:p>
  </w:comment>
  <w:comment w:id="56" w:author="Philip Muller" w:date="2025-04-17T10:57:00Z" w:initials="p">
    <w:p w14:paraId="2F01CD0A" w14:textId="7B7BD7F6" w:rsidR="00EB5FFC" w:rsidRDefault="00EB5FFC" w:rsidP="00EB5FFC">
      <w:r>
        <w:rPr>
          <w:rStyle w:val="CommentReference"/>
        </w:rPr>
        <w:annotationRef/>
      </w:r>
      <w:r>
        <w:rPr>
          <w:color w:val="000000"/>
          <w:sz w:val="20"/>
          <w:szCs w:val="20"/>
        </w:rPr>
        <w:t xml:space="preserve">Is it possible that gender are not picked up because mom/ dad? </w:t>
      </w:r>
    </w:p>
  </w:comment>
  <w:comment w:id="57" w:author="Philip Muller" w:date="2025-04-17T11:03:00Z" w:initials="p">
    <w:p w14:paraId="607AA43B" w14:textId="77777777" w:rsidR="001B46AF" w:rsidRDefault="001B46AF" w:rsidP="001B46AF">
      <w:r>
        <w:rPr>
          <w:rStyle w:val="CommentReference"/>
        </w:rPr>
        <w:annotationRef/>
      </w:r>
      <w:r>
        <w:rPr>
          <w:color w:val="000000"/>
          <w:sz w:val="20"/>
          <w:szCs w:val="20"/>
        </w:rPr>
        <w:t xml:space="preserve">Are we just having very high study power or are we potentially overfitting? </w:t>
      </w:r>
    </w:p>
  </w:comment>
  <w:comment w:id="59" w:author="Philip Muller" w:date="2025-04-16T22:37:00Z" w:initials="p">
    <w:p w14:paraId="6C18C63D" w14:textId="75386FE1" w:rsidR="00523FD7" w:rsidRDefault="00523FD7" w:rsidP="00523FD7">
      <w:r>
        <w:rPr>
          <w:rStyle w:val="CommentReference"/>
        </w:rPr>
        <w:annotationRef/>
      </w:r>
      <w:r>
        <w:rPr>
          <w:color w:val="000000"/>
          <w:sz w:val="20"/>
          <w:szCs w:val="20"/>
        </w:rPr>
        <w:t xml:space="preserve">How are we supposed to do this? I think this is done? </w:t>
      </w:r>
    </w:p>
  </w:comment>
  <w:comment w:id="65" w:author="Philip Muller" w:date="2025-04-09T20:52:00Z" w:initials="p">
    <w:p w14:paraId="20E77A3D" w14:textId="12D4A2A2" w:rsidR="007B1FAA" w:rsidRDefault="007B1FAA" w:rsidP="007B1FAA">
      <w:r>
        <w:rPr>
          <w:rStyle w:val="CommentReference"/>
        </w:rPr>
        <w:annotationRef/>
      </w:r>
      <w:r>
        <w:rPr>
          <w:color w:val="000000"/>
          <w:sz w:val="20"/>
          <w:szCs w:val="20"/>
        </w:rPr>
        <w:t>Group in powerpoint later</w:t>
      </w:r>
    </w:p>
  </w:comment>
  <w:comment w:id="74" w:author="Philip Muller" w:date="2025-04-16T13:18:00Z" w:initials="p">
    <w:p w14:paraId="41E34257" w14:textId="77777777" w:rsidR="0014612D" w:rsidRDefault="0014612D" w:rsidP="0014612D">
      <w:r>
        <w:rPr>
          <w:rStyle w:val="CommentReference"/>
        </w:rPr>
        <w:annotationRef/>
      </w:r>
      <w:r>
        <w:rPr>
          <w:color w:val="000000"/>
          <w:sz w:val="20"/>
          <w:szCs w:val="20"/>
        </w:rPr>
        <w:t>Move to appendix?</w:t>
      </w:r>
    </w:p>
  </w:comment>
  <w:comment w:id="75" w:author="Philip Muller" w:date="2025-04-16T13:19:00Z" w:initials="p">
    <w:p w14:paraId="4674E251" w14:textId="77777777" w:rsidR="0014612D" w:rsidRDefault="0014612D" w:rsidP="0014612D">
      <w:r>
        <w:rPr>
          <w:rStyle w:val="CommentReference"/>
        </w:rPr>
        <w:annotationRef/>
      </w:r>
      <w:r>
        <w:rPr>
          <w:color w:val="000000"/>
          <w:sz w:val="20"/>
          <w:szCs w:val="20"/>
        </w:rPr>
        <w:t xml:space="preserve">Move to Appendix?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0717D52" w15:done="0"/>
  <w15:commentEx w15:paraId="7774CA6F" w15:done="0"/>
  <w15:commentEx w15:paraId="4E2A3E4B" w15:done="0"/>
  <w15:commentEx w15:paraId="7A32E49F" w15:done="0"/>
  <w15:commentEx w15:paraId="6BE13A29" w15:done="0"/>
  <w15:commentEx w15:paraId="389D67C8" w15:done="0"/>
  <w15:commentEx w15:paraId="0BA17033" w15:done="0"/>
  <w15:commentEx w15:paraId="13B85FFF" w15:done="0"/>
  <w15:commentEx w15:paraId="7235F558" w15:done="0"/>
  <w15:commentEx w15:paraId="4B0157BD" w15:done="0"/>
  <w15:commentEx w15:paraId="384DF4DA" w15:done="0"/>
  <w15:commentEx w15:paraId="588FB8ED" w15:done="0"/>
  <w15:commentEx w15:paraId="37DD8343" w15:done="0"/>
  <w15:commentEx w15:paraId="21E3067B" w15:paraIdParent="37DD8343" w15:done="0"/>
  <w15:commentEx w15:paraId="78DCDA43" w15:done="0"/>
  <w15:commentEx w15:paraId="3EF2154B" w15:done="0"/>
  <w15:commentEx w15:paraId="3F55758A" w15:done="0"/>
  <w15:commentEx w15:paraId="0837BF1B" w15:done="0"/>
  <w15:commentEx w15:paraId="7FDCBEEB" w15:done="0"/>
  <w15:commentEx w15:paraId="0E2A9CAD" w15:done="0"/>
  <w15:commentEx w15:paraId="15486B7F" w15:done="0"/>
  <w15:commentEx w15:paraId="1D81AFA8" w15:done="0"/>
  <w15:commentEx w15:paraId="5C92A474" w15:done="0"/>
  <w15:commentEx w15:paraId="5A75E923" w15:done="0"/>
  <w15:commentEx w15:paraId="63BA15E8" w15:done="0"/>
  <w15:commentEx w15:paraId="34525216" w15:done="0"/>
  <w15:commentEx w15:paraId="16629EE7" w15:done="0"/>
  <w15:commentEx w15:paraId="045A5F7A" w15:done="0"/>
  <w15:commentEx w15:paraId="11C11B0E" w15:done="0"/>
  <w15:commentEx w15:paraId="02B3E43A" w15:paraIdParent="11C11B0E" w15:done="0"/>
  <w15:commentEx w15:paraId="3B41F870" w15:paraIdParent="11C11B0E" w15:done="0"/>
  <w15:commentEx w15:paraId="4C8F90FB" w15:done="0"/>
  <w15:commentEx w15:paraId="2F01CD0A" w15:done="0"/>
  <w15:commentEx w15:paraId="607AA43B" w15:done="0"/>
  <w15:commentEx w15:paraId="6C18C63D" w15:done="0"/>
  <w15:commentEx w15:paraId="20E77A3D" w15:done="0"/>
  <w15:commentEx w15:paraId="41E34257" w15:done="0"/>
  <w15:commentEx w15:paraId="4674E2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132D8F" w16cex:dateUtc="2025-04-05T12:17:00Z"/>
  <w16cex:commentExtensible w16cex:durableId="727B3D7E" w16cex:dateUtc="2025-04-24T09:02:00Z"/>
  <w16cex:commentExtensible w16cex:durableId="3FEB17AD" w16cex:dateUtc="2025-05-03T10:21:00Z"/>
  <w16cex:commentExtensible w16cex:durableId="20890A9C" w16cex:dateUtc="2025-05-03T12:02:00Z"/>
  <w16cex:commentExtensible w16cex:durableId="77636DE9" w16cex:dateUtc="2025-05-05T17:58:00Z"/>
  <w16cex:commentExtensible w16cex:durableId="4CBDA3DA" w16cex:dateUtc="2025-05-05T18:59:00Z"/>
  <w16cex:commentExtensible w16cex:durableId="7FDCF5F8" w16cex:dateUtc="2025-05-04T12:59:00Z"/>
  <w16cex:commentExtensible w16cex:durableId="423ED000" w16cex:dateUtc="2025-05-03T13:38:00Z"/>
  <w16cex:commentExtensible w16cex:durableId="507B5CC4" w16cex:dateUtc="2025-05-04T08:37:00Z"/>
  <w16cex:commentExtensible w16cex:durableId="20E76C53" w16cex:dateUtc="2025-05-03T17:34:00Z"/>
  <w16cex:commentExtensible w16cex:durableId="1470F410" w16cex:dateUtc="2025-04-09T08:13:00Z"/>
  <w16cex:commentExtensible w16cex:durableId="444811E2" w16cex:dateUtc="2025-04-09T10:06:00Z"/>
  <w16cex:commentExtensible w16cex:durableId="7A097733" w16cex:dateUtc="2025-04-10T09:13:00Z"/>
  <w16cex:commentExtensible w16cex:durableId="1D7680BB" w16cex:dateUtc="2025-04-24T09:09:00Z"/>
  <w16cex:commentExtensible w16cex:durableId="7E855397" w16cex:dateUtc="2025-04-10T09:26:00Z"/>
  <w16cex:commentExtensible w16cex:durableId="51A832C0" w16cex:dateUtc="2025-04-10T09:49:00Z"/>
  <w16cex:commentExtensible w16cex:durableId="73C3BC53" w16cex:dateUtc="2025-04-10T09:54:00Z"/>
  <w16cex:commentExtensible w16cex:durableId="0AD4A800" w16cex:dateUtc="2025-04-09T12:54:00Z"/>
  <w16cex:commentExtensible w16cex:durableId="1837E37D" w16cex:dateUtc="2025-04-09T13:26:00Z"/>
  <w16cex:commentExtensible w16cex:durableId="34745BBF" w16cex:dateUtc="2025-04-09T13:44:00Z"/>
  <w16cex:commentExtensible w16cex:durableId="16733C70" w16cex:dateUtc="2025-04-09T13:49:00Z"/>
  <w16cex:commentExtensible w16cex:durableId="24AF43AB" w16cex:dateUtc="2025-04-09T19:12:00Z"/>
  <w16cex:commentExtensible w16cex:durableId="036C4A4A" w16cex:dateUtc="2025-04-16T10:07:00Z"/>
  <w16cex:commentExtensible w16cex:durableId="0FE4820B" w16cex:dateUtc="2025-04-11T10:45:00Z"/>
  <w16cex:commentExtensible w16cex:durableId="1ED9D511" w16cex:dateUtc="2025-04-17T10:50:00Z"/>
  <w16cex:commentExtensible w16cex:durableId="28BA46D4" w16cex:dateUtc="2025-04-17T10:59:00Z"/>
  <w16cex:commentExtensible w16cex:durableId="35B2B8BC" w16cex:dateUtc="2025-05-01T17:06:00Z"/>
  <w16cex:commentExtensible w16cex:durableId="0AA25D2B" w16cex:dateUtc="2025-04-10T09:54:00Z"/>
  <w16cex:commentExtensible w16cex:durableId="6AB024B2" w16cex:dateUtc="2025-04-16T20:07:00Z"/>
  <w16cex:commentExtensible w16cex:durableId="6784C076" w16cex:dateUtc="2025-04-16T20:18:00Z"/>
  <w16cex:commentExtensible w16cex:durableId="3FB4BAAB" w16cex:dateUtc="2025-04-16T20:26:00Z"/>
  <w16cex:commentExtensible w16cex:durableId="7469B1C1" w16cex:dateUtc="2025-04-17T08:59:00Z"/>
  <w16cex:commentExtensible w16cex:durableId="75C80564" w16cex:dateUtc="2025-04-17T08:57:00Z"/>
  <w16cex:commentExtensible w16cex:durableId="6E3508BD" w16cex:dateUtc="2025-04-17T09:03:00Z"/>
  <w16cex:commentExtensible w16cex:durableId="06AA5854" w16cex:dateUtc="2025-04-16T20:37:00Z"/>
  <w16cex:commentExtensible w16cex:durableId="23F9F183" w16cex:dateUtc="2025-04-09T18:52:00Z"/>
  <w16cex:commentExtensible w16cex:durableId="13847489" w16cex:dateUtc="2025-04-16T11:18:00Z"/>
  <w16cex:commentExtensible w16cex:durableId="06694E21" w16cex:dateUtc="2025-04-16T1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0717D52" w16cid:durableId="6E132D8F"/>
  <w16cid:commentId w16cid:paraId="7774CA6F" w16cid:durableId="727B3D7E"/>
  <w16cid:commentId w16cid:paraId="4E2A3E4B" w16cid:durableId="3FEB17AD"/>
  <w16cid:commentId w16cid:paraId="7A32E49F" w16cid:durableId="20890A9C"/>
  <w16cid:commentId w16cid:paraId="6BE13A29" w16cid:durableId="77636DE9"/>
  <w16cid:commentId w16cid:paraId="389D67C8" w16cid:durableId="4CBDA3DA"/>
  <w16cid:commentId w16cid:paraId="0BA17033" w16cid:durableId="7FDCF5F8"/>
  <w16cid:commentId w16cid:paraId="13B85FFF" w16cid:durableId="423ED000"/>
  <w16cid:commentId w16cid:paraId="7235F558" w16cid:durableId="507B5CC4"/>
  <w16cid:commentId w16cid:paraId="4B0157BD" w16cid:durableId="20E76C53"/>
  <w16cid:commentId w16cid:paraId="384DF4DA" w16cid:durableId="1470F410"/>
  <w16cid:commentId w16cid:paraId="588FB8ED" w16cid:durableId="444811E2"/>
  <w16cid:commentId w16cid:paraId="37DD8343" w16cid:durableId="7A097733"/>
  <w16cid:commentId w16cid:paraId="21E3067B" w16cid:durableId="1D7680BB"/>
  <w16cid:commentId w16cid:paraId="78DCDA43" w16cid:durableId="7E855397"/>
  <w16cid:commentId w16cid:paraId="3EF2154B" w16cid:durableId="51A832C0"/>
  <w16cid:commentId w16cid:paraId="3F55758A" w16cid:durableId="73C3BC53"/>
  <w16cid:commentId w16cid:paraId="0837BF1B" w16cid:durableId="0AD4A800"/>
  <w16cid:commentId w16cid:paraId="7FDCBEEB" w16cid:durableId="1837E37D"/>
  <w16cid:commentId w16cid:paraId="0E2A9CAD" w16cid:durableId="34745BBF"/>
  <w16cid:commentId w16cid:paraId="15486B7F" w16cid:durableId="16733C70"/>
  <w16cid:commentId w16cid:paraId="1D81AFA8" w16cid:durableId="24AF43AB"/>
  <w16cid:commentId w16cid:paraId="5C92A474" w16cid:durableId="036C4A4A"/>
  <w16cid:commentId w16cid:paraId="5A75E923" w16cid:durableId="0FE4820B"/>
  <w16cid:commentId w16cid:paraId="63BA15E8" w16cid:durableId="1ED9D511"/>
  <w16cid:commentId w16cid:paraId="34525216" w16cid:durableId="28BA46D4"/>
  <w16cid:commentId w16cid:paraId="16629EE7" w16cid:durableId="35B2B8BC"/>
  <w16cid:commentId w16cid:paraId="045A5F7A" w16cid:durableId="0AA25D2B"/>
  <w16cid:commentId w16cid:paraId="11C11B0E" w16cid:durableId="6AB024B2"/>
  <w16cid:commentId w16cid:paraId="02B3E43A" w16cid:durableId="6784C076"/>
  <w16cid:commentId w16cid:paraId="3B41F870" w16cid:durableId="3FB4BAAB"/>
  <w16cid:commentId w16cid:paraId="4C8F90FB" w16cid:durableId="7469B1C1"/>
  <w16cid:commentId w16cid:paraId="2F01CD0A" w16cid:durableId="75C80564"/>
  <w16cid:commentId w16cid:paraId="607AA43B" w16cid:durableId="6E3508BD"/>
  <w16cid:commentId w16cid:paraId="6C18C63D" w16cid:durableId="06AA5854"/>
  <w16cid:commentId w16cid:paraId="20E77A3D" w16cid:durableId="23F9F183"/>
  <w16cid:commentId w16cid:paraId="41E34257" w16cid:durableId="13847489"/>
  <w16cid:commentId w16cid:paraId="4674E251" w16cid:durableId="06694E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6C0F0C" w14:textId="77777777" w:rsidR="00CF49DD" w:rsidRDefault="00CF49DD" w:rsidP="00C846E9">
      <w:r>
        <w:separator/>
      </w:r>
    </w:p>
  </w:endnote>
  <w:endnote w:type="continuationSeparator" w:id="0">
    <w:p w14:paraId="702A226B" w14:textId="77777777" w:rsidR="00CF49DD" w:rsidRDefault="00CF49DD" w:rsidP="00C84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868A8" w14:textId="77777777" w:rsidR="00CF49DD" w:rsidRDefault="00CF49DD" w:rsidP="00C846E9">
      <w:r>
        <w:separator/>
      </w:r>
    </w:p>
  </w:footnote>
  <w:footnote w:type="continuationSeparator" w:id="0">
    <w:p w14:paraId="1C4EC92C" w14:textId="77777777" w:rsidR="00CF49DD" w:rsidRDefault="00CF49DD" w:rsidP="00C846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25965"/>
    <w:multiLevelType w:val="hybridMultilevel"/>
    <w:tmpl w:val="EDF692BE"/>
    <w:lvl w:ilvl="0" w:tplc="DDCA1C7A">
      <w:start w:val="3"/>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CB01C7"/>
    <w:multiLevelType w:val="hybridMultilevel"/>
    <w:tmpl w:val="7276B9D0"/>
    <w:lvl w:ilvl="0" w:tplc="C700C9C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8603E9"/>
    <w:multiLevelType w:val="hybridMultilevel"/>
    <w:tmpl w:val="54FCB224"/>
    <w:lvl w:ilvl="0" w:tplc="6D9ECDD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0F77BE"/>
    <w:multiLevelType w:val="hybridMultilevel"/>
    <w:tmpl w:val="8A66DD8E"/>
    <w:lvl w:ilvl="0" w:tplc="F4CCBF7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B02254"/>
    <w:multiLevelType w:val="hybridMultilevel"/>
    <w:tmpl w:val="28F815B2"/>
    <w:lvl w:ilvl="0" w:tplc="4F280DD6">
      <w:start w:val="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E0BA3"/>
    <w:multiLevelType w:val="hybridMultilevel"/>
    <w:tmpl w:val="FC305C2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E23B7D"/>
    <w:multiLevelType w:val="hybridMultilevel"/>
    <w:tmpl w:val="A6E07626"/>
    <w:lvl w:ilvl="0" w:tplc="1746193E">
      <w:start w:val="5"/>
      <w:numFmt w:val="bullet"/>
      <w:lvlText w:val=""/>
      <w:lvlJc w:val="left"/>
      <w:pPr>
        <w:ind w:left="1440" w:hanging="360"/>
      </w:pPr>
      <w:rPr>
        <w:rFonts w:ascii="Wingdings" w:eastAsiaTheme="minorHAnsi" w:hAnsi="Wingding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22F0B78"/>
    <w:multiLevelType w:val="hybridMultilevel"/>
    <w:tmpl w:val="840894E4"/>
    <w:lvl w:ilvl="0" w:tplc="406CCC8A">
      <w:start w:val="2"/>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FA6998"/>
    <w:multiLevelType w:val="multilevel"/>
    <w:tmpl w:val="8814D4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452131F"/>
    <w:multiLevelType w:val="hybridMultilevel"/>
    <w:tmpl w:val="353491CC"/>
    <w:lvl w:ilvl="0" w:tplc="B44097FC">
      <w:start w:val="5"/>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CA48AB"/>
    <w:multiLevelType w:val="hybridMultilevel"/>
    <w:tmpl w:val="80BE9E86"/>
    <w:lvl w:ilvl="0" w:tplc="EE6684B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EB046C"/>
    <w:multiLevelType w:val="hybridMultilevel"/>
    <w:tmpl w:val="C86210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4728D6"/>
    <w:multiLevelType w:val="hybridMultilevel"/>
    <w:tmpl w:val="3DC6498C"/>
    <w:lvl w:ilvl="0" w:tplc="42E6F51E">
      <w:start w:val="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55260A"/>
    <w:multiLevelType w:val="multilevel"/>
    <w:tmpl w:val="32E03A74"/>
    <w:lvl w:ilvl="0">
      <w:start w:val="6"/>
      <w:numFmt w:val="decimal"/>
      <w:lvlText w:val="%1."/>
      <w:lvlJc w:val="left"/>
      <w:pPr>
        <w:ind w:left="500" w:hanging="5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E7D369E"/>
    <w:multiLevelType w:val="hybridMultilevel"/>
    <w:tmpl w:val="596600D2"/>
    <w:lvl w:ilvl="0" w:tplc="9CDC2748">
      <w:start w:val="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8D1BB0"/>
    <w:multiLevelType w:val="hybridMultilevel"/>
    <w:tmpl w:val="2A14CAB4"/>
    <w:lvl w:ilvl="0" w:tplc="1B40D926">
      <w:numFmt w:val="bullet"/>
      <w:lvlText w:val=""/>
      <w:lvlJc w:val="left"/>
      <w:pPr>
        <w:ind w:left="2160" w:hanging="360"/>
      </w:pPr>
      <w:rPr>
        <w:rFonts w:ascii="Wingdings" w:eastAsiaTheme="minorHAnsi" w:hAnsi="Wingdings"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371A118E"/>
    <w:multiLevelType w:val="hybridMultilevel"/>
    <w:tmpl w:val="31B8A4F0"/>
    <w:lvl w:ilvl="0" w:tplc="B22E0B1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C30928"/>
    <w:multiLevelType w:val="hybridMultilevel"/>
    <w:tmpl w:val="F538E848"/>
    <w:lvl w:ilvl="0" w:tplc="0AB0525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514CA1"/>
    <w:multiLevelType w:val="hybridMultilevel"/>
    <w:tmpl w:val="6986B37E"/>
    <w:lvl w:ilvl="0" w:tplc="9B64CC9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193195"/>
    <w:multiLevelType w:val="hybridMultilevel"/>
    <w:tmpl w:val="BDA85490"/>
    <w:lvl w:ilvl="0" w:tplc="BE7404C8">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1F660C"/>
    <w:multiLevelType w:val="hybridMultilevel"/>
    <w:tmpl w:val="3B8A6EF2"/>
    <w:lvl w:ilvl="0" w:tplc="5914AC02">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E730AA"/>
    <w:multiLevelType w:val="hybridMultilevel"/>
    <w:tmpl w:val="56960F16"/>
    <w:lvl w:ilvl="0" w:tplc="9BA2FAD4">
      <w:start w:val="3"/>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7F650A"/>
    <w:multiLevelType w:val="hybridMultilevel"/>
    <w:tmpl w:val="D160DEF8"/>
    <w:lvl w:ilvl="0" w:tplc="9822F5D0">
      <w:numFmt w:val="bullet"/>
      <w:lvlText w:val="-"/>
      <w:lvlJc w:val="left"/>
      <w:pPr>
        <w:ind w:left="1080" w:hanging="360"/>
      </w:pPr>
      <w:rPr>
        <w:rFonts w:ascii="Aptos" w:eastAsiaTheme="minorHAnsi" w:hAnsi="Aptos"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6F830E8"/>
    <w:multiLevelType w:val="hybridMultilevel"/>
    <w:tmpl w:val="AD06713A"/>
    <w:lvl w:ilvl="0" w:tplc="17FEB53E">
      <w:start w:val="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F96B60"/>
    <w:multiLevelType w:val="hybridMultilevel"/>
    <w:tmpl w:val="3E28D6A4"/>
    <w:lvl w:ilvl="0" w:tplc="2014245C">
      <w:start w:val="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874D08"/>
    <w:multiLevelType w:val="hybridMultilevel"/>
    <w:tmpl w:val="E6C24DE2"/>
    <w:lvl w:ilvl="0" w:tplc="EE92E50E">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6C073D"/>
    <w:multiLevelType w:val="hybridMultilevel"/>
    <w:tmpl w:val="70ECA652"/>
    <w:lvl w:ilvl="0" w:tplc="436E5976">
      <w:start w:val="3"/>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5954265">
    <w:abstractNumId w:val="18"/>
  </w:num>
  <w:num w:numId="2" w16cid:durableId="509758628">
    <w:abstractNumId w:val="11"/>
  </w:num>
  <w:num w:numId="3" w16cid:durableId="215707546">
    <w:abstractNumId w:val="20"/>
  </w:num>
  <w:num w:numId="4" w16cid:durableId="231428604">
    <w:abstractNumId w:val="17"/>
  </w:num>
  <w:num w:numId="5" w16cid:durableId="1952127502">
    <w:abstractNumId w:val="22"/>
  </w:num>
  <w:num w:numId="6" w16cid:durableId="631832594">
    <w:abstractNumId w:val="8"/>
  </w:num>
  <w:num w:numId="7" w16cid:durableId="1285499889">
    <w:abstractNumId w:val="25"/>
  </w:num>
  <w:num w:numId="8" w16cid:durableId="2098595882">
    <w:abstractNumId w:val="0"/>
  </w:num>
  <w:num w:numId="9" w16cid:durableId="1409156046">
    <w:abstractNumId w:val="26"/>
  </w:num>
  <w:num w:numId="10" w16cid:durableId="641345817">
    <w:abstractNumId w:val="21"/>
  </w:num>
  <w:num w:numId="11" w16cid:durableId="1558011957">
    <w:abstractNumId w:val="24"/>
  </w:num>
  <w:num w:numId="12" w16cid:durableId="30614682">
    <w:abstractNumId w:val="14"/>
  </w:num>
  <w:num w:numId="13" w16cid:durableId="2056075327">
    <w:abstractNumId w:val="15"/>
  </w:num>
  <w:num w:numId="14" w16cid:durableId="367797629">
    <w:abstractNumId w:val="19"/>
  </w:num>
  <w:num w:numId="15" w16cid:durableId="720403955">
    <w:abstractNumId w:val="12"/>
  </w:num>
  <w:num w:numId="16" w16cid:durableId="1777555561">
    <w:abstractNumId w:val="10"/>
  </w:num>
  <w:num w:numId="17" w16cid:durableId="1539006766">
    <w:abstractNumId w:val="5"/>
  </w:num>
  <w:num w:numId="18" w16cid:durableId="1325470304">
    <w:abstractNumId w:val="7"/>
  </w:num>
  <w:num w:numId="19" w16cid:durableId="1860966900">
    <w:abstractNumId w:val="16"/>
  </w:num>
  <w:num w:numId="20" w16cid:durableId="713193929">
    <w:abstractNumId w:val="9"/>
  </w:num>
  <w:num w:numId="21" w16cid:durableId="977489631">
    <w:abstractNumId w:val="6"/>
  </w:num>
  <w:num w:numId="22" w16cid:durableId="88550266">
    <w:abstractNumId w:val="4"/>
  </w:num>
  <w:num w:numId="23" w16cid:durableId="1256745530">
    <w:abstractNumId w:val="23"/>
  </w:num>
  <w:num w:numId="24" w16cid:durableId="1636333829">
    <w:abstractNumId w:val="13"/>
  </w:num>
  <w:num w:numId="25" w16cid:durableId="1201284400">
    <w:abstractNumId w:val="1"/>
  </w:num>
  <w:num w:numId="26" w16cid:durableId="1334915139">
    <w:abstractNumId w:val="2"/>
  </w:num>
  <w:num w:numId="27" w16cid:durableId="164993969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hilip Muller">
    <w15:presenceInfo w15:providerId="AD" w15:userId="S::634720pm@eur.nl::cf228872-62b3-4c2e-92bd-e5cfe0eae8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68D"/>
    <w:rsid w:val="00005EF6"/>
    <w:rsid w:val="000073E2"/>
    <w:rsid w:val="00010D54"/>
    <w:rsid w:val="000111EF"/>
    <w:rsid w:val="00013783"/>
    <w:rsid w:val="00014992"/>
    <w:rsid w:val="00014B95"/>
    <w:rsid w:val="0001711D"/>
    <w:rsid w:val="000176BB"/>
    <w:rsid w:val="000305F0"/>
    <w:rsid w:val="000319CA"/>
    <w:rsid w:val="00032754"/>
    <w:rsid w:val="00035CDF"/>
    <w:rsid w:val="00035F24"/>
    <w:rsid w:val="00046556"/>
    <w:rsid w:val="000524DB"/>
    <w:rsid w:val="00052ED9"/>
    <w:rsid w:val="0005305A"/>
    <w:rsid w:val="000535CA"/>
    <w:rsid w:val="00057B16"/>
    <w:rsid w:val="00057DA6"/>
    <w:rsid w:val="00062774"/>
    <w:rsid w:val="00064C43"/>
    <w:rsid w:val="00064CD6"/>
    <w:rsid w:val="000651D5"/>
    <w:rsid w:val="00066955"/>
    <w:rsid w:val="000729F7"/>
    <w:rsid w:val="000748D6"/>
    <w:rsid w:val="00080DE9"/>
    <w:rsid w:val="00081F6E"/>
    <w:rsid w:val="00082895"/>
    <w:rsid w:val="0008477B"/>
    <w:rsid w:val="00084FAF"/>
    <w:rsid w:val="000856C9"/>
    <w:rsid w:val="00092680"/>
    <w:rsid w:val="00096C4F"/>
    <w:rsid w:val="000A72DA"/>
    <w:rsid w:val="000B2927"/>
    <w:rsid w:val="000B3D94"/>
    <w:rsid w:val="000C4F75"/>
    <w:rsid w:val="000C6266"/>
    <w:rsid w:val="000C63EF"/>
    <w:rsid w:val="000C642C"/>
    <w:rsid w:val="000D3106"/>
    <w:rsid w:val="000D592C"/>
    <w:rsid w:val="000E3605"/>
    <w:rsid w:val="000F41E1"/>
    <w:rsid w:val="0010039A"/>
    <w:rsid w:val="00112E12"/>
    <w:rsid w:val="0011403F"/>
    <w:rsid w:val="00115BE4"/>
    <w:rsid w:val="001255A8"/>
    <w:rsid w:val="001370A6"/>
    <w:rsid w:val="00137A79"/>
    <w:rsid w:val="00141FED"/>
    <w:rsid w:val="001434F5"/>
    <w:rsid w:val="001447AC"/>
    <w:rsid w:val="0014612D"/>
    <w:rsid w:val="00150D82"/>
    <w:rsid w:val="001523BB"/>
    <w:rsid w:val="00157FA0"/>
    <w:rsid w:val="001632D8"/>
    <w:rsid w:val="001715F7"/>
    <w:rsid w:val="001716B6"/>
    <w:rsid w:val="0017240B"/>
    <w:rsid w:val="00175F35"/>
    <w:rsid w:val="0017733D"/>
    <w:rsid w:val="00182E97"/>
    <w:rsid w:val="00184C2F"/>
    <w:rsid w:val="00187208"/>
    <w:rsid w:val="001A23E6"/>
    <w:rsid w:val="001A5BDB"/>
    <w:rsid w:val="001A60AF"/>
    <w:rsid w:val="001A7246"/>
    <w:rsid w:val="001B0290"/>
    <w:rsid w:val="001B4111"/>
    <w:rsid w:val="001B428E"/>
    <w:rsid w:val="001B46AF"/>
    <w:rsid w:val="001B59C5"/>
    <w:rsid w:val="001B6481"/>
    <w:rsid w:val="001B78E0"/>
    <w:rsid w:val="001D1B24"/>
    <w:rsid w:val="001E6FE1"/>
    <w:rsid w:val="001F4303"/>
    <w:rsid w:val="001F66B9"/>
    <w:rsid w:val="00201B0B"/>
    <w:rsid w:val="00202D66"/>
    <w:rsid w:val="002060E3"/>
    <w:rsid w:val="0021070A"/>
    <w:rsid w:val="00211343"/>
    <w:rsid w:val="002117B1"/>
    <w:rsid w:val="0021525E"/>
    <w:rsid w:val="00217598"/>
    <w:rsid w:val="00221DA7"/>
    <w:rsid w:val="00236EEE"/>
    <w:rsid w:val="00237D79"/>
    <w:rsid w:val="00240712"/>
    <w:rsid w:val="0024406A"/>
    <w:rsid w:val="00247855"/>
    <w:rsid w:val="00247B14"/>
    <w:rsid w:val="00251622"/>
    <w:rsid w:val="00252C6D"/>
    <w:rsid w:val="00253FB5"/>
    <w:rsid w:val="00254382"/>
    <w:rsid w:val="0025717F"/>
    <w:rsid w:val="0026154A"/>
    <w:rsid w:val="00263CB2"/>
    <w:rsid w:val="00272C00"/>
    <w:rsid w:val="00275F42"/>
    <w:rsid w:val="00280BB5"/>
    <w:rsid w:val="00282970"/>
    <w:rsid w:val="002869BA"/>
    <w:rsid w:val="00296836"/>
    <w:rsid w:val="00297CE7"/>
    <w:rsid w:val="002A12BA"/>
    <w:rsid w:val="002A23C5"/>
    <w:rsid w:val="002A369F"/>
    <w:rsid w:val="002A415F"/>
    <w:rsid w:val="002A4B3D"/>
    <w:rsid w:val="002A5D30"/>
    <w:rsid w:val="002A78C0"/>
    <w:rsid w:val="002B150B"/>
    <w:rsid w:val="002B1D52"/>
    <w:rsid w:val="002C4E12"/>
    <w:rsid w:val="002D31BB"/>
    <w:rsid w:val="002D76E2"/>
    <w:rsid w:val="002E1745"/>
    <w:rsid w:val="002E1E15"/>
    <w:rsid w:val="002E3BDB"/>
    <w:rsid w:val="002E5B67"/>
    <w:rsid w:val="002E6843"/>
    <w:rsid w:val="002F2430"/>
    <w:rsid w:val="002F462F"/>
    <w:rsid w:val="002F6386"/>
    <w:rsid w:val="002F66B3"/>
    <w:rsid w:val="00301296"/>
    <w:rsid w:val="0030241B"/>
    <w:rsid w:val="00305F9E"/>
    <w:rsid w:val="00311264"/>
    <w:rsid w:val="00314E53"/>
    <w:rsid w:val="00315DD6"/>
    <w:rsid w:val="003167C8"/>
    <w:rsid w:val="00317C42"/>
    <w:rsid w:val="003226E0"/>
    <w:rsid w:val="003324D6"/>
    <w:rsid w:val="0033762E"/>
    <w:rsid w:val="0034265E"/>
    <w:rsid w:val="00357DDC"/>
    <w:rsid w:val="00361319"/>
    <w:rsid w:val="00363427"/>
    <w:rsid w:val="003634E6"/>
    <w:rsid w:val="00364F4F"/>
    <w:rsid w:val="00366226"/>
    <w:rsid w:val="0037032F"/>
    <w:rsid w:val="00371F36"/>
    <w:rsid w:val="003722B6"/>
    <w:rsid w:val="00374278"/>
    <w:rsid w:val="003802FE"/>
    <w:rsid w:val="003865C7"/>
    <w:rsid w:val="00387099"/>
    <w:rsid w:val="00387731"/>
    <w:rsid w:val="00393C1C"/>
    <w:rsid w:val="00393E2D"/>
    <w:rsid w:val="003A0719"/>
    <w:rsid w:val="003A17D9"/>
    <w:rsid w:val="003A1B4C"/>
    <w:rsid w:val="003A1C09"/>
    <w:rsid w:val="003A66EE"/>
    <w:rsid w:val="003A77BC"/>
    <w:rsid w:val="003B095E"/>
    <w:rsid w:val="003B2FED"/>
    <w:rsid w:val="003B45FD"/>
    <w:rsid w:val="003B647E"/>
    <w:rsid w:val="003B6945"/>
    <w:rsid w:val="003B6FCA"/>
    <w:rsid w:val="003C0742"/>
    <w:rsid w:val="003C4A5A"/>
    <w:rsid w:val="003C5FA8"/>
    <w:rsid w:val="003C665C"/>
    <w:rsid w:val="003C7BEC"/>
    <w:rsid w:val="003E122B"/>
    <w:rsid w:val="003E3F51"/>
    <w:rsid w:val="003E635F"/>
    <w:rsid w:val="003F0480"/>
    <w:rsid w:val="003F23AA"/>
    <w:rsid w:val="003F4068"/>
    <w:rsid w:val="003F4DD7"/>
    <w:rsid w:val="0040002B"/>
    <w:rsid w:val="00401BC0"/>
    <w:rsid w:val="0041000C"/>
    <w:rsid w:val="00412407"/>
    <w:rsid w:val="00422F37"/>
    <w:rsid w:val="004233CA"/>
    <w:rsid w:val="004513A9"/>
    <w:rsid w:val="004552FF"/>
    <w:rsid w:val="00461E97"/>
    <w:rsid w:val="004658BA"/>
    <w:rsid w:val="00466312"/>
    <w:rsid w:val="0046664D"/>
    <w:rsid w:val="004718A4"/>
    <w:rsid w:val="004728C9"/>
    <w:rsid w:val="00473179"/>
    <w:rsid w:val="00481DB7"/>
    <w:rsid w:val="00484AF7"/>
    <w:rsid w:val="004873A0"/>
    <w:rsid w:val="00495220"/>
    <w:rsid w:val="004A3FAD"/>
    <w:rsid w:val="004B5BF8"/>
    <w:rsid w:val="004C76DD"/>
    <w:rsid w:val="004C7EB9"/>
    <w:rsid w:val="004D29D9"/>
    <w:rsid w:val="004D3825"/>
    <w:rsid w:val="004E098C"/>
    <w:rsid w:val="004E2878"/>
    <w:rsid w:val="004E4601"/>
    <w:rsid w:val="004E5AE3"/>
    <w:rsid w:val="004F0D06"/>
    <w:rsid w:val="004F33E4"/>
    <w:rsid w:val="004F6AAC"/>
    <w:rsid w:val="0050087C"/>
    <w:rsid w:val="0050411C"/>
    <w:rsid w:val="00514A94"/>
    <w:rsid w:val="005171C3"/>
    <w:rsid w:val="00517A19"/>
    <w:rsid w:val="00522115"/>
    <w:rsid w:val="005225C5"/>
    <w:rsid w:val="00523FD7"/>
    <w:rsid w:val="00527759"/>
    <w:rsid w:val="0053424F"/>
    <w:rsid w:val="00534304"/>
    <w:rsid w:val="005345C1"/>
    <w:rsid w:val="00534854"/>
    <w:rsid w:val="0053584E"/>
    <w:rsid w:val="00535D44"/>
    <w:rsid w:val="00536AE7"/>
    <w:rsid w:val="00541DBD"/>
    <w:rsid w:val="00542C67"/>
    <w:rsid w:val="00550118"/>
    <w:rsid w:val="00557157"/>
    <w:rsid w:val="005648D3"/>
    <w:rsid w:val="00564DFF"/>
    <w:rsid w:val="00566C7B"/>
    <w:rsid w:val="00570B81"/>
    <w:rsid w:val="00573147"/>
    <w:rsid w:val="00577DF0"/>
    <w:rsid w:val="00580D21"/>
    <w:rsid w:val="005859A3"/>
    <w:rsid w:val="00586E00"/>
    <w:rsid w:val="00587132"/>
    <w:rsid w:val="0059141C"/>
    <w:rsid w:val="005919D3"/>
    <w:rsid w:val="00592638"/>
    <w:rsid w:val="0059432E"/>
    <w:rsid w:val="00595732"/>
    <w:rsid w:val="005A3D38"/>
    <w:rsid w:val="005B5735"/>
    <w:rsid w:val="005D3B57"/>
    <w:rsid w:val="005D4607"/>
    <w:rsid w:val="005D7B3D"/>
    <w:rsid w:val="005E1585"/>
    <w:rsid w:val="005E40B8"/>
    <w:rsid w:val="005E481B"/>
    <w:rsid w:val="005E6850"/>
    <w:rsid w:val="005F5BED"/>
    <w:rsid w:val="00600939"/>
    <w:rsid w:val="00602445"/>
    <w:rsid w:val="006050A7"/>
    <w:rsid w:val="00613868"/>
    <w:rsid w:val="006152DF"/>
    <w:rsid w:val="00615B7C"/>
    <w:rsid w:val="006228F4"/>
    <w:rsid w:val="00623D32"/>
    <w:rsid w:val="0062654F"/>
    <w:rsid w:val="00627445"/>
    <w:rsid w:val="00632EA6"/>
    <w:rsid w:val="00633F7B"/>
    <w:rsid w:val="0063402A"/>
    <w:rsid w:val="0065203B"/>
    <w:rsid w:val="00654354"/>
    <w:rsid w:val="006554C7"/>
    <w:rsid w:val="0065758F"/>
    <w:rsid w:val="006655F0"/>
    <w:rsid w:val="006718D7"/>
    <w:rsid w:val="00673E20"/>
    <w:rsid w:val="00674959"/>
    <w:rsid w:val="00675FC6"/>
    <w:rsid w:val="00676C4E"/>
    <w:rsid w:val="00677946"/>
    <w:rsid w:val="006822B4"/>
    <w:rsid w:val="00682E48"/>
    <w:rsid w:val="0068424D"/>
    <w:rsid w:val="00692027"/>
    <w:rsid w:val="0069588F"/>
    <w:rsid w:val="0069610B"/>
    <w:rsid w:val="00696A5B"/>
    <w:rsid w:val="006B208F"/>
    <w:rsid w:val="006B3448"/>
    <w:rsid w:val="006B78B8"/>
    <w:rsid w:val="006C165C"/>
    <w:rsid w:val="006C7F8B"/>
    <w:rsid w:val="006D13F3"/>
    <w:rsid w:val="006F77F0"/>
    <w:rsid w:val="00715C7F"/>
    <w:rsid w:val="00716F31"/>
    <w:rsid w:val="007200E7"/>
    <w:rsid w:val="0072333B"/>
    <w:rsid w:val="00723EA5"/>
    <w:rsid w:val="007242E7"/>
    <w:rsid w:val="007258AD"/>
    <w:rsid w:val="0073389B"/>
    <w:rsid w:val="00734A68"/>
    <w:rsid w:val="0073701B"/>
    <w:rsid w:val="0074123C"/>
    <w:rsid w:val="0074386F"/>
    <w:rsid w:val="00745B02"/>
    <w:rsid w:val="00746656"/>
    <w:rsid w:val="007506DD"/>
    <w:rsid w:val="00755362"/>
    <w:rsid w:val="007639D0"/>
    <w:rsid w:val="00763BC3"/>
    <w:rsid w:val="00764CBC"/>
    <w:rsid w:val="00771AC5"/>
    <w:rsid w:val="007748E0"/>
    <w:rsid w:val="00777EF3"/>
    <w:rsid w:val="00782E8A"/>
    <w:rsid w:val="007861F3"/>
    <w:rsid w:val="0078742D"/>
    <w:rsid w:val="007917CD"/>
    <w:rsid w:val="00791C0A"/>
    <w:rsid w:val="00793032"/>
    <w:rsid w:val="00793B68"/>
    <w:rsid w:val="00795C94"/>
    <w:rsid w:val="00797964"/>
    <w:rsid w:val="00797B90"/>
    <w:rsid w:val="007A204B"/>
    <w:rsid w:val="007A22CF"/>
    <w:rsid w:val="007B1FAA"/>
    <w:rsid w:val="007B22F5"/>
    <w:rsid w:val="007C1FD2"/>
    <w:rsid w:val="007C47A1"/>
    <w:rsid w:val="007D43C7"/>
    <w:rsid w:val="007D7EBA"/>
    <w:rsid w:val="007E5DC8"/>
    <w:rsid w:val="007E692A"/>
    <w:rsid w:val="007F3866"/>
    <w:rsid w:val="007F4049"/>
    <w:rsid w:val="00801B21"/>
    <w:rsid w:val="00804430"/>
    <w:rsid w:val="00805795"/>
    <w:rsid w:val="00806E31"/>
    <w:rsid w:val="00813DB9"/>
    <w:rsid w:val="00814697"/>
    <w:rsid w:val="00815A5B"/>
    <w:rsid w:val="008240C1"/>
    <w:rsid w:val="00824948"/>
    <w:rsid w:val="008272EA"/>
    <w:rsid w:val="0083434B"/>
    <w:rsid w:val="00840E28"/>
    <w:rsid w:val="008535D2"/>
    <w:rsid w:val="00855DF2"/>
    <w:rsid w:val="008634AD"/>
    <w:rsid w:val="00866784"/>
    <w:rsid w:val="0087252D"/>
    <w:rsid w:val="008770DD"/>
    <w:rsid w:val="00881DCB"/>
    <w:rsid w:val="00883186"/>
    <w:rsid w:val="00890ADC"/>
    <w:rsid w:val="008A007D"/>
    <w:rsid w:val="008A4CE8"/>
    <w:rsid w:val="008B4180"/>
    <w:rsid w:val="008B53FE"/>
    <w:rsid w:val="008C04A8"/>
    <w:rsid w:val="008C1A1B"/>
    <w:rsid w:val="008C2F6E"/>
    <w:rsid w:val="008D244A"/>
    <w:rsid w:val="008D5B38"/>
    <w:rsid w:val="008D769B"/>
    <w:rsid w:val="008D77D7"/>
    <w:rsid w:val="008E3C34"/>
    <w:rsid w:val="009028C3"/>
    <w:rsid w:val="009040D4"/>
    <w:rsid w:val="00907358"/>
    <w:rsid w:val="0090784D"/>
    <w:rsid w:val="009178E0"/>
    <w:rsid w:val="009215BC"/>
    <w:rsid w:val="00921E14"/>
    <w:rsid w:val="009259B9"/>
    <w:rsid w:val="009265D2"/>
    <w:rsid w:val="0092671E"/>
    <w:rsid w:val="0092692D"/>
    <w:rsid w:val="009277AC"/>
    <w:rsid w:val="009325E6"/>
    <w:rsid w:val="00933B64"/>
    <w:rsid w:val="00936580"/>
    <w:rsid w:val="0094277E"/>
    <w:rsid w:val="00942D8F"/>
    <w:rsid w:val="009443C7"/>
    <w:rsid w:val="009503BC"/>
    <w:rsid w:val="009535C5"/>
    <w:rsid w:val="00953D88"/>
    <w:rsid w:val="00953EF8"/>
    <w:rsid w:val="00961DD0"/>
    <w:rsid w:val="00965B1D"/>
    <w:rsid w:val="0096602F"/>
    <w:rsid w:val="0096691B"/>
    <w:rsid w:val="00970206"/>
    <w:rsid w:val="00971D1B"/>
    <w:rsid w:val="00972131"/>
    <w:rsid w:val="00981D7D"/>
    <w:rsid w:val="009828B6"/>
    <w:rsid w:val="00984EBB"/>
    <w:rsid w:val="00985120"/>
    <w:rsid w:val="0098595C"/>
    <w:rsid w:val="00990518"/>
    <w:rsid w:val="0099590D"/>
    <w:rsid w:val="009A109C"/>
    <w:rsid w:val="009A390B"/>
    <w:rsid w:val="009A4F6A"/>
    <w:rsid w:val="009A674A"/>
    <w:rsid w:val="009C00BA"/>
    <w:rsid w:val="009C71D2"/>
    <w:rsid w:val="009C7482"/>
    <w:rsid w:val="009D121F"/>
    <w:rsid w:val="009D1DBF"/>
    <w:rsid w:val="009D42BC"/>
    <w:rsid w:val="009D5EDC"/>
    <w:rsid w:val="009D6023"/>
    <w:rsid w:val="009D64BC"/>
    <w:rsid w:val="009E0C8E"/>
    <w:rsid w:val="009E17EB"/>
    <w:rsid w:val="009E3569"/>
    <w:rsid w:val="009E6869"/>
    <w:rsid w:val="009E69CA"/>
    <w:rsid w:val="009F5F0E"/>
    <w:rsid w:val="009F601A"/>
    <w:rsid w:val="009F69BD"/>
    <w:rsid w:val="00A01488"/>
    <w:rsid w:val="00A03A77"/>
    <w:rsid w:val="00A12829"/>
    <w:rsid w:val="00A14595"/>
    <w:rsid w:val="00A233B5"/>
    <w:rsid w:val="00A23FE8"/>
    <w:rsid w:val="00A25E2E"/>
    <w:rsid w:val="00A26FB6"/>
    <w:rsid w:val="00A27599"/>
    <w:rsid w:val="00A32544"/>
    <w:rsid w:val="00A33776"/>
    <w:rsid w:val="00A35F8D"/>
    <w:rsid w:val="00A42A6A"/>
    <w:rsid w:val="00A44098"/>
    <w:rsid w:val="00A54257"/>
    <w:rsid w:val="00A60579"/>
    <w:rsid w:val="00A70A76"/>
    <w:rsid w:val="00A7401E"/>
    <w:rsid w:val="00A77BD1"/>
    <w:rsid w:val="00A819C9"/>
    <w:rsid w:val="00A82923"/>
    <w:rsid w:val="00A84239"/>
    <w:rsid w:val="00A96E5E"/>
    <w:rsid w:val="00A97780"/>
    <w:rsid w:val="00AA3DEC"/>
    <w:rsid w:val="00AA41CB"/>
    <w:rsid w:val="00AB006C"/>
    <w:rsid w:val="00AB38F9"/>
    <w:rsid w:val="00AB5835"/>
    <w:rsid w:val="00AB798B"/>
    <w:rsid w:val="00AC0BF5"/>
    <w:rsid w:val="00AC2942"/>
    <w:rsid w:val="00AC70D9"/>
    <w:rsid w:val="00AC7204"/>
    <w:rsid w:val="00AD24BC"/>
    <w:rsid w:val="00AD28C4"/>
    <w:rsid w:val="00AD30DE"/>
    <w:rsid w:val="00AD390A"/>
    <w:rsid w:val="00AD62F6"/>
    <w:rsid w:val="00AF1C63"/>
    <w:rsid w:val="00AF22E3"/>
    <w:rsid w:val="00AF23EC"/>
    <w:rsid w:val="00AF505A"/>
    <w:rsid w:val="00AF69E9"/>
    <w:rsid w:val="00AF6ACF"/>
    <w:rsid w:val="00AF787E"/>
    <w:rsid w:val="00B008AB"/>
    <w:rsid w:val="00B0552F"/>
    <w:rsid w:val="00B0706F"/>
    <w:rsid w:val="00B10548"/>
    <w:rsid w:val="00B122A3"/>
    <w:rsid w:val="00B13CFF"/>
    <w:rsid w:val="00B151CD"/>
    <w:rsid w:val="00B15AED"/>
    <w:rsid w:val="00B2539E"/>
    <w:rsid w:val="00B33127"/>
    <w:rsid w:val="00B33B9F"/>
    <w:rsid w:val="00B33E96"/>
    <w:rsid w:val="00B37843"/>
    <w:rsid w:val="00B45934"/>
    <w:rsid w:val="00B6289D"/>
    <w:rsid w:val="00B62EE0"/>
    <w:rsid w:val="00B66365"/>
    <w:rsid w:val="00B722CF"/>
    <w:rsid w:val="00B72EAA"/>
    <w:rsid w:val="00B74911"/>
    <w:rsid w:val="00B75BD8"/>
    <w:rsid w:val="00B80AA1"/>
    <w:rsid w:val="00B875A9"/>
    <w:rsid w:val="00B87999"/>
    <w:rsid w:val="00B96B6D"/>
    <w:rsid w:val="00BA1E18"/>
    <w:rsid w:val="00BA4D24"/>
    <w:rsid w:val="00BA678B"/>
    <w:rsid w:val="00BA70B1"/>
    <w:rsid w:val="00BB11F9"/>
    <w:rsid w:val="00BB75D6"/>
    <w:rsid w:val="00BB7903"/>
    <w:rsid w:val="00BC1F4C"/>
    <w:rsid w:val="00BD3F34"/>
    <w:rsid w:val="00BD4E02"/>
    <w:rsid w:val="00BE6D50"/>
    <w:rsid w:val="00BF2BB6"/>
    <w:rsid w:val="00BF46AC"/>
    <w:rsid w:val="00BF576F"/>
    <w:rsid w:val="00C00E66"/>
    <w:rsid w:val="00C03C1C"/>
    <w:rsid w:val="00C067F7"/>
    <w:rsid w:val="00C072F7"/>
    <w:rsid w:val="00C10ACC"/>
    <w:rsid w:val="00C122B0"/>
    <w:rsid w:val="00C1456E"/>
    <w:rsid w:val="00C14D2C"/>
    <w:rsid w:val="00C2269D"/>
    <w:rsid w:val="00C253A1"/>
    <w:rsid w:val="00C25ACA"/>
    <w:rsid w:val="00C25E49"/>
    <w:rsid w:val="00C3568D"/>
    <w:rsid w:val="00C35761"/>
    <w:rsid w:val="00C35AF1"/>
    <w:rsid w:val="00C41240"/>
    <w:rsid w:val="00C57B36"/>
    <w:rsid w:val="00C60959"/>
    <w:rsid w:val="00C61A48"/>
    <w:rsid w:val="00C70060"/>
    <w:rsid w:val="00C74403"/>
    <w:rsid w:val="00C846E9"/>
    <w:rsid w:val="00C92620"/>
    <w:rsid w:val="00C95271"/>
    <w:rsid w:val="00C9590D"/>
    <w:rsid w:val="00CA03CE"/>
    <w:rsid w:val="00CA5AD5"/>
    <w:rsid w:val="00CA7015"/>
    <w:rsid w:val="00CB0758"/>
    <w:rsid w:val="00CB1D71"/>
    <w:rsid w:val="00CB25D2"/>
    <w:rsid w:val="00CB27AC"/>
    <w:rsid w:val="00CB3952"/>
    <w:rsid w:val="00CB5A51"/>
    <w:rsid w:val="00CB5CEC"/>
    <w:rsid w:val="00CB664E"/>
    <w:rsid w:val="00CB6668"/>
    <w:rsid w:val="00CC373A"/>
    <w:rsid w:val="00CC7F9E"/>
    <w:rsid w:val="00CD19BA"/>
    <w:rsid w:val="00CD3528"/>
    <w:rsid w:val="00CD4880"/>
    <w:rsid w:val="00CD7A66"/>
    <w:rsid w:val="00CE00B6"/>
    <w:rsid w:val="00CE15B3"/>
    <w:rsid w:val="00CE4940"/>
    <w:rsid w:val="00CE7D2C"/>
    <w:rsid w:val="00CF01C0"/>
    <w:rsid w:val="00CF1838"/>
    <w:rsid w:val="00CF41B0"/>
    <w:rsid w:val="00CF49DD"/>
    <w:rsid w:val="00CF7964"/>
    <w:rsid w:val="00D05732"/>
    <w:rsid w:val="00D064BD"/>
    <w:rsid w:val="00D1349B"/>
    <w:rsid w:val="00D155C2"/>
    <w:rsid w:val="00D20E54"/>
    <w:rsid w:val="00D2138F"/>
    <w:rsid w:val="00D21B93"/>
    <w:rsid w:val="00D24BD7"/>
    <w:rsid w:val="00D2567E"/>
    <w:rsid w:val="00D3381B"/>
    <w:rsid w:val="00D34EAC"/>
    <w:rsid w:val="00D374CE"/>
    <w:rsid w:val="00D413F0"/>
    <w:rsid w:val="00D42BCD"/>
    <w:rsid w:val="00D43D97"/>
    <w:rsid w:val="00D44011"/>
    <w:rsid w:val="00D4474C"/>
    <w:rsid w:val="00D47EB5"/>
    <w:rsid w:val="00D50183"/>
    <w:rsid w:val="00D54AD7"/>
    <w:rsid w:val="00D56263"/>
    <w:rsid w:val="00D56CEB"/>
    <w:rsid w:val="00D61BC8"/>
    <w:rsid w:val="00D61EF9"/>
    <w:rsid w:val="00D641FD"/>
    <w:rsid w:val="00D64C91"/>
    <w:rsid w:val="00D671A1"/>
    <w:rsid w:val="00D74078"/>
    <w:rsid w:val="00D74E5F"/>
    <w:rsid w:val="00D758BF"/>
    <w:rsid w:val="00D76BFB"/>
    <w:rsid w:val="00D83C7D"/>
    <w:rsid w:val="00D92492"/>
    <w:rsid w:val="00DA0A6B"/>
    <w:rsid w:val="00DA2ECF"/>
    <w:rsid w:val="00DB0200"/>
    <w:rsid w:val="00DB0D87"/>
    <w:rsid w:val="00DB20E3"/>
    <w:rsid w:val="00DB6606"/>
    <w:rsid w:val="00DB7AB4"/>
    <w:rsid w:val="00DC13DE"/>
    <w:rsid w:val="00DD3028"/>
    <w:rsid w:val="00DD5588"/>
    <w:rsid w:val="00DD6A68"/>
    <w:rsid w:val="00DE1EE7"/>
    <w:rsid w:val="00DE4404"/>
    <w:rsid w:val="00DE5294"/>
    <w:rsid w:val="00DF0697"/>
    <w:rsid w:val="00DF4CBE"/>
    <w:rsid w:val="00E11736"/>
    <w:rsid w:val="00E32932"/>
    <w:rsid w:val="00E355A6"/>
    <w:rsid w:val="00E3602C"/>
    <w:rsid w:val="00E4029F"/>
    <w:rsid w:val="00E4436F"/>
    <w:rsid w:val="00E45628"/>
    <w:rsid w:val="00E45A0A"/>
    <w:rsid w:val="00E536AA"/>
    <w:rsid w:val="00E54BCC"/>
    <w:rsid w:val="00E6026C"/>
    <w:rsid w:val="00E61FB3"/>
    <w:rsid w:val="00E644B2"/>
    <w:rsid w:val="00E65F72"/>
    <w:rsid w:val="00E67395"/>
    <w:rsid w:val="00E70B05"/>
    <w:rsid w:val="00E718DC"/>
    <w:rsid w:val="00E74D5E"/>
    <w:rsid w:val="00E768D8"/>
    <w:rsid w:val="00E77225"/>
    <w:rsid w:val="00E8436A"/>
    <w:rsid w:val="00E87450"/>
    <w:rsid w:val="00E91DD7"/>
    <w:rsid w:val="00E976A2"/>
    <w:rsid w:val="00EA185C"/>
    <w:rsid w:val="00EA1ABF"/>
    <w:rsid w:val="00EB095B"/>
    <w:rsid w:val="00EB0EFC"/>
    <w:rsid w:val="00EB16DD"/>
    <w:rsid w:val="00EB5FFC"/>
    <w:rsid w:val="00EB7C73"/>
    <w:rsid w:val="00EC2EBB"/>
    <w:rsid w:val="00ED1DB5"/>
    <w:rsid w:val="00ED51D5"/>
    <w:rsid w:val="00ED7215"/>
    <w:rsid w:val="00ED7A0C"/>
    <w:rsid w:val="00EE0ED5"/>
    <w:rsid w:val="00EE2A42"/>
    <w:rsid w:val="00EE390D"/>
    <w:rsid w:val="00EE676B"/>
    <w:rsid w:val="00EF2065"/>
    <w:rsid w:val="00EF414E"/>
    <w:rsid w:val="00EF6FA9"/>
    <w:rsid w:val="00F10AA2"/>
    <w:rsid w:val="00F15838"/>
    <w:rsid w:val="00F16854"/>
    <w:rsid w:val="00F21200"/>
    <w:rsid w:val="00F21C19"/>
    <w:rsid w:val="00F479AA"/>
    <w:rsid w:val="00F52274"/>
    <w:rsid w:val="00F532D7"/>
    <w:rsid w:val="00F54904"/>
    <w:rsid w:val="00F60EA2"/>
    <w:rsid w:val="00F61156"/>
    <w:rsid w:val="00F7160F"/>
    <w:rsid w:val="00F752C3"/>
    <w:rsid w:val="00F8496B"/>
    <w:rsid w:val="00F90B86"/>
    <w:rsid w:val="00F92345"/>
    <w:rsid w:val="00F92424"/>
    <w:rsid w:val="00F931E4"/>
    <w:rsid w:val="00F9780C"/>
    <w:rsid w:val="00FA074C"/>
    <w:rsid w:val="00FA093B"/>
    <w:rsid w:val="00FA55E9"/>
    <w:rsid w:val="00FA5BC2"/>
    <w:rsid w:val="00FB1626"/>
    <w:rsid w:val="00FC0FB1"/>
    <w:rsid w:val="00FC2401"/>
    <w:rsid w:val="00FC4D06"/>
    <w:rsid w:val="00FC62C4"/>
    <w:rsid w:val="00FD1C43"/>
    <w:rsid w:val="00FD43B1"/>
    <w:rsid w:val="00FD6871"/>
    <w:rsid w:val="00FD69DB"/>
    <w:rsid w:val="00FE66B7"/>
    <w:rsid w:val="00FF3D46"/>
    <w:rsid w:val="00FF73AA"/>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15914"/>
  <w15:chartTrackingRefBased/>
  <w15:docId w15:val="{26358D0D-5C35-114D-AB24-950C812EE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EA6"/>
    <w:rPr>
      <w:lang w:val="en-US"/>
    </w:rPr>
  </w:style>
  <w:style w:type="paragraph" w:styleId="Heading1">
    <w:name w:val="heading 1"/>
    <w:basedOn w:val="Normal"/>
    <w:next w:val="Normal"/>
    <w:link w:val="Heading1Char"/>
    <w:uiPriority w:val="9"/>
    <w:qFormat/>
    <w:rsid w:val="00C356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356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356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356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356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C3568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C3568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568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568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68D"/>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C3568D"/>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C3568D"/>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C3568D"/>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rsid w:val="00C3568D"/>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rsid w:val="00C3568D"/>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rsid w:val="00C3568D"/>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C3568D"/>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C3568D"/>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C3568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568D"/>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C3568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568D"/>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C3568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3568D"/>
    <w:rPr>
      <w:i/>
      <w:iCs/>
      <w:color w:val="404040" w:themeColor="text1" w:themeTint="BF"/>
      <w:lang w:val="en-US"/>
    </w:rPr>
  </w:style>
  <w:style w:type="paragraph" w:styleId="ListParagraph">
    <w:name w:val="List Paragraph"/>
    <w:basedOn w:val="Normal"/>
    <w:uiPriority w:val="34"/>
    <w:qFormat/>
    <w:rsid w:val="00C3568D"/>
    <w:pPr>
      <w:ind w:left="720"/>
      <w:contextualSpacing/>
    </w:pPr>
  </w:style>
  <w:style w:type="character" w:styleId="IntenseEmphasis">
    <w:name w:val="Intense Emphasis"/>
    <w:basedOn w:val="DefaultParagraphFont"/>
    <w:uiPriority w:val="21"/>
    <w:qFormat/>
    <w:rsid w:val="00C3568D"/>
    <w:rPr>
      <w:i/>
      <w:iCs/>
      <w:color w:val="0F4761" w:themeColor="accent1" w:themeShade="BF"/>
    </w:rPr>
  </w:style>
  <w:style w:type="paragraph" w:styleId="IntenseQuote">
    <w:name w:val="Intense Quote"/>
    <w:basedOn w:val="Normal"/>
    <w:next w:val="Normal"/>
    <w:link w:val="IntenseQuoteChar"/>
    <w:uiPriority w:val="30"/>
    <w:qFormat/>
    <w:rsid w:val="00C356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568D"/>
    <w:rPr>
      <w:i/>
      <w:iCs/>
      <w:color w:val="0F4761" w:themeColor="accent1" w:themeShade="BF"/>
      <w:lang w:val="en-US"/>
    </w:rPr>
  </w:style>
  <w:style w:type="character" w:styleId="IntenseReference">
    <w:name w:val="Intense Reference"/>
    <w:basedOn w:val="DefaultParagraphFont"/>
    <w:uiPriority w:val="32"/>
    <w:qFormat/>
    <w:rsid w:val="00C3568D"/>
    <w:rPr>
      <w:b/>
      <w:bCs/>
      <w:smallCaps/>
      <w:color w:val="0F4761" w:themeColor="accent1" w:themeShade="BF"/>
      <w:spacing w:val="5"/>
    </w:rPr>
  </w:style>
  <w:style w:type="character" w:styleId="CommentReference">
    <w:name w:val="annotation reference"/>
    <w:basedOn w:val="DefaultParagraphFont"/>
    <w:uiPriority w:val="99"/>
    <w:semiHidden/>
    <w:unhideWhenUsed/>
    <w:rsid w:val="001F66B9"/>
    <w:rPr>
      <w:sz w:val="16"/>
      <w:szCs w:val="16"/>
    </w:rPr>
  </w:style>
  <w:style w:type="paragraph" w:styleId="CommentText">
    <w:name w:val="annotation text"/>
    <w:basedOn w:val="Normal"/>
    <w:link w:val="CommentTextChar"/>
    <w:uiPriority w:val="99"/>
    <w:semiHidden/>
    <w:unhideWhenUsed/>
    <w:rsid w:val="001F66B9"/>
    <w:rPr>
      <w:sz w:val="20"/>
      <w:szCs w:val="20"/>
    </w:rPr>
  </w:style>
  <w:style w:type="character" w:customStyle="1" w:styleId="CommentTextChar">
    <w:name w:val="Comment Text Char"/>
    <w:basedOn w:val="DefaultParagraphFont"/>
    <w:link w:val="CommentText"/>
    <w:uiPriority w:val="99"/>
    <w:semiHidden/>
    <w:rsid w:val="001F66B9"/>
    <w:rPr>
      <w:sz w:val="20"/>
      <w:szCs w:val="20"/>
      <w:lang w:val="en-US"/>
    </w:rPr>
  </w:style>
  <w:style w:type="paragraph" w:styleId="CommentSubject">
    <w:name w:val="annotation subject"/>
    <w:basedOn w:val="CommentText"/>
    <w:next w:val="CommentText"/>
    <w:link w:val="CommentSubjectChar"/>
    <w:uiPriority w:val="99"/>
    <w:semiHidden/>
    <w:unhideWhenUsed/>
    <w:rsid w:val="001F66B9"/>
    <w:rPr>
      <w:b/>
      <w:bCs/>
    </w:rPr>
  </w:style>
  <w:style w:type="character" w:customStyle="1" w:styleId="CommentSubjectChar">
    <w:name w:val="Comment Subject Char"/>
    <w:basedOn w:val="CommentTextChar"/>
    <w:link w:val="CommentSubject"/>
    <w:uiPriority w:val="99"/>
    <w:semiHidden/>
    <w:rsid w:val="001F66B9"/>
    <w:rPr>
      <w:b/>
      <w:bCs/>
      <w:sz w:val="20"/>
      <w:szCs w:val="20"/>
      <w:lang w:val="en-US"/>
    </w:rPr>
  </w:style>
  <w:style w:type="character" w:styleId="Hyperlink">
    <w:name w:val="Hyperlink"/>
    <w:basedOn w:val="DefaultParagraphFont"/>
    <w:uiPriority w:val="99"/>
    <w:unhideWhenUsed/>
    <w:rsid w:val="001F66B9"/>
    <w:rPr>
      <w:color w:val="467886" w:themeColor="hyperlink"/>
      <w:u w:val="single"/>
    </w:rPr>
  </w:style>
  <w:style w:type="character" w:styleId="UnresolvedMention">
    <w:name w:val="Unresolved Mention"/>
    <w:basedOn w:val="DefaultParagraphFont"/>
    <w:uiPriority w:val="99"/>
    <w:semiHidden/>
    <w:unhideWhenUsed/>
    <w:rsid w:val="001F66B9"/>
    <w:rPr>
      <w:color w:val="605E5C"/>
      <w:shd w:val="clear" w:color="auto" w:fill="E1DFDD"/>
    </w:rPr>
  </w:style>
  <w:style w:type="table" w:styleId="TableGrid">
    <w:name w:val="Table Grid"/>
    <w:basedOn w:val="TableNormal"/>
    <w:uiPriority w:val="39"/>
    <w:rsid w:val="00AF22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20E54"/>
    <w:pPr>
      <w:spacing w:after="200"/>
    </w:pPr>
    <w:rPr>
      <w:i/>
      <w:iCs/>
      <w:color w:val="0E2841" w:themeColor="text2"/>
      <w:sz w:val="18"/>
      <w:szCs w:val="18"/>
    </w:rPr>
  </w:style>
  <w:style w:type="paragraph" w:customStyle="1" w:styleId="p1">
    <w:name w:val="p1"/>
    <w:basedOn w:val="Normal"/>
    <w:rsid w:val="00B15AED"/>
    <w:rPr>
      <w:rFonts w:ascii="Times New Roman" w:eastAsia="Times New Roman" w:hAnsi="Times New Roman" w:cs="Times New Roman"/>
      <w:kern w:val="0"/>
      <w:lang w:val="en-NL" w:eastAsia="en-GB"/>
      <w14:ligatures w14:val="none"/>
    </w:rPr>
  </w:style>
  <w:style w:type="paragraph" w:customStyle="1" w:styleId="p2">
    <w:name w:val="p2"/>
    <w:basedOn w:val="Normal"/>
    <w:rsid w:val="00B15AED"/>
    <w:rPr>
      <w:rFonts w:ascii="Times New Roman" w:eastAsia="Times New Roman" w:hAnsi="Times New Roman" w:cs="Times New Roman"/>
      <w:kern w:val="0"/>
      <w:lang w:val="en-NL" w:eastAsia="en-GB"/>
      <w14:ligatures w14:val="none"/>
    </w:rPr>
  </w:style>
  <w:style w:type="character" w:customStyle="1" w:styleId="s1">
    <w:name w:val="s1"/>
    <w:basedOn w:val="DefaultParagraphFont"/>
    <w:rsid w:val="00B15AED"/>
    <w:rPr>
      <w:rFonts w:ascii="Helvetica" w:hAnsi="Helvetica" w:hint="default"/>
      <w:sz w:val="18"/>
      <w:szCs w:val="18"/>
    </w:rPr>
  </w:style>
  <w:style w:type="paragraph" w:styleId="TOCHeading">
    <w:name w:val="TOC Heading"/>
    <w:basedOn w:val="Heading1"/>
    <w:next w:val="Normal"/>
    <w:uiPriority w:val="39"/>
    <w:unhideWhenUsed/>
    <w:qFormat/>
    <w:rsid w:val="0008477B"/>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08477B"/>
    <w:pPr>
      <w:spacing w:before="120"/>
    </w:pPr>
    <w:rPr>
      <w:b/>
      <w:bCs/>
      <w:i/>
      <w:iCs/>
    </w:rPr>
  </w:style>
  <w:style w:type="paragraph" w:styleId="TOC2">
    <w:name w:val="toc 2"/>
    <w:basedOn w:val="Normal"/>
    <w:next w:val="Normal"/>
    <w:autoRedefine/>
    <w:uiPriority w:val="39"/>
    <w:unhideWhenUsed/>
    <w:rsid w:val="0008477B"/>
    <w:pPr>
      <w:spacing w:before="120"/>
      <w:ind w:left="240"/>
    </w:pPr>
    <w:rPr>
      <w:b/>
      <w:bCs/>
      <w:sz w:val="22"/>
      <w:szCs w:val="22"/>
    </w:rPr>
  </w:style>
  <w:style w:type="paragraph" w:styleId="TOC3">
    <w:name w:val="toc 3"/>
    <w:basedOn w:val="Normal"/>
    <w:next w:val="Normal"/>
    <w:autoRedefine/>
    <w:uiPriority w:val="39"/>
    <w:unhideWhenUsed/>
    <w:rsid w:val="0008477B"/>
    <w:pPr>
      <w:ind w:left="480"/>
    </w:pPr>
    <w:rPr>
      <w:sz w:val="20"/>
      <w:szCs w:val="20"/>
    </w:rPr>
  </w:style>
  <w:style w:type="paragraph" w:styleId="TOC4">
    <w:name w:val="toc 4"/>
    <w:basedOn w:val="Normal"/>
    <w:next w:val="Normal"/>
    <w:autoRedefine/>
    <w:uiPriority w:val="39"/>
    <w:semiHidden/>
    <w:unhideWhenUsed/>
    <w:rsid w:val="0008477B"/>
    <w:pPr>
      <w:ind w:left="720"/>
    </w:pPr>
    <w:rPr>
      <w:sz w:val="20"/>
      <w:szCs w:val="20"/>
    </w:rPr>
  </w:style>
  <w:style w:type="paragraph" w:styleId="TOC5">
    <w:name w:val="toc 5"/>
    <w:basedOn w:val="Normal"/>
    <w:next w:val="Normal"/>
    <w:autoRedefine/>
    <w:uiPriority w:val="39"/>
    <w:semiHidden/>
    <w:unhideWhenUsed/>
    <w:rsid w:val="0008477B"/>
    <w:pPr>
      <w:ind w:left="960"/>
    </w:pPr>
    <w:rPr>
      <w:sz w:val="20"/>
      <w:szCs w:val="20"/>
    </w:rPr>
  </w:style>
  <w:style w:type="paragraph" w:styleId="TOC6">
    <w:name w:val="toc 6"/>
    <w:basedOn w:val="Normal"/>
    <w:next w:val="Normal"/>
    <w:autoRedefine/>
    <w:uiPriority w:val="39"/>
    <w:semiHidden/>
    <w:unhideWhenUsed/>
    <w:rsid w:val="0008477B"/>
    <w:pPr>
      <w:ind w:left="1200"/>
    </w:pPr>
    <w:rPr>
      <w:sz w:val="20"/>
      <w:szCs w:val="20"/>
    </w:rPr>
  </w:style>
  <w:style w:type="paragraph" w:styleId="TOC7">
    <w:name w:val="toc 7"/>
    <w:basedOn w:val="Normal"/>
    <w:next w:val="Normal"/>
    <w:autoRedefine/>
    <w:uiPriority w:val="39"/>
    <w:semiHidden/>
    <w:unhideWhenUsed/>
    <w:rsid w:val="0008477B"/>
    <w:pPr>
      <w:ind w:left="1440"/>
    </w:pPr>
    <w:rPr>
      <w:sz w:val="20"/>
      <w:szCs w:val="20"/>
    </w:rPr>
  </w:style>
  <w:style w:type="paragraph" w:styleId="TOC8">
    <w:name w:val="toc 8"/>
    <w:basedOn w:val="Normal"/>
    <w:next w:val="Normal"/>
    <w:autoRedefine/>
    <w:uiPriority w:val="39"/>
    <w:semiHidden/>
    <w:unhideWhenUsed/>
    <w:rsid w:val="0008477B"/>
    <w:pPr>
      <w:ind w:left="1680"/>
    </w:pPr>
    <w:rPr>
      <w:sz w:val="20"/>
      <w:szCs w:val="20"/>
    </w:rPr>
  </w:style>
  <w:style w:type="paragraph" w:styleId="TOC9">
    <w:name w:val="toc 9"/>
    <w:basedOn w:val="Normal"/>
    <w:next w:val="Normal"/>
    <w:autoRedefine/>
    <w:uiPriority w:val="39"/>
    <w:semiHidden/>
    <w:unhideWhenUsed/>
    <w:rsid w:val="0008477B"/>
    <w:pPr>
      <w:ind w:left="1920"/>
    </w:pPr>
    <w:rPr>
      <w:sz w:val="20"/>
      <w:szCs w:val="20"/>
    </w:rPr>
  </w:style>
  <w:style w:type="paragraph" w:styleId="Bibliography">
    <w:name w:val="Bibliography"/>
    <w:basedOn w:val="Normal"/>
    <w:next w:val="Normal"/>
    <w:uiPriority w:val="37"/>
    <w:unhideWhenUsed/>
    <w:rsid w:val="00CD3528"/>
    <w:pPr>
      <w:spacing w:line="480" w:lineRule="auto"/>
      <w:ind w:left="720" w:hanging="720"/>
    </w:pPr>
  </w:style>
  <w:style w:type="paragraph" w:styleId="TableofFigures">
    <w:name w:val="table of figures"/>
    <w:basedOn w:val="Normal"/>
    <w:next w:val="Normal"/>
    <w:uiPriority w:val="99"/>
    <w:unhideWhenUsed/>
    <w:rsid w:val="00890ADC"/>
  </w:style>
  <w:style w:type="paragraph" w:styleId="Header">
    <w:name w:val="header"/>
    <w:basedOn w:val="Normal"/>
    <w:link w:val="HeaderChar"/>
    <w:uiPriority w:val="99"/>
    <w:unhideWhenUsed/>
    <w:rsid w:val="00C846E9"/>
    <w:pPr>
      <w:tabs>
        <w:tab w:val="center" w:pos="4513"/>
        <w:tab w:val="right" w:pos="9026"/>
      </w:tabs>
    </w:pPr>
  </w:style>
  <w:style w:type="character" w:customStyle="1" w:styleId="HeaderChar">
    <w:name w:val="Header Char"/>
    <w:basedOn w:val="DefaultParagraphFont"/>
    <w:link w:val="Header"/>
    <w:uiPriority w:val="99"/>
    <w:rsid w:val="00C846E9"/>
    <w:rPr>
      <w:lang w:val="en-US"/>
    </w:rPr>
  </w:style>
  <w:style w:type="paragraph" w:styleId="Footer">
    <w:name w:val="footer"/>
    <w:basedOn w:val="Normal"/>
    <w:link w:val="FooterChar"/>
    <w:uiPriority w:val="99"/>
    <w:unhideWhenUsed/>
    <w:rsid w:val="00C846E9"/>
    <w:pPr>
      <w:tabs>
        <w:tab w:val="center" w:pos="4513"/>
        <w:tab w:val="right" w:pos="9026"/>
      </w:tabs>
    </w:pPr>
  </w:style>
  <w:style w:type="character" w:customStyle="1" w:styleId="FooterChar">
    <w:name w:val="Footer Char"/>
    <w:basedOn w:val="DefaultParagraphFont"/>
    <w:link w:val="Footer"/>
    <w:uiPriority w:val="99"/>
    <w:rsid w:val="00C846E9"/>
    <w:rPr>
      <w:lang w:val="en-US"/>
    </w:rPr>
  </w:style>
  <w:style w:type="character" w:styleId="FollowedHyperlink">
    <w:name w:val="FollowedHyperlink"/>
    <w:basedOn w:val="DefaultParagraphFont"/>
    <w:uiPriority w:val="99"/>
    <w:semiHidden/>
    <w:unhideWhenUsed/>
    <w:rsid w:val="00393E2D"/>
    <w:rPr>
      <w:color w:val="96607D" w:themeColor="followedHyperlink"/>
      <w:u w:val="single"/>
    </w:rPr>
  </w:style>
  <w:style w:type="character" w:styleId="PlaceholderText">
    <w:name w:val="Placeholder Text"/>
    <w:basedOn w:val="DefaultParagraphFont"/>
    <w:uiPriority w:val="99"/>
    <w:semiHidden/>
    <w:rsid w:val="00CD19B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9381">
      <w:bodyDiv w:val="1"/>
      <w:marLeft w:val="0"/>
      <w:marRight w:val="0"/>
      <w:marTop w:val="0"/>
      <w:marBottom w:val="0"/>
      <w:divBdr>
        <w:top w:val="none" w:sz="0" w:space="0" w:color="auto"/>
        <w:left w:val="none" w:sz="0" w:space="0" w:color="auto"/>
        <w:bottom w:val="none" w:sz="0" w:space="0" w:color="auto"/>
        <w:right w:val="none" w:sz="0" w:space="0" w:color="auto"/>
      </w:divBdr>
    </w:div>
    <w:div w:id="116219195">
      <w:bodyDiv w:val="1"/>
      <w:marLeft w:val="0"/>
      <w:marRight w:val="0"/>
      <w:marTop w:val="0"/>
      <w:marBottom w:val="0"/>
      <w:divBdr>
        <w:top w:val="none" w:sz="0" w:space="0" w:color="auto"/>
        <w:left w:val="none" w:sz="0" w:space="0" w:color="auto"/>
        <w:bottom w:val="none" w:sz="0" w:space="0" w:color="auto"/>
        <w:right w:val="none" w:sz="0" w:space="0" w:color="auto"/>
      </w:divBdr>
    </w:div>
    <w:div w:id="240994939">
      <w:bodyDiv w:val="1"/>
      <w:marLeft w:val="0"/>
      <w:marRight w:val="0"/>
      <w:marTop w:val="0"/>
      <w:marBottom w:val="0"/>
      <w:divBdr>
        <w:top w:val="none" w:sz="0" w:space="0" w:color="auto"/>
        <w:left w:val="none" w:sz="0" w:space="0" w:color="auto"/>
        <w:bottom w:val="none" w:sz="0" w:space="0" w:color="auto"/>
        <w:right w:val="none" w:sz="0" w:space="0" w:color="auto"/>
      </w:divBdr>
    </w:div>
    <w:div w:id="253982016">
      <w:bodyDiv w:val="1"/>
      <w:marLeft w:val="0"/>
      <w:marRight w:val="0"/>
      <w:marTop w:val="0"/>
      <w:marBottom w:val="0"/>
      <w:divBdr>
        <w:top w:val="none" w:sz="0" w:space="0" w:color="auto"/>
        <w:left w:val="none" w:sz="0" w:space="0" w:color="auto"/>
        <w:bottom w:val="none" w:sz="0" w:space="0" w:color="auto"/>
        <w:right w:val="none" w:sz="0" w:space="0" w:color="auto"/>
      </w:divBdr>
    </w:div>
    <w:div w:id="396782824">
      <w:bodyDiv w:val="1"/>
      <w:marLeft w:val="0"/>
      <w:marRight w:val="0"/>
      <w:marTop w:val="0"/>
      <w:marBottom w:val="0"/>
      <w:divBdr>
        <w:top w:val="none" w:sz="0" w:space="0" w:color="auto"/>
        <w:left w:val="none" w:sz="0" w:space="0" w:color="auto"/>
        <w:bottom w:val="none" w:sz="0" w:space="0" w:color="auto"/>
        <w:right w:val="none" w:sz="0" w:space="0" w:color="auto"/>
      </w:divBdr>
    </w:div>
    <w:div w:id="426003412">
      <w:bodyDiv w:val="1"/>
      <w:marLeft w:val="0"/>
      <w:marRight w:val="0"/>
      <w:marTop w:val="0"/>
      <w:marBottom w:val="0"/>
      <w:divBdr>
        <w:top w:val="none" w:sz="0" w:space="0" w:color="auto"/>
        <w:left w:val="none" w:sz="0" w:space="0" w:color="auto"/>
        <w:bottom w:val="none" w:sz="0" w:space="0" w:color="auto"/>
        <w:right w:val="none" w:sz="0" w:space="0" w:color="auto"/>
      </w:divBdr>
    </w:div>
    <w:div w:id="808789948">
      <w:bodyDiv w:val="1"/>
      <w:marLeft w:val="0"/>
      <w:marRight w:val="0"/>
      <w:marTop w:val="0"/>
      <w:marBottom w:val="0"/>
      <w:divBdr>
        <w:top w:val="none" w:sz="0" w:space="0" w:color="auto"/>
        <w:left w:val="none" w:sz="0" w:space="0" w:color="auto"/>
        <w:bottom w:val="none" w:sz="0" w:space="0" w:color="auto"/>
        <w:right w:val="none" w:sz="0" w:space="0" w:color="auto"/>
      </w:divBdr>
    </w:div>
    <w:div w:id="870655885">
      <w:bodyDiv w:val="1"/>
      <w:marLeft w:val="0"/>
      <w:marRight w:val="0"/>
      <w:marTop w:val="0"/>
      <w:marBottom w:val="0"/>
      <w:divBdr>
        <w:top w:val="none" w:sz="0" w:space="0" w:color="auto"/>
        <w:left w:val="none" w:sz="0" w:space="0" w:color="auto"/>
        <w:bottom w:val="none" w:sz="0" w:space="0" w:color="auto"/>
        <w:right w:val="none" w:sz="0" w:space="0" w:color="auto"/>
      </w:divBdr>
    </w:div>
    <w:div w:id="931008435">
      <w:bodyDiv w:val="1"/>
      <w:marLeft w:val="0"/>
      <w:marRight w:val="0"/>
      <w:marTop w:val="0"/>
      <w:marBottom w:val="0"/>
      <w:divBdr>
        <w:top w:val="none" w:sz="0" w:space="0" w:color="auto"/>
        <w:left w:val="none" w:sz="0" w:space="0" w:color="auto"/>
        <w:bottom w:val="none" w:sz="0" w:space="0" w:color="auto"/>
        <w:right w:val="none" w:sz="0" w:space="0" w:color="auto"/>
      </w:divBdr>
    </w:div>
    <w:div w:id="956528648">
      <w:bodyDiv w:val="1"/>
      <w:marLeft w:val="0"/>
      <w:marRight w:val="0"/>
      <w:marTop w:val="0"/>
      <w:marBottom w:val="0"/>
      <w:divBdr>
        <w:top w:val="none" w:sz="0" w:space="0" w:color="auto"/>
        <w:left w:val="none" w:sz="0" w:space="0" w:color="auto"/>
        <w:bottom w:val="none" w:sz="0" w:space="0" w:color="auto"/>
        <w:right w:val="none" w:sz="0" w:space="0" w:color="auto"/>
      </w:divBdr>
    </w:div>
    <w:div w:id="994063127">
      <w:bodyDiv w:val="1"/>
      <w:marLeft w:val="0"/>
      <w:marRight w:val="0"/>
      <w:marTop w:val="0"/>
      <w:marBottom w:val="0"/>
      <w:divBdr>
        <w:top w:val="none" w:sz="0" w:space="0" w:color="auto"/>
        <w:left w:val="none" w:sz="0" w:space="0" w:color="auto"/>
        <w:bottom w:val="none" w:sz="0" w:space="0" w:color="auto"/>
        <w:right w:val="none" w:sz="0" w:space="0" w:color="auto"/>
      </w:divBdr>
    </w:div>
    <w:div w:id="1163738666">
      <w:bodyDiv w:val="1"/>
      <w:marLeft w:val="0"/>
      <w:marRight w:val="0"/>
      <w:marTop w:val="0"/>
      <w:marBottom w:val="0"/>
      <w:divBdr>
        <w:top w:val="none" w:sz="0" w:space="0" w:color="auto"/>
        <w:left w:val="none" w:sz="0" w:space="0" w:color="auto"/>
        <w:bottom w:val="none" w:sz="0" w:space="0" w:color="auto"/>
        <w:right w:val="none" w:sz="0" w:space="0" w:color="auto"/>
      </w:divBdr>
    </w:div>
    <w:div w:id="1297177317">
      <w:bodyDiv w:val="1"/>
      <w:marLeft w:val="0"/>
      <w:marRight w:val="0"/>
      <w:marTop w:val="0"/>
      <w:marBottom w:val="0"/>
      <w:divBdr>
        <w:top w:val="none" w:sz="0" w:space="0" w:color="auto"/>
        <w:left w:val="none" w:sz="0" w:space="0" w:color="auto"/>
        <w:bottom w:val="none" w:sz="0" w:space="0" w:color="auto"/>
        <w:right w:val="none" w:sz="0" w:space="0" w:color="auto"/>
      </w:divBdr>
    </w:div>
    <w:div w:id="1357728410">
      <w:bodyDiv w:val="1"/>
      <w:marLeft w:val="0"/>
      <w:marRight w:val="0"/>
      <w:marTop w:val="0"/>
      <w:marBottom w:val="0"/>
      <w:divBdr>
        <w:top w:val="none" w:sz="0" w:space="0" w:color="auto"/>
        <w:left w:val="none" w:sz="0" w:space="0" w:color="auto"/>
        <w:bottom w:val="none" w:sz="0" w:space="0" w:color="auto"/>
        <w:right w:val="none" w:sz="0" w:space="0" w:color="auto"/>
      </w:divBdr>
    </w:div>
    <w:div w:id="1445152058">
      <w:bodyDiv w:val="1"/>
      <w:marLeft w:val="0"/>
      <w:marRight w:val="0"/>
      <w:marTop w:val="0"/>
      <w:marBottom w:val="0"/>
      <w:divBdr>
        <w:top w:val="none" w:sz="0" w:space="0" w:color="auto"/>
        <w:left w:val="none" w:sz="0" w:space="0" w:color="auto"/>
        <w:bottom w:val="none" w:sz="0" w:space="0" w:color="auto"/>
        <w:right w:val="none" w:sz="0" w:space="0" w:color="auto"/>
      </w:divBdr>
    </w:div>
    <w:div w:id="1536038270">
      <w:bodyDiv w:val="1"/>
      <w:marLeft w:val="0"/>
      <w:marRight w:val="0"/>
      <w:marTop w:val="0"/>
      <w:marBottom w:val="0"/>
      <w:divBdr>
        <w:top w:val="none" w:sz="0" w:space="0" w:color="auto"/>
        <w:left w:val="none" w:sz="0" w:space="0" w:color="auto"/>
        <w:bottom w:val="none" w:sz="0" w:space="0" w:color="auto"/>
        <w:right w:val="none" w:sz="0" w:space="0" w:color="auto"/>
      </w:divBdr>
    </w:div>
    <w:div w:id="1546596176">
      <w:bodyDiv w:val="1"/>
      <w:marLeft w:val="0"/>
      <w:marRight w:val="0"/>
      <w:marTop w:val="0"/>
      <w:marBottom w:val="0"/>
      <w:divBdr>
        <w:top w:val="none" w:sz="0" w:space="0" w:color="auto"/>
        <w:left w:val="none" w:sz="0" w:space="0" w:color="auto"/>
        <w:bottom w:val="none" w:sz="0" w:space="0" w:color="auto"/>
        <w:right w:val="none" w:sz="0" w:space="0" w:color="auto"/>
      </w:divBdr>
    </w:div>
    <w:div w:id="1733116826">
      <w:bodyDiv w:val="1"/>
      <w:marLeft w:val="0"/>
      <w:marRight w:val="0"/>
      <w:marTop w:val="0"/>
      <w:marBottom w:val="0"/>
      <w:divBdr>
        <w:top w:val="none" w:sz="0" w:space="0" w:color="auto"/>
        <w:left w:val="none" w:sz="0" w:space="0" w:color="auto"/>
        <w:bottom w:val="none" w:sz="0" w:space="0" w:color="auto"/>
        <w:right w:val="none" w:sz="0" w:space="0" w:color="auto"/>
      </w:divBdr>
    </w:div>
    <w:div w:id="1880311221">
      <w:bodyDiv w:val="1"/>
      <w:marLeft w:val="0"/>
      <w:marRight w:val="0"/>
      <w:marTop w:val="0"/>
      <w:marBottom w:val="0"/>
      <w:divBdr>
        <w:top w:val="none" w:sz="0" w:space="0" w:color="auto"/>
        <w:left w:val="none" w:sz="0" w:space="0" w:color="auto"/>
        <w:bottom w:val="none" w:sz="0" w:space="0" w:color="auto"/>
        <w:right w:val="none" w:sz="0" w:space="0" w:color="auto"/>
      </w:divBdr>
    </w:div>
    <w:div w:id="194125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fema.gov/about/glossary/flood-zones"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1.xm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chart" Target="charts/chart5.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chart" Target="charts/chart4.xm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3.xml"/><Relationship Id="rId28" Type="http://schemas.openxmlformats.org/officeDocument/2006/relationships/image" Target="media/image13.png"/><Relationship Id="rId36" Type="http://schemas.openxmlformats.org/officeDocument/2006/relationships/chart" Target="charts/chart7.xml"/><Relationship Id="rId10" Type="http://schemas.openxmlformats.org/officeDocument/2006/relationships/comments" Target="comments.xml"/><Relationship Id="rId19" Type="http://schemas.openxmlformats.org/officeDocument/2006/relationships/chart" Target="charts/chart2.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hart" Target="charts/chart6.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Users/philip/Documents/GitHub/flood-experience/analysis/automated/results/DeterminantsOfRiskPerception_modelevaluation.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Users/philip/Documents/GitHub/flood-experience/analysis/automated/results/DeterminantsOfRiskPerception_modelevaluation.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Users/philip/Documents/GitHub/flood-experience/analysis/automated/results/annotated/probit_socioeconomic_modelevaluation.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Users/philip/Documents/GitHub/flood-experience/analysis/automated/results/annotated/probit_socioeconomic_modelevaluation.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3.xml"/><Relationship Id="rId4" Type="http://schemas.openxmlformats.org/officeDocument/2006/relationships/oleObject" Target="file:////Users/philip/Documents/GitHub/flood-experience/analysis/automated/results/probit_univariate_annotated.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5" Type="http://schemas.openxmlformats.org/officeDocument/2006/relationships/chartUserShapes" Target="../drawings/drawing4.xml"/><Relationship Id="rId4" Type="http://schemas.openxmlformats.org/officeDocument/2006/relationships/oleObject" Target="file:////Users/philip/Documents/GitHub/flood-experience/analysis/automated/results/probit_univariate_annotated.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5" Type="http://schemas.openxmlformats.org/officeDocument/2006/relationships/chartUserShapes" Target="../drawings/drawing5.xml"/><Relationship Id="rId4" Type="http://schemas.openxmlformats.org/officeDocument/2006/relationships/oleObject" Target="file:////Users/philip/Documents/GitHub/flood-experience/analysis/automated/results/probit_univariate_annotat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[DeterminantsOfRiskPerception_modelevaluation.xlsx]BIC!PivotTable2</c:name>
    <c:fmtId val="-1"/>
  </c:pivotSource>
  <c:chart>
    <c:title>
      <c:tx>
        <c:rich>
          <a:bodyPr rot="0" spcFirstLastPara="1" vertOverflow="ellipsis" vert="horz" wrap="square" anchor="ctr" anchorCtr="1"/>
          <a:lstStyle/>
          <a:p>
            <a:pPr>
              <a:defRPr sz="100" b="0" i="0" u="none" strike="noStrike" kern="1200" spc="0" baseline="0">
                <a:solidFill>
                  <a:srgbClr val="FFFFFF"/>
                </a:solidFill>
                <a:latin typeface="Arial" panose="020B0604020202020204" pitchFamily="34" charset="0"/>
                <a:ea typeface="Arial"/>
                <a:cs typeface="Arial"/>
              </a:defRPr>
            </a:pPr>
            <a:r>
              <a:rPr lang="en-US" sz="100" b="0" i="0" u="none">
                <a:solidFill>
                  <a:srgbClr val="FFFFFF"/>
                </a:solidFill>
                <a:latin typeface="Arial" panose="020B0604020202020204" pitchFamily="34" charset="0"/>
              </a:rPr>
              <a:t>Chart Title</a:t>
            </a:r>
          </a:p>
        </c:rich>
      </c:tx>
      <c:overlay val="0"/>
      <c:spPr>
        <a:noFill/>
        <a:ln w="25400">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100" b="0" i="0" u="none" strike="noStrike" kern="1200" spc="0" baseline="0">
              <a:solidFill>
                <a:srgbClr val="FFFFFF"/>
              </a:solidFill>
              <a:latin typeface="Arial" panose="020B0604020202020204" pitchFamily="34" charset="0"/>
              <a:ea typeface="Arial"/>
              <a:cs typeface="Arial"/>
            </a:defRPr>
          </a:pPr>
          <a:endParaRPr lang="de-DE"/>
        </a:p>
      </c:txPr>
    </c:title>
    <c:autoTitleDeleted val="0"/>
    <c:pivotFmts>
      <c:pivotFmt>
        <c:idx val="0"/>
        <c:spPr>
          <a:solidFill>
            <a:srgbClr val="2E3E80"/>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5FA1AD"/>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rgbClr val="ACBFB7"/>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3D664A"/>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A2AE66"/>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992E63"/>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rgbClr val="CCA7A7"/>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rgbClr val="6E9966"/>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rgbClr val="752F5A"/>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rgbClr val="266DA0"/>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BIC!$B$3:$B$4</c:f>
              <c:strCache>
                <c:ptCount val="1"/>
                <c:pt idx="0">
                  <c:v>awareness</c:v>
                </c:pt>
              </c:strCache>
            </c:strRef>
          </c:tx>
          <c:spPr>
            <a:solidFill>
              <a:schemeClr val="accent1"/>
            </a:solidFill>
            <a:ln>
              <a:noFill/>
            </a:ln>
            <a:effectLst/>
          </c:spPr>
          <c:invertIfNegative val="0"/>
          <c:cat>
            <c:strRef>
              <c:f>BIC!$A$5:$A$15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BIC!$B$5:$B$15</c:f>
              <c:numCache>
                <c:formatCode>General</c:formatCode>
                <c:ptCount val="10"/>
                <c:pt idx="0">
                  <c:v>368.13528521462729</c:v>
                </c:pt>
                <c:pt idx="1">
                  <c:v>370.16469865012482</c:v>
                </c:pt>
                <c:pt idx="2">
                  <c:v>259.11687671432469</c:v>
                </c:pt>
                <c:pt idx="3">
                  <c:v>408.12721364170659</c:v>
                </c:pt>
                <c:pt idx="4">
                  <c:v>246.6110624264989</c:v>
                </c:pt>
                <c:pt idx="5">
                  <c:v>407.60116936364909</c:v>
                </c:pt>
                <c:pt idx="6">
                  <c:v>401.53769244136959</c:v>
                </c:pt>
                <c:pt idx="7">
                  <c:v>370.70628313202019</c:v>
                </c:pt>
                <c:pt idx="8">
                  <c:v>223.0219637328502</c:v>
                </c:pt>
                <c:pt idx="9">
                  <c:v>389.0712280336702</c:v>
                </c:pt>
              </c:numCache>
            </c:numRef>
          </c:val>
          <c:extLst>
            <c:ext xmlns:c16="http://schemas.microsoft.com/office/drawing/2014/chart" uri="{C3380CC4-5D6E-409C-BE32-E72D297353CC}">
              <c16:uniqueId val="{00000000-2087-0A49-A59D-5DD0D7781BFA}"/>
            </c:ext>
          </c:extLst>
        </c:ser>
        <c:ser>
          <c:idx val="1"/>
          <c:order val="1"/>
          <c:tx>
            <c:strRef>
              <c:f>BIC!$C$3:$C$4</c:f>
              <c:strCache>
                <c:ptCount val="1"/>
                <c:pt idx="0">
                  <c:v>experience</c:v>
                </c:pt>
              </c:strCache>
            </c:strRef>
          </c:tx>
          <c:spPr>
            <a:solidFill>
              <a:schemeClr val="accent2"/>
            </a:solidFill>
            <a:ln>
              <a:noFill/>
            </a:ln>
            <a:effectLst/>
          </c:spPr>
          <c:invertIfNegative val="0"/>
          <c:cat>
            <c:strRef>
              <c:f>BIC!$A$5:$A$15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BIC!$C$5:$C$15</c:f>
              <c:numCache>
                <c:formatCode>General</c:formatCode>
                <c:ptCount val="10"/>
                <c:pt idx="0">
                  <c:v>458.45724282860681</c:v>
                </c:pt>
                <c:pt idx="1">
                  <c:v>440.52920176972532</c:v>
                </c:pt>
                <c:pt idx="2">
                  <c:v>314.05451048265752</c:v>
                </c:pt>
                <c:pt idx="3">
                  <c:v>483.96337491328569</c:v>
                </c:pt>
                <c:pt idx="4">
                  <c:v>270.9399257087116</c:v>
                </c:pt>
                <c:pt idx="5">
                  <c:v>484.9797935828766</c:v>
                </c:pt>
                <c:pt idx="6">
                  <c:v>488.40756439999569</c:v>
                </c:pt>
                <c:pt idx="7">
                  <c:v>453.14534063974531</c:v>
                </c:pt>
                <c:pt idx="8">
                  <c:v>264.5150538711448</c:v>
                </c:pt>
                <c:pt idx="9">
                  <c:v>465.78776129984118</c:v>
                </c:pt>
              </c:numCache>
            </c:numRef>
          </c:val>
          <c:extLst>
            <c:ext xmlns:c16="http://schemas.microsoft.com/office/drawing/2014/chart" uri="{C3380CC4-5D6E-409C-BE32-E72D297353CC}">
              <c16:uniqueId val="{00000001-2087-0A49-A59D-5DD0D7781BFA}"/>
            </c:ext>
          </c:extLst>
        </c:ser>
        <c:ser>
          <c:idx val="2"/>
          <c:order val="2"/>
          <c:tx>
            <c:strRef>
              <c:f>BIC!$D$3:$D$4</c:f>
              <c:strCache>
                <c:ptCount val="1"/>
                <c:pt idx="0">
                  <c:v>floodzone</c:v>
                </c:pt>
              </c:strCache>
            </c:strRef>
          </c:tx>
          <c:spPr>
            <a:solidFill>
              <a:schemeClr val="accent3"/>
            </a:solidFill>
            <a:ln>
              <a:noFill/>
            </a:ln>
            <a:effectLst/>
          </c:spPr>
          <c:invertIfNegative val="0"/>
          <c:cat>
            <c:strRef>
              <c:f>BIC!$A$5:$A$15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BIC!$D$5:$D$15</c:f>
              <c:numCache>
                <c:formatCode>General</c:formatCode>
                <c:ptCount val="10"/>
                <c:pt idx="0">
                  <c:v>365.71069333774869</c:v>
                </c:pt>
                <c:pt idx="1">
                  <c:v>383.06605904452908</c:v>
                </c:pt>
                <c:pt idx="2">
                  <c:v>266.99434855823438</c:v>
                </c:pt>
                <c:pt idx="3">
                  <c:v>414.22506356902443</c:v>
                </c:pt>
                <c:pt idx="4">
                  <c:v>248.57072479496219</c:v>
                </c:pt>
                <c:pt idx="5">
                  <c:v>431.46962516514321</c:v>
                </c:pt>
                <c:pt idx="6">
                  <c:v>424.2890843273675</c:v>
                </c:pt>
                <c:pt idx="7">
                  <c:v>379.61776349508631</c:v>
                </c:pt>
                <c:pt idx="8">
                  <c:v>219.03149077062599</c:v>
                </c:pt>
                <c:pt idx="9">
                  <c:v>413.27191881349142</c:v>
                </c:pt>
              </c:numCache>
            </c:numRef>
          </c:val>
          <c:extLst>
            <c:ext xmlns:c16="http://schemas.microsoft.com/office/drawing/2014/chart" uri="{C3380CC4-5D6E-409C-BE32-E72D297353CC}">
              <c16:uniqueId val="{00000002-2087-0A49-A59D-5DD0D7781BFA}"/>
            </c:ext>
          </c:extLst>
        </c:ser>
        <c:ser>
          <c:idx val="3"/>
          <c:order val="3"/>
          <c:tx>
            <c:strRef>
              <c:f>BIC!$E$3:$E$4</c:f>
              <c:strCache>
                <c:ptCount val="1"/>
                <c:pt idx="0">
                  <c:v>multivariate</c:v>
                </c:pt>
              </c:strCache>
            </c:strRef>
          </c:tx>
          <c:spPr>
            <a:solidFill>
              <a:schemeClr val="accent4"/>
            </a:solidFill>
            <a:ln>
              <a:noFill/>
            </a:ln>
            <a:effectLst/>
          </c:spPr>
          <c:invertIfNegative val="0"/>
          <c:cat>
            <c:strRef>
              <c:f>BIC!$A$5:$A$15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BIC!$E$5:$E$15</c:f>
              <c:numCache>
                <c:formatCode>General</c:formatCode>
                <c:ptCount val="10"/>
                <c:pt idx="0">
                  <c:v>363.71899999999999</c:v>
                </c:pt>
                <c:pt idx="1">
                  <c:v>379.31700000000001</c:v>
                </c:pt>
                <c:pt idx="2">
                  <c:v>267.14100000000002</c:v>
                </c:pt>
                <c:pt idx="3">
                  <c:v>410.49599999999998</c:v>
                </c:pt>
                <c:pt idx="4">
                  <c:v>241.047</c:v>
                </c:pt>
                <c:pt idx="5">
                  <c:v>409.541</c:v>
                </c:pt>
                <c:pt idx="6">
                  <c:v>409.10500000000002</c:v>
                </c:pt>
                <c:pt idx="7">
                  <c:v>378.81400000000002</c:v>
                </c:pt>
                <c:pt idx="8">
                  <c:v>223.221</c:v>
                </c:pt>
                <c:pt idx="9">
                  <c:v>381.24700000000001</c:v>
                </c:pt>
              </c:numCache>
            </c:numRef>
          </c:val>
          <c:extLst>
            <c:ext xmlns:c16="http://schemas.microsoft.com/office/drawing/2014/chart" uri="{C3380CC4-5D6E-409C-BE32-E72D297353CC}">
              <c16:uniqueId val="{00000003-2087-0A49-A59D-5DD0D7781BFA}"/>
            </c:ext>
          </c:extLst>
        </c:ser>
        <c:ser>
          <c:idx val="4"/>
          <c:order val="4"/>
          <c:tx>
            <c:strRef>
              <c:f>BIC!$F$3:$F$4</c:f>
              <c:strCache>
                <c:ptCount val="1"/>
                <c:pt idx="0">
                  <c:v>perception</c:v>
                </c:pt>
              </c:strCache>
            </c:strRef>
          </c:tx>
          <c:spPr>
            <a:solidFill>
              <a:schemeClr val="accent5"/>
            </a:solidFill>
            <a:ln>
              <a:noFill/>
            </a:ln>
            <a:effectLst/>
          </c:spPr>
          <c:invertIfNegative val="0"/>
          <c:cat>
            <c:strRef>
              <c:f>BIC!$A$5:$A$15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BIC!$F$5:$F$15</c:f>
              <c:numCache>
                <c:formatCode>General</c:formatCode>
                <c:ptCount val="10"/>
                <c:pt idx="0">
                  <c:v>366.63232702954031</c:v>
                </c:pt>
                <c:pt idx="1">
                  <c:v>366.07714272100537</c:v>
                </c:pt>
                <c:pt idx="2">
                  <c:v>261.84608917264609</c:v>
                </c:pt>
                <c:pt idx="3">
                  <c:v>384.04196610313511</c:v>
                </c:pt>
                <c:pt idx="4">
                  <c:v>231.80890887186959</c:v>
                </c:pt>
                <c:pt idx="5">
                  <c:v>413.9388244306499</c:v>
                </c:pt>
                <c:pt idx="6">
                  <c:v>406.27644836427987</c:v>
                </c:pt>
                <c:pt idx="7">
                  <c:v>369.52839220627072</c:v>
                </c:pt>
                <c:pt idx="8">
                  <c:v>216.37368946208511</c:v>
                </c:pt>
                <c:pt idx="9">
                  <c:v>394.05656839531269</c:v>
                </c:pt>
              </c:numCache>
            </c:numRef>
          </c:val>
          <c:extLst>
            <c:ext xmlns:c16="http://schemas.microsoft.com/office/drawing/2014/chart" uri="{C3380CC4-5D6E-409C-BE32-E72D297353CC}">
              <c16:uniqueId val="{00000004-2087-0A49-A59D-5DD0D7781BFA}"/>
            </c:ext>
          </c:extLst>
        </c:ser>
        <c:dLbls>
          <c:showLegendKey val="0"/>
          <c:showVal val="0"/>
          <c:showCatName val="0"/>
          <c:showSerName val="0"/>
          <c:showPercent val="0"/>
          <c:showBubbleSize val="0"/>
        </c:dLbls>
        <c:gapWidth val="150"/>
        <c:axId val="1134466936"/>
        <c:axId val="1134467296"/>
      </c:barChart>
      <c:catAx>
        <c:axId val="1134466936"/>
        <c:scaling>
          <c:orientation val="minMax"/>
        </c:scaling>
        <c:delete val="0"/>
        <c:axPos val="b"/>
        <c:numFmt formatCode="General" sourceLinked="1"/>
        <c:majorTickMark val="none"/>
        <c:minorTickMark val="none"/>
        <c:tickLblPos val="nextTo"/>
        <c:spPr>
          <a:noFill/>
          <a:ln w="9525" cap="flat" cmpd="sng" algn="ctr">
            <a:solidFill>
              <a:srgbClr val="979797"/>
            </a:solidFill>
            <a:prstDash val="solid"/>
            <a:round/>
          </a:ln>
          <a:effectLst/>
          <a:extLst>
            <a:ext uri="{909E8E84-426E-40DD-AFC4-6F175D3DCCD1}">
              <a14:hiddenFill xmlns:a14="http://schemas.microsoft.com/office/drawing/2010/main">
                <a:noFill/>
              </a14:hiddenFill>
            </a:ext>
          </a:extLst>
        </c:spPr>
        <c:txPr>
          <a:bodyPr rot="-60000000" spcFirstLastPara="1" vertOverflow="ellipsis" vert="horz" wrap="square" anchor="ctr" anchorCtr="1"/>
          <a:lstStyle/>
          <a:p>
            <a:pPr>
              <a:defRPr sz="800" b="0" i="0" u="none" strike="noStrike" kern="1200" baseline="0">
                <a:solidFill>
                  <a:srgbClr val="000000"/>
                </a:solidFill>
                <a:latin typeface="Arial"/>
                <a:ea typeface="Arial"/>
                <a:cs typeface="Arial"/>
              </a:defRPr>
            </a:pPr>
            <a:endParaRPr lang="de-DE"/>
          </a:p>
        </c:txPr>
        <c:crossAx val="1134467296"/>
        <c:crosses val="autoZero"/>
        <c:auto val="1"/>
        <c:lblAlgn val="ctr"/>
        <c:lblOffset val="100"/>
        <c:noMultiLvlLbl val="0"/>
      </c:catAx>
      <c:valAx>
        <c:axId val="1134467296"/>
        <c:scaling>
          <c:orientation val="minMax"/>
        </c:scaling>
        <c:delete val="0"/>
        <c:axPos val="l"/>
        <c:majorGridlines>
          <c:spPr>
            <a:ln w="6350" cap="flat" cmpd="sng" algn="ctr">
              <a:solidFill>
                <a:srgbClr val="706E6C"/>
              </a:solidFill>
              <a:prstDash val="solid"/>
              <a:round/>
            </a:ln>
            <a:effectLst/>
          </c:spPr>
        </c:majorGridlines>
        <c:numFmt formatCode="General" sourceLinked="1"/>
        <c:majorTickMark val="out"/>
        <c:minorTickMark val="none"/>
        <c:tickLblPos val="nextTo"/>
        <c:spPr>
          <a:noFill/>
          <a:ln>
            <a:noFill/>
          </a:ln>
          <a:effectLst/>
          <a:extLst>
            <a:ext uri="{91240B29-F687-4F45-9708-019B960494DF}">
              <a14:hiddenLine xmlns:a14="http://schemas.microsoft.com/office/drawing/2010/main">
                <a:noFill/>
              </a14:hiddenLine>
            </a:ext>
          </a:extLst>
        </c:spPr>
        <c:txPr>
          <a:bodyPr rot="-6000000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crossAx val="1134466936"/>
        <c:crosses val="autoZero"/>
        <c:crossBetween val="between"/>
      </c:valAx>
      <c:spPr>
        <a:noFill/>
        <a:ln>
          <a:noFill/>
        </a:ln>
        <a:effectLst/>
        <a:extLst>
          <a:ext uri="{91240B29-F687-4F45-9708-019B960494DF}">
            <a14:hiddenLine xmlns:a14="http://schemas.microsoft.com/office/drawing/2010/main">
              <a:noFill/>
            </a14:hiddenLine>
          </a:ext>
        </a:extLst>
      </c:spPr>
    </c:plotArea>
    <c:legend>
      <c:legendPos val="b"/>
      <c:overlay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25400" cap="flat" cmpd="sng" algn="ctr">
      <a:noFill/>
      <a:round/>
    </a:ln>
    <a:effectLst/>
  </c:spPr>
  <c:txPr>
    <a:bodyPr/>
    <a:lstStyle/>
    <a:p>
      <a:pPr>
        <a:defRPr sz="900">
          <a:latin typeface="Arial"/>
          <a:ea typeface="Arial"/>
          <a:cs typeface="Arial"/>
        </a:defRPr>
      </a:pPr>
      <a:endParaRPr lang="de-DE"/>
    </a:p>
  </c:txPr>
  <c:externalData r:id="rId4">
    <c:autoUpdate val="0"/>
  </c:externalData>
  <c:userShapes r:id="rId5"/>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[DeterminantsOfRiskPerception_modelevaluation.xlsx]R2!PivotTable2</c:name>
    <c:fmtId val="-1"/>
  </c:pivotSource>
  <c:chart>
    <c:title>
      <c:tx>
        <c:rich>
          <a:bodyPr rot="0" spcFirstLastPara="1" vertOverflow="ellipsis" vert="horz" wrap="square" anchor="ctr" anchorCtr="1"/>
          <a:lstStyle/>
          <a:p>
            <a:pPr>
              <a:defRPr sz="100" b="0" i="0" u="none" strike="noStrike" kern="1200" spc="0" baseline="0">
                <a:solidFill>
                  <a:srgbClr val="FFFFFF"/>
                </a:solidFill>
                <a:latin typeface="Arial" panose="020B0604020202020204" pitchFamily="34" charset="0"/>
                <a:ea typeface="Arial"/>
                <a:cs typeface="Arial"/>
              </a:defRPr>
            </a:pPr>
            <a:r>
              <a:rPr lang="en-US" sz="100" b="0" i="0" u="none">
                <a:solidFill>
                  <a:srgbClr val="FFFFFF"/>
                </a:solidFill>
                <a:latin typeface="Arial" panose="020B0604020202020204" pitchFamily="34" charset="0"/>
              </a:rPr>
              <a:t>Chart Title</a:t>
            </a:r>
          </a:p>
        </c:rich>
      </c:tx>
      <c:overlay val="0"/>
      <c:spPr>
        <a:noFill/>
        <a:ln w="25400">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100" b="0" i="0" u="none" strike="noStrike" kern="1200" spc="0" baseline="0">
              <a:solidFill>
                <a:srgbClr val="FFFFFF"/>
              </a:solidFill>
              <a:latin typeface="Arial" panose="020B0604020202020204" pitchFamily="34" charset="0"/>
              <a:ea typeface="Arial"/>
              <a:cs typeface="Arial"/>
            </a:defRPr>
          </a:pPr>
          <a:endParaRPr lang="de-DE"/>
        </a:p>
      </c:txPr>
    </c:title>
    <c:autoTitleDeleted val="0"/>
    <c:pivotFmts>
      <c:pivotFmt>
        <c:idx val="0"/>
        <c:spPr>
          <a:solidFill>
            <a:srgbClr val="2E3E80"/>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5FA1AD"/>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rgbClr val="ACBFB7"/>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3D664A"/>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A2AE66"/>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992E63"/>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rgbClr val="CCA7A7"/>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rgbClr val="6E9966"/>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rgbClr val="752F5A"/>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rgbClr val="266DA0"/>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'R2'!$B$3:$B$4</c:f>
              <c:strCache>
                <c:ptCount val="1"/>
                <c:pt idx="0">
                  <c:v>awareness</c:v>
                </c:pt>
              </c:strCache>
            </c:strRef>
          </c:tx>
          <c:spPr>
            <a:solidFill>
              <a:schemeClr val="accent1"/>
            </a:solidFill>
            <a:ln>
              <a:noFill/>
            </a:ln>
            <a:effectLst/>
          </c:spPr>
          <c:invertIfNegative val="0"/>
          <c:cat>
            <c:strRef>
              <c:f>'R2'!$A$5:$A$15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'R2'!$B$5:$B$15</c:f>
              <c:numCache>
                <c:formatCode>General</c:formatCode>
                <c:ptCount val="10"/>
                <c:pt idx="0">
                  <c:v>0.14321248845027579</c:v>
                </c:pt>
                <c:pt idx="1">
                  <c:v>0.1087805463952017</c:v>
                </c:pt>
                <c:pt idx="2">
                  <c:v>0.12860400298576569</c:v>
                </c:pt>
                <c:pt idx="3">
                  <c:v>0.12373971285914639</c:v>
                </c:pt>
                <c:pt idx="4">
                  <c:v>0.13246277513895091</c:v>
                </c:pt>
                <c:pt idx="5">
                  <c:v>0.16832299782025489</c:v>
                </c:pt>
                <c:pt idx="6">
                  <c:v>0.14231497534246071</c:v>
                </c:pt>
                <c:pt idx="7">
                  <c:v>9.2872711060134061E-2</c:v>
                </c:pt>
                <c:pt idx="8">
                  <c:v>0.1172459333771551</c:v>
                </c:pt>
                <c:pt idx="9">
                  <c:v>0.1931170930013961</c:v>
                </c:pt>
              </c:numCache>
            </c:numRef>
          </c:val>
          <c:extLst>
            <c:ext xmlns:c16="http://schemas.microsoft.com/office/drawing/2014/chart" uri="{C3380CC4-5D6E-409C-BE32-E72D297353CC}">
              <c16:uniqueId val="{00000000-62BB-B94B-A6BA-FEEEE62685D1}"/>
            </c:ext>
          </c:extLst>
        </c:ser>
        <c:ser>
          <c:idx val="1"/>
          <c:order val="1"/>
          <c:tx>
            <c:strRef>
              <c:f>'R2'!$C$3:$C$4</c:f>
              <c:strCache>
                <c:ptCount val="1"/>
                <c:pt idx="0">
                  <c:v>experience</c:v>
                </c:pt>
              </c:strCache>
            </c:strRef>
          </c:tx>
          <c:spPr>
            <a:solidFill>
              <a:schemeClr val="accent2"/>
            </a:solidFill>
            <a:ln>
              <a:noFill/>
            </a:ln>
            <a:effectLst/>
          </c:spPr>
          <c:invertIfNegative val="0"/>
          <c:cat>
            <c:strRef>
              <c:f>'R2'!$A$5:$A$15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'R2'!$C$5:$C$15</c:f>
              <c:numCache>
                <c:formatCode>General</c:formatCode>
                <c:ptCount val="10"/>
                <c:pt idx="0">
                  <c:v>4.2834092915124362E-2</c:v>
                </c:pt>
                <c:pt idx="1">
                  <c:v>4.3635749746958448E-2</c:v>
                </c:pt>
                <c:pt idx="2">
                  <c:v>4.5158626748586478E-2</c:v>
                </c:pt>
                <c:pt idx="3">
                  <c:v>6.6961078882265879E-2</c:v>
                </c:pt>
                <c:pt idx="4">
                  <c:v>0.1249679407266347</c:v>
                </c:pt>
                <c:pt idx="5">
                  <c:v>0.10997669190516909</c:v>
                </c:pt>
                <c:pt idx="6">
                  <c:v>6.8887738169453705E-2</c:v>
                </c:pt>
                <c:pt idx="7">
                  <c:v>4.1035621487204479E-2</c:v>
                </c:pt>
                <c:pt idx="8">
                  <c:v>6.9212061173076725E-2</c:v>
                </c:pt>
                <c:pt idx="9">
                  <c:v>0.14493767952502551</c:v>
                </c:pt>
              </c:numCache>
            </c:numRef>
          </c:val>
          <c:extLst>
            <c:ext xmlns:c16="http://schemas.microsoft.com/office/drawing/2014/chart" uri="{C3380CC4-5D6E-409C-BE32-E72D297353CC}">
              <c16:uniqueId val="{00000001-62BB-B94B-A6BA-FEEEE62685D1}"/>
            </c:ext>
          </c:extLst>
        </c:ser>
        <c:ser>
          <c:idx val="2"/>
          <c:order val="2"/>
          <c:tx>
            <c:strRef>
              <c:f>'R2'!$D$3:$D$4</c:f>
              <c:strCache>
                <c:ptCount val="1"/>
                <c:pt idx="0">
                  <c:v>floodzone</c:v>
                </c:pt>
              </c:strCache>
            </c:strRef>
          </c:tx>
          <c:spPr>
            <a:solidFill>
              <a:schemeClr val="accent3"/>
            </a:solidFill>
            <a:ln>
              <a:noFill/>
            </a:ln>
            <a:effectLst/>
          </c:spPr>
          <c:invertIfNegative val="0"/>
          <c:cat>
            <c:strRef>
              <c:f>'R2'!$A$5:$A$15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'R2'!$D$5:$D$15</c:f>
              <c:numCache>
                <c:formatCode>General</c:formatCode>
                <c:ptCount val="10"/>
                <c:pt idx="0">
                  <c:v>0.13707715518614369</c:v>
                </c:pt>
                <c:pt idx="1">
                  <c:v>4.1803230801682863E-2</c:v>
                </c:pt>
                <c:pt idx="2">
                  <c:v>6.4371799493252946E-2</c:v>
                </c:pt>
                <c:pt idx="3">
                  <c:v>9.0180312542104984E-2</c:v>
                </c:pt>
                <c:pt idx="4">
                  <c:v>9.9756221957427033E-2</c:v>
                </c:pt>
                <c:pt idx="5">
                  <c:v>6.5123072223863002E-2</c:v>
                </c:pt>
                <c:pt idx="6">
                  <c:v>3.9598784390437923E-2</c:v>
                </c:pt>
                <c:pt idx="7">
                  <c:v>4.4779172270128828E-2</c:v>
                </c:pt>
                <c:pt idx="8">
                  <c:v>0.12317485434976561</c:v>
                </c:pt>
                <c:pt idx="9">
                  <c:v>8.5079983899569639E-2</c:v>
                </c:pt>
              </c:numCache>
            </c:numRef>
          </c:val>
          <c:extLst>
            <c:ext xmlns:c16="http://schemas.microsoft.com/office/drawing/2014/chart" uri="{C3380CC4-5D6E-409C-BE32-E72D297353CC}">
              <c16:uniqueId val="{00000002-62BB-B94B-A6BA-FEEEE62685D1}"/>
            </c:ext>
          </c:extLst>
        </c:ser>
        <c:ser>
          <c:idx val="3"/>
          <c:order val="3"/>
          <c:tx>
            <c:strRef>
              <c:f>'R2'!$E$3:$E$4</c:f>
              <c:strCache>
                <c:ptCount val="1"/>
                <c:pt idx="0">
                  <c:v>multivariate</c:v>
                </c:pt>
              </c:strCache>
            </c:strRef>
          </c:tx>
          <c:spPr>
            <a:solidFill>
              <a:schemeClr val="accent4"/>
            </a:solidFill>
            <a:ln>
              <a:noFill/>
            </a:ln>
            <a:effectLst/>
          </c:spPr>
          <c:invertIfNegative val="0"/>
          <c:cat>
            <c:strRef>
              <c:f>'R2'!$A$5:$A$15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'R2'!$E$5:$E$15</c:f>
              <c:numCache>
                <c:formatCode>General</c:formatCode>
                <c:ptCount val="10"/>
                <c:pt idx="0">
                  <c:v>0.20699999999999999</c:v>
                </c:pt>
                <c:pt idx="1">
                  <c:v>0.121</c:v>
                </c:pt>
                <c:pt idx="2">
                  <c:v>0.14799999999999999</c:v>
                </c:pt>
                <c:pt idx="3">
                  <c:v>0.158</c:v>
                </c:pt>
                <c:pt idx="4">
                  <c:v>0.216</c:v>
                </c:pt>
                <c:pt idx="5">
                  <c:v>0.20699999999999999</c:v>
                </c:pt>
                <c:pt idx="6">
                  <c:v>0.159</c:v>
                </c:pt>
                <c:pt idx="7">
                  <c:v>0.11</c:v>
                </c:pt>
                <c:pt idx="8">
                  <c:v>0.18099999999999999</c:v>
                </c:pt>
                <c:pt idx="9">
                  <c:v>0.25600000000000001</c:v>
                </c:pt>
              </c:numCache>
            </c:numRef>
          </c:val>
          <c:extLst>
            <c:ext xmlns:c16="http://schemas.microsoft.com/office/drawing/2014/chart" uri="{C3380CC4-5D6E-409C-BE32-E72D297353CC}">
              <c16:uniqueId val="{00000003-62BB-B94B-A6BA-FEEEE62685D1}"/>
            </c:ext>
          </c:extLst>
        </c:ser>
        <c:ser>
          <c:idx val="4"/>
          <c:order val="4"/>
          <c:tx>
            <c:strRef>
              <c:f>'R2'!$F$3:$F$4</c:f>
              <c:strCache>
                <c:ptCount val="1"/>
                <c:pt idx="0">
                  <c:v>perception</c:v>
                </c:pt>
              </c:strCache>
            </c:strRef>
          </c:tx>
          <c:spPr>
            <a:solidFill>
              <a:schemeClr val="accent5"/>
            </a:solidFill>
            <a:ln>
              <a:noFill/>
            </a:ln>
            <a:effectLst/>
          </c:spPr>
          <c:invertIfNegative val="0"/>
          <c:cat>
            <c:strRef>
              <c:f>'R2'!$A$5:$A$15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'R2'!$F$5:$F$15</c:f>
              <c:numCache>
                <c:formatCode>General</c:formatCode>
                <c:ptCount val="10"/>
                <c:pt idx="0">
                  <c:v>0.16152778571500459</c:v>
                </c:pt>
                <c:pt idx="1">
                  <c:v>0.13731850538040921</c:v>
                </c:pt>
                <c:pt idx="2">
                  <c:v>0.1196761224762407</c:v>
                </c:pt>
                <c:pt idx="3">
                  <c:v>0.2394177153225884</c:v>
                </c:pt>
                <c:pt idx="4">
                  <c:v>0.29671548548204951</c:v>
                </c:pt>
                <c:pt idx="5">
                  <c:v>0.1513087758244529</c:v>
                </c:pt>
                <c:pt idx="6">
                  <c:v>0.12908193506766419</c:v>
                </c:pt>
                <c:pt idx="7">
                  <c:v>0.104553499561567</c:v>
                </c:pt>
                <c:pt idx="8">
                  <c:v>0.2016076779696386</c:v>
                </c:pt>
                <c:pt idx="9">
                  <c:v>0.18532270257923791</c:v>
                </c:pt>
              </c:numCache>
            </c:numRef>
          </c:val>
          <c:extLst>
            <c:ext xmlns:c16="http://schemas.microsoft.com/office/drawing/2014/chart" uri="{C3380CC4-5D6E-409C-BE32-E72D297353CC}">
              <c16:uniqueId val="{00000004-62BB-B94B-A6BA-FEEEE62685D1}"/>
            </c:ext>
          </c:extLst>
        </c:ser>
        <c:dLbls>
          <c:showLegendKey val="0"/>
          <c:showVal val="0"/>
          <c:showCatName val="0"/>
          <c:showSerName val="0"/>
          <c:showPercent val="0"/>
          <c:showBubbleSize val="0"/>
        </c:dLbls>
        <c:gapWidth val="150"/>
        <c:axId val="1134466936"/>
        <c:axId val="1134467296"/>
      </c:barChart>
      <c:catAx>
        <c:axId val="1134466936"/>
        <c:scaling>
          <c:orientation val="minMax"/>
        </c:scaling>
        <c:delete val="0"/>
        <c:axPos val="b"/>
        <c:numFmt formatCode="General" sourceLinked="1"/>
        <c:majorTickMark val="none"/>
        <c:minorTickMark val="none"/>
        <c:tickLblPos val="nextTo"/>
        <c:spPr>
          <a:noFill/>
          <a:ln w="9525" cap="flat" cmpd="sng" algn="ctr">
            <a:solidFill>
              <a:srgbClr val="979797"/>
            </a:solidFill>
            <a:prstDash val="solid"/>
            <a:round/>
          </a:ln>
          <a:effectLst/>
          <a:extLst>
            <a:ext uri="{909E8E84-426E-40DD-AFC4-6F175D3DCCD1}">
              <a14:hiddenFill xmlns:a14="http://schemas.microsoft.com/office/drawing/2010/main">
                <a:noFill/>
              </a14:hiddenFill>
            </a:ext>
          </a:extLst>
        </c:spPr>
        <c:txPr>
          <a:bodyPr rot="-60000000" spcFirstLastPara="1" vertOverflow="ellipsis" vert="horz" wrap="square" anchor="ctr" anchorCtr="1"/>
          <a:lstStyle/>
          <a:p>
            <a:pPr>
              <a:defRPr sz="800" b="0" i="0" u="none" strike="noStrike" kern="1200" baseline="0">
                <a:solidFill>
                  <a:srgbClr val="000000"/>
                </a:solidFill>
                <a:latin typeface="Arial"/>
                <a:ea typeface="Arial"/>
                <a:cs typeface="Arial"/>
              </a:defRPr>
            </a:pPr>
            <a:endParaRPr lang="de-DE"/>
          </a:p>
        </c:txPr>
        <c:crossAx val="1134467296"/>
        <c:crosses val="autoZero"/>
        <c:auto val="1"/>
        <c:lblAlgn val="ctr"/>
        <c:lblOffset val="100"/>
        <c:noMultiLvlLbl val="0"/>
      </c:catAx>
      <c:valAx>
        <c:axId val="1134467296"/>
        <c:scaling>
          <c:orientation val="minMax"/>
        </c:scaling>
        <c:delete val="0"/>
        <c:axPos val="l"/>
        <c:majorGridlines>
          <c:spPr>
            <a:ln w="6350" cap="flat" cmpd="sng" algn="ctr">
              <a:solidFill>
                <a:srgbClr val="706E6C"/>
              </a:solidFill>
              <a:prstDash val="solid"/>
              <a:round/>
            </a:ln>
            <a:effectLst/>
          </c:spPr>
        </c:majorGridlines>
        <c:numFmt formatCode="0%" sourceLinked="0"/>
        <c:majorTickMark val="out"/>
        <c:minorTickMark val="none"/>
        <c:tickLblPos val="nextTo"/>
        <c:spPr>
          <a:noFill/>
          <a:ln>
            <a:noFill/>
          </a:ln>
          <a:effectLst/>
          <a:extLst>
            <a:ext uri="{91240B29-F687-4F45-9708-019B960494DF}">
              <a14:hiddenLine xmlns:a14="http://schemas.microsoft.com/office/drawing/2010/main">
                <a:noFill/>
              </a14:hiddenLine>
            </a:ext>
          </a:extLst>
        </c:spPr>
        <c:txPr>
          <a:bodyPr rot="-6000000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crossAx val="1134466936"/>
        <c:crosses val="autoZero"/>
        <c:crossBetween val="between"/>
      </c:valAx>
      <c:spPr>
        <a:noFill/>
        <a:ln>
          <a:noFill/>
        </a:ln>
        <a:effectLst/>
        <a:extLst>
          <a:ext uri="{91240B29-F687-4F45-9708-019B960494DF}">
            <a14:hiddenLine xmlns:a14="http://schemas.microsoft.com/office/drawing/2010/main">
              <a:noFill/>
            </a14:hiddenLine>
          </a:ext>
        </a:extLst>
      </c:spPr>
    </c:plotArea>
    <c:legend>
      <c:legendPos val="b"/>
      <c:overlay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25400" cap="flat" cmpd="sng" algn="ctr">
      <a:noFill/>
      <a:round/>
    </a:ln>
    <a:effectLst/>
  </c:spPr>
  <c:txPr>
    <a:bodyPr/>
    <a:lstStyle/>
    <a:p>
      <a:pPr>
        <a:defRPr sz="900">
          <a:latin typeface="Arial"/>
          <a:ea typeface="Arial"/>
          <a:cs typeface="Arial"/>
        </a:defRPr>
      </a:pPr>
      <a:endParaRPr lang="de-DE"/>
    </a:p>
  </c:txPr>
  <c:externalData r:id="rId4">
    <c:autoUpdate val="0"/>
  </c:externalData>
  <c:userShapes r:id="rId5"/>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[probit_socioeconomic_modelevaluation.xlsx]R2!PivotTable2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rgbClr val="801A99"/>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rgbClr val="801A99"/>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rgbClr val="801A99"/>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'R2'!$B$3:$B$4</c:f>
              <c:strCache>
                <c:ptCount val="1"/>
                <c:pt idx="0">
                  <c:v>age</c:v>
                </c:pt>
              </c:strCache>
            </c:strRef>
          </c:tx>
          <c:spPr>
            <a:solidFill>
              <a:schemeClr val="accent1"/>
            </a:solidFill>
            <a:ln>
              <a:noFill/>
            </a:ln>
            <a:effectLst/>
          </c:spPr>
          <c:invertIfNegative val="0"/>
          <c:cat>
            <c:strRef>
              <c:f>'R2'!$A$5:$A$15</c:f>
              <c:strCache>
                <c:ptCount val="10"/>
                <c:pt idx="0">
                  <c:v>alerts</c:v>
                </c:pt>
                <c:pt idx="1">
                  <c:v>documents</c:v>
                </c:pt>
                <c:pt idx="2">
                  <c:v>family_communication</c:v>
                </c:pt>
                <c:pt idx="3">
                  <c:v>insured </c:v>
                </c:pt>
                <c:pt idx="4">
                  <c:v>involved</c:v>
                </c:pt>
                <c:pt idx="5">
                  <c:v>learned_routes</c:v>
                </c:pt>
                <c:pt idx="6">
                  <c:v>made_plan</c:v>
                </c:pt>
                <c:pt idx="7">
                  <c:v>made_safer</c:v>
                </c:pt>
                <c:pt idx="8">
                  <c:v>practiced_drills</c:v>
                </c:pt>
                <c:pt idx="9">
                  <c:v>supplies</c:v>
                </c:pt>
              </c:strCache>
            </c:strRef>
          </c:cat>
          <c:val>
            <c:numRef>
              <c:f>'R2'!$B$5:$B$15</c:f>
              <c:numCache>
                <c:formatCode>General</c:formatCode>
                <c:ptCount val="10"/>
                <c:pt idx="0">
                  <c:v>2.4797012400365739E-3</c:v>
                </c:pt>
                <c:pt idx="1">
                  <c:v>5.1121244230153779E-3</c:v>
                </c:pt>
                <c:pt idx="2">
                  <c:v>3.7298759671993843E-2</c:v>
                </c:pt>
                <c:pt idx="3">
                  <c:v>1.403140011793814E-2</c:v>
                </c:pt>
                <c:pt idx="4">
                  <c:v>0.1274702993046577</c:v>
                </c:pt>
                <c:pt idx="5">
                  <c:v>3.136088316339952E-5</c:v>
                </c:pt>
                <c:pt idx="6">
                  <c:v>1.661000115124555E-2</c:v>
                </c:pt>
                <c:pt idx="7">
                  <c:v>4.0712220992395508E-3</c:v>
                </c:pt>
                <c:pt idx="8">
                  <c:v>0.11288972843728071</c:v>
                </c:pt>
                <c:pt idx="9">
                  <c:v>3.8266437140836718E-2</c:v>
                </c:pt>
              </c:numCache>
            </c:numRef>
          </c:val>
          <c:extLst>
            <c:ext xmlns:c16="http://schemas.microsoft.com/office/drawing/2014/chart" uri="{C3380CC4-5D6E-409C-BE32-E72D297353CC}">
              <c16:uniqueId val="{00000000-112B-1C4D-BB82-F68519E9E74F}"/>
            </c:ext>
          </c:extLst>
        </c:ser>
        <c:ser>
          <c:idx val="1"/>
          <c:order val="1"/>
          <c:tx>
            <c:strRef>
              <c:f>'R2'!$C$3:$C$4</c:f>
              <c:strCache>
                <c:ptCount val="1"/>
                <c:pt idx="0">
                  <c:v>education</c:v>
                </c:pt>
              </c:strCache>
            </c:strRef>
          </c:tx>
          <c:spPr>
            <a:solidFill>
              <a:schemeClr val="accent2"/>
            </a:solidFill>
            <a:ln>
              <a:noFill/>
            </a:ln>
            <a:effectLst/>
          </c:spPr>
          <c:invertIfNegative val="0"/>
          <c:cat>
            <c:strRef>
              <c:f>'R2'!$A$5:$A$15</c:f>
              <c:strCache>
                <c:ptCount val="10"/>
                <c:pt idx="0">
                  <c:v>alerts</c:v>
                </c:pt>
                <c:pt idx="1">
                  <c:v>documents</c:v>
                </c:pt>
                <c:pt idx="2">
                  <c:v>family_communication</c:v>
                </c:pt>
                <c:pt idx="3">
                  <c:v>insured </c:v>
                </c:pt>
                <c:pt idx="4">
                  <c:v>involved</c:v>
                </c:pt>
                <c:pt idx="5">
                  <c:v>learned_routes</c:v>
                </c:pt>
                <c:pt idx="6">
                  <c:v>made_plan</c:v>
                </c:pt>
                <c:pt idx="7">
                  <c:v>made_safer</c:v>
                </c:pt>
                <c:pt idx="8">
                  <c:v>practiced_drills</c:v>
                </c:pt>
                <c:pt idx="9">
                  <c:v>supplies</c:v>
                </c:pt>
              </c:strCache>
            </c:strRef>
          </c:cat>
          <c:val>
            <c:numRef>
              <c:f>'R2'!$C$5:$C$15</c:f>
              <c:numCache>
                <c:formatCode>General</c:formatCode>
                <c:ptCount val="10"/>
                <c:pt idx="0">
                  <c:v>6.8652605209304864E-4</c:v>
                </c:pt>
                <c:pt idx="1">
                  <c:v>1.0691631436393679E-3</c:v>
                </c:pt>
                <c:pt idx="2">
                  <c:v>6.3341934931409856E-3</c:v>
                </c:pt>
                <c:pt idx="3">
                  <c:v>7.5231703684223144E-3</c:v>
                </c:pt>
                <c:pt idx="4">
                  <c:v>3.2481061922647841E-3</c:v>
                </c:pt>
                <c:pt idx="5">
                  <c:v>1.5755430028032769E-4</c:v>
                </c:pt>
                <c:pt idx="6">
                  <c:v>4.2376084434667229E-3</c:v>
                </c:pt>
                <c:pt idx="7">
                  <c:v>6.6930060310456292E-3</c:v>
                </c:pt>
                <c:pt idx="8">
                  <c:v>9.0262724714321185E-5</c:v>
                </c:pt>
                <c:pt idx="9">
                  <c:v>8.3589856511591901E-3</c:v>
                </c:pt>
              </c:numCache>
            </c:numRef>
          </c:val>
          <c:extLst>
            <c:ext xmlns:c16="http://schemas.microsoft.com/office/drawing/2014/chart" uri="{C3380CC4-5D6E-409C-BE32-E72D297353CC}">
              <c16:uniqueId val="{00000001-112B-1C4D-BB82-F68519E9E74F}"/>
            </c:ext>
          </c:extLst>
        </c:ser>
        <c:ser>
          <c:idx val="2"/>
          <c:order val="2"/>
          <c:tx>
            <c:strRef>
              <c:f>'R2'!$D$3:$D$4</c:f>
              <c:strCache>
                <c:ptCount val="1"/>
                <c:pt idx="0">
                  <c:v>homeownership</c:v>
                </c:pt>
              </c:strCache>
            </c:strRef>
          </c:tx>
          <c:spPr>
            <a:solidFill>
              <a:schemeClr val="accent3"/>
            </a:solidFill>
            <a:ln>
              <a:noFill/>
            </a:ln>
            <a:effectLst/>
          </c:spPr>
          <c:invertIfNegative val="0"/>
          <c:cat>
            <c:strRef>
              <c:f>'R2'!$A$5:$A$15</c:f>
              <c:strCache>
                <c:ptCount val="10"/>
                <c:pt idx="0">
                  <c:v>alerts</c:v>
                </c:pt>
                <c:pt idx="1">
                  <c:v>documents</c:v>
                </c:pt>
                <c:pt idx="2">
                  <c:v>family_communication</c:v>
                </c:pt>
                <c:pt idx="3">
                  <c:v>insured </c:v>
                </c:pt>
                <c:pt idx="4">
                  <c:v>involved</c:v>
                </c:pt>
                <c:pt idx="5">
                  <c:v>learned_routes</c:v>
                </c:pt>
                <c:pt idx="6">
                  <c:v>made_plan</c:v>
                </c:pt>
                <c:pt idx="7">
                  <c:v>made_safer</c:v>
                </c:pt>
                <c:pt idx="8">
                  <c:v>practiced_drills</c:v>
                </c:pt>
                <c:pt idx="9">
                  <c:v>supplies</c:v>
                </c:pt>
              </c:strCache>
            </c:strRef>
          </c:cat>
          <c:val>
            <c:numRef>
              <c:f>'R2'!$D$5:$D$15</c:f>
              <c:numCache>
                <c:formatCode>General</c:formatCode>
                <c:ptCount val="10"/>
                <c:pt idx="0">
                  <c:v>1.6977122835458609E-3</c:v>
                </c:pt>
                <c:pt idx="1">
                  <c:v>1.019258337744667E-3</c:v>
                </c:pt>
                <c:pt idx="2">
                  <c:v>2.3835683257300821E-4</c:v>
                </c:pt>
                <c:pt idx="3">
                  <c:v>2.6256517817384511E-2</c:v>
                </c:pt>
                <c:pt idx="4">
                  <c:v>3.6226039228560929E-2</c:v>
                </c:pt>
                <c:pt idx="5">
                  <c:v>1.1439786554770931E-3</c:v>
                </c:pt>
                <c:pt idx="6">
                  <c:v>9.8526138648323894E-4</c:v>
                </c:pt>
                <c:pt idx="7">
                  <c:v>5.7743864704330791E-3</c:v>
                </c:pt>
                <c:pt idx="8">
                  <c:v>9.6674453397317618E-4</c:v>
                </c:pt>
                <c:pt idx="9">
                  <c:v>3.361370307927636E-4</c:v>
                </c:pt>
              </c:numCache>
            </c:numRef>
          </c:val>
          <c:extLst>
            <c:ext xmlns:c16="http://schemas.microsoft.com/office/drawing/2014/chart" uri="{C3380CC4-5D6E-409C-BE32-E72D297353CC}">
              <c16:uniqueId val="{00000002-112B-1C4D-BB82-F68519E9E74F}"/>
            </c:ext>
          </c:extLst>
        </c:ser>
        <c:ser>
          <c:idx val="3"/>
          <c:order val="3"/>
          <c:tx>
            <c:strRef>
              <c:f>'R2'!$E$3:$E$4</c:f>
              <c:strCache>
                <c:ptCount val="1"/>
                <c:pt idx="0">
                  <c:v>income</c:v>
                </c:pt>
              </c:strCache>
            </c:strRef>
          </c:tx>
          <c:spPr>
            <a:solidFill>
              <a:schemeClr val="accent4"/>
            </a:solidFill>
            <a:ln>
              <a:noFill/>
            </a:ln>
            <a:effectLst/>
          </c:spPr>
          <c:invertIfNegative val="0"/>
          <c:cat>
            <c:strRef>
              <c:f>'R2'!$A$5:$A$15</c:f>
              <c:strCache>
                <c:ptCount val="10"/>
                <c:pt idx="0">
                  <c:v>alerts</c:v>
                </c:pt>
                <c:pt idx="1">
                  <c:v>documents</c:v>
                </c:pt>
                <c:pt idx="2">
                  <c:v>family_communication</c:v>
                </c:pt>
                <c:pt idx="3">
                  <c:v>insured </c:v>
                </c:pt>
                <c:pt idx="4">
                  <c:v>involved</c:v>
                </c:pt>
                <c:pt idx="5">
                  <c:v>learned_routes</c:v>
                </c:pt>
                <c:pt idx="6">
                  <c:v>made_plan</c:v>
                </c:pt>
                <c:pt idx="7">
                  <c:v>made_safer</c:v>
                </c:pt>
                <c:pt idx="8">
                  <c:v>practiced_drills</c:v>
                </c:pt>
                <c:pt idx="9">
                  <c:v>supplies</c:v>
                </c:pt>
              </c:strCache>
            </c:strRef>
          </c:cat>
          <c:val>
            <c:numRef>
              <c:f>'R2'!$E$5:$E$15</c:f>
              <c:numCache>
                <c:formatCode>General</c:formatCode>
                <c:ptCount val="10"/>
                <c:pt idx="0">
                  <c:v>1.431658959864173E-4</c:v>
                </c:pt>
                <c:pt idx="1">
                  <c:v>4.3520089589206719E-4</c:v>
                </c:pt>
                <c:pt idx="2">
                  <c:v>5.2605679839497958E-5</c:v>
                </c:pt>
                <c:pt idx="3">
                  <c:v>1.3668911534099599E-3</c:v>
                </c:pt>
                <c:pt idx="4">
                  <c:v>8.223239671736906E-5</c:v>
                </c:pt>
                <c:pt idx="5">
                  <c:v>3.002250499677945E-6</c:v>
                </c:pt>
                <c:pt idx="6">
                  <c:v>1.058941625203476E-5</c:v>
                </c:pt>
                <c:pt idx="7">
                  <c:v>1.3284468913269631E-2</c:v>
                </c:pt>
                <c:pt idx="8">
                  <c:v>2.1574179622029181E-3</c:v>
                </c:pt>
                <c:pt idx="9">
                  <c:v>6.8530324977355691E-3</c:v>
                </c:pt>
              </c:numCache>
            </c:numRef>
          </c:val>
          <c:extLst>
            <c:ext xmlns:c16="http://schemas.microsoft.com/office/drawing/2014/chart" uri="{C3380CC4-5D6E-409C-BE32-E72D297353CC}">
              <c16:uniqueId val="{00000003-112B-1C4D-BB82-F68519E9E74F}"/>
            </c:ext>
          </c:extLst>
        </c:ser>
        <c:ser>
          <c:idx val="4"/>
          <c:order val="4"/>
          <c:tx>
            <c:strRef>
              <c:f>'R2'!$F$3:$F$4</c:f>
              <c:strCache>
                <c:ptCount val="1"/>
                <c:pt idx="0">
                  <c:v>multivariate </c:v>
                </c:pt>
              </c:strCache>
            </c:strRef>
          </c:tx>
          <c:spPr>
            <a:solidFill>
              <a:schemeClr val="accent5"/>
            </a:solidFill>
            <a:ln>
              <a:noFill/>
            </a:ln>
            <a:effectLst/>
          </c:spPr>
          <c:invertIfNegative val="0"/>
          <c:cat>
            <c:strRef>
              <c:f>'R2'!$A$5:$A$15</c:f>
              <c:strCache>
                <c:ptCount val="10"/>
                <c:pt idx="0">
                  <c:v>alerts</c:v>
                </c:pt>
                <c:pt idx="1">
                  <c:v>documents</c:v>
                </c:pt>
                <c:pt idx="2">
                  <c:v>family_communication</c:v>
                </c:pt>
                <c:pt idx="3">
                  <c:v>insured </c:v>
                </c:pt>
                <c:pt idx="4">
                  <c:v>involved</c:v>
                </c:pt>
                <c:pt idx="5">
                  <c:v>learned_routes</c:v>
                </c:pt>
                <c:pt idx="6">
                  <c:v>made_plan</c:v>
                </c:pt>
                <c:pt idx="7">
                  <c:v>made_safer</c:v>
                </c:pt>
                <c:pt idx="8">
                  <c:v>practiced_drills</c:v>
                </c:pt>
                <c:pt idx="9">
                  <c:v>supplies</c:v>
                </c:pt>
              </c:strCache>
            </c:strRef>
          </c:cat>
          <c:val>
            <c:numRef>
              <c:f>'R2'!$F$5:$F$15</c:f>
              <c:numCache>
                <c:formatCode>General</c:formatCode>
                <c:ptCount val="10"/>
                <c:pt idx="0">
                  <c:v>0.03</c:v>
                </c:pt>
                <c:pt idx="1">
                  <c:v>1.0999999999999999E-2</c:v>
                </c:pt>
                <c:pt idx="2">
                  <c:v>8.1000000000000003E-2</c:v>
                </c:pt>
                <c:pt idx="3">
                  <c:v>7.0000000000000007E-2</c:v>
                </c:pt>
                <c:pt idx="4">
                  <c:v>0.16800000000000001</c:v>
                </c:pt>
                <c:pt idx="5">
                  <c:v>1.0999999999999999E-2</c:v>
                </c:pt>
                <c:pt idx="6">
                  <c:v>2.9000000000000001E-2</c:v>
                </c:pt>
                <c:pt idx="7">
                  <c:v>5.0999999999999997E-2</c:v>
                </c:pt>
                <c:pt idx="8">
                  <c:v>0.152</c:v>
                </c:pt>
                <c:pt idx="9">
                  <c:v>6.7000000000000004E-2</c:v>
                </c:pt>
              </c:numCache>
            </c:numRef>
          </c:val>
          <c:extLst>
            <c:ext xmlns:c16="http://schemas.microsoft.com/office/drawing/2014/chart" uri="{C3380CC4-5D6E-409C-BE32-E72D297353CC}">
              <c16:uniqueId val="{00000004-112B-1C4D-BB82-F68519E9E74F}"/>
            </c:ext>
          </c:extLst>
        </c:ser>
        <c:ser>
          <c:idx val="5"/>
          <c:order val="5"/>
          <c:tx>
            <c:strRef>
              <c:f>'R2'!$G$3:$G$4</c:f>
              <c:strCache>
                <c:ptCount val="1"/>
                <c:pt idx="0">
                  <c:v>rentmortgage</c:v>
                </c:pt>
              </c:strCache>
            </c:strRef>
          </c:tx>
          <c:spPr>
            <a:solidFill>
              <a:schemeClr val="accent6"/>
            </a:solidFill>
            <a:ln>
              <a:noFill/>
            </a:ln>
            <a:effectLst/>
          </c:spPr>
          <c:invertIfNegative val="0"/>
          <c:cat>
            <c:strRef>
              <c:f>'R2'!$A$5:$A$15</c:f>
              <c:strCache>
                <c:ptCount val="10"/>
                <c:pt idx="0">
                  <c:v>alerts</c:v>
                </c:pt>
                <c:pt idx="1">
                  <c:v>documents</c:v>
                </c:pt>
                <c:pt idx="2">
                  <c:v>family_communication</c:v>
                </c:pt>
                <c:pt idx="3">
                  <c:v>insured </c:v>
                </c:pt>
                <c:pt idx="4">
                  <c:v>involved</c:v>
                </c:pt>
                <c:pt idx="5">
                  <c:v>learned_routes</c:v>
                </c:pt>
                <c:pt idx="6">
                  <c:v>made_plan</c:v>
                </c:pt>
                <c:pt idx="7">
                  <c:v>made_safer</c:v>
                </c:pt>
                <c:pt idx="8">
                  <c:v>practiced_drills</c:v>
                </c:pt>
                <c:pt idx="9">
                  <c:v>supplies</c:v>
                </c:pt>
              </c:strCache>
            </c:strRef>
          </c:cat>
          <c:val>
            <c:numRef>
              <c:f>'R2'!$G$5:$G$15</c:f>
              <c:numCache>
                <c:formatCode>General</c:formatCode>
                <c:ptCount val="10"/>
                <c:pt idx="0">
                  <c:v>2.1985278117714331E-3</c:v>
                </c:pt>
                <c:pt idx="1">
                  <c:v>8.6236673848254046E-4</c:v>
                </c:pt>
                <c:pt idx="2">
                  <c:v>3.268776729031355E-2</c:v>
                </c:pt>
                <c:pt idx="3">
                  <c:v>8.4526284587844516E-3</c:v>
                </c:pt>
                <c:pt idx="4">
                  <c:v>8.790346918381587E-3</c:v>
                </c:pt>
                <c:pt idx="5">
                  <c:v>4.5344716696491564E-3</c:v>
                </c:pt>
                <c:pt idx="6">
                  <c:v>1.133375105776145E-2</c:v>
                </c:pt>
                <c:pt idx="7">
                  <c:v>3.5025905536755311E-3</c:v>
                </c:pt>
                <c:pt idx="8">
                  <c:v>5.3215620231448969E-2</c:v>
                </c:pt>
                <c:pt idx="9">
                  <c:v>1.1643153225935499E-2</c:v>
                </c:pt>
              </c:numCache>
            </c:numRef>
          </c:val>
          <c:extLst>
            <c:ext xmlns:c16="http://schemas.microsoft.com/office/drawing/2014/chart" uri="{C3380CC4-5D6E-409C-BE32-E72D297353CC}">
              <c16:uniqueId val="{00000005-112B-1C4D-BB82-F68519E9E74F}"/>
            </c:ext>
          </c:extLst>
        </c:ser>
        <c:ser>
          <c:idx val="6"/>
          <c:order val="6"/>
          <c:tx>
            <c:strRef>
              <c:f>'R2'!$H$3:$H$4</c:f>
              <c:strCache>
                <c:ptCount val="1"/>
                <c:pt idx="0">
                  <c:v>sex</c:v>
                </c:pt>
              </c:strCache>
            </c:strRef>
          </c:tx>
          <c:spPr>
            <a:solidFill>
              <a:srgbClr val="801A99"/>
            </a:solidFill>
            <a:ln>
              <a:noFill/>
            </a:ln>
            <a:effectLst/>
          </c:spPr>
          <c:invertIfNegative val="0"/>
          <c:cat>
            <c:strRef>
              <c:f>'R2'!$A$5:$A$15</c:f>
              <c:strCache>
                <c:ptCount val="10"/>
                <c:pt idx="0">
                  <c:v>alerts</c:v>
                </c:pt>
                <c:pt idx="1">
                  <c:v>documents</c:v>
                </c:pt>
                <c:pt idx="2">
                  <c:v>family_communication</c:v>
                </c:pt>
                <c:pt idx="3">
                  <c:v>insured </c:v>
                </c:pt>
                <c:pt idx="4">
                  <c:v>involved</c:v>
                </c:pt>
                <c:pt idx="5">
                  <c:v>learned_routes</c:v>
                </c:pt>
                <c:pt idx="6">
                  <c:v>made_plan</c:v>
                </c:pt>
                <c:pt idx="7">
                  <c:v>made_safer</c:v>
                </c:pt>
                <c:pt idx="8">
                  <c:v>practiced_drills</c:v>
                </c:pt>
                <c:pt idx="9">
                  <c:v>supplies</c:v>
                </c:pt>
              </c:strCache>
            </c:strRef>
          </c:cat>
          <c:val>
            <c:numRef>
              <c:f>'R2'!$H$5:$H$15</c:f>
              <c:numCache>
                <c:formatCode>General</c:formatCode>
                <c:ptCount val="10"/>
                <c:pt idx="0">
                  <c:v>1.55388633200728E-2</c:v>
                </c:pt>
                <c:pt idx="1">
                  <c:v>1.047929512984779E-3</c:v>
                </c:pt>
                <c:pt idx="2">
                  <c:v>7.8315009307880056E-3</c:v>
                </c:pt>
                <c:pt idx="3">
                  <c:v>1.7319985169902451E-3</c:v>
                </c:pt>
                <c:pt idx="4">
                  <c:v>3.7327523760548179E-4</c:v>
                </c:pt>
                <c:pt idx="5">
                  <c:v>4.6083934644474654E-3</c:v>
                </c:pt>
                <c:pt idx="6">
                  <c:v>7.0577345956214521E-4</c:v>
                </c:pt>
                <c:pt idx="7">
                  <c:v>2.2053143800980471E-3</c:v>
                </c:pt>
                <c:pt idx="8">
                  <c:v>4.7034469738668689E-5</c:v>
                </c:pt>
                <c:pt idx="9">
                  <c:v>2.285120254961913E-3</c:v>
                </c:pt>
              </c:numCache>
            </c:numRef>
          </c:val>
          <c:extLst>
            <c:ext xmlns:c16="http://schemas.microsoft.com/office/drawing/2014/chart" uri="{C3380CC4-5D6E-409C-BE32-E72D297353CC}">
              <c16:uniqueId val="{00000006-112B-1C4D-BB82-F68519E9E74F}"/>
            </c:ext>
          </c:extLst>
        </c:ser>
        <c:dLbls>
          <c:showLegendKey val="0"/>
          <c:showVal val="0"/>
          <c:showCatName val="0"/>
          <c:showSerName val="0"/>
          <c:showPercent val="0"/>
          <c:showBubbleSize val="0"/>
        </c:dLbls>
        <c:gapWidth val="219"/>
        <c:overlap val="-27"/>
        <c:axId val="173927359"/>
        <c:axId val="173541055"/>
      </c:barChart>
      <c:catAx>
        <c:axId val="1739273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de-DE"/>
          </a:p>
        </c:txPr>
        <c:crossAx val="173541055"/>
        <c:crosses val="autoZero"/>
        <c:auto val="1"/>
        <c:lblAlgn val="ctr"/>
        <c:lblOffset val="100"/>
        <c:noMultiLvlLbl val="0"/>
      </c:catAx>
      <c:valAx>
        <c:axId val="173541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39273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[probit_socioeconomic_modelevaluation.xlsx]BIC!PivotTable2</c:name>
    <c:fmtId val="-1"/>
  </c:pivotSource>
  <c:chart>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dLbl>
          <c:idx val="0"/>
          <c:showLegendKey val="0"/>
          <c:showVal val="0"/>
          <c:showCatName val="0"/>
          <c:showSerName val="0"/>
          <c:showPercent val="0"/>
          <c:showBubbleSize val="0"/>
          <c:extLst>
            <c:ext xmlns:c15="http://schemas.microsoft.com/office/drawing/2012/chart" uri="{CE6537A1-D6FC-4f65-9D91-7224C49458BB}"/>
          </c:extLst>
        </c:dLbl>
      </c:pivotFmt>
      <c:pivotFmt>
        <c:idx val="13"/>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rgbClr val="801A99"/>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rgbClr val="801A99"/>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rgbClr val="801A99"/>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BIC!$B$3:$B$4</c:f>
              <c:strCache>
                <c:ptCount val="1"/>
                <c:pt idx="0">
                  <c:v>age</c:v>
                </c:pt>
              </c:strCache>
            </c:strRef>
          </c:tx>
          <c:spPr>
            <a:solidFill>
              <a:schemeClr val="accent1"/>
            </a:solidFill>
            <a:ln>
              <a:noFill/>
            </a:ln>
            <a:effectLst/>
          </c:spPr>
          <c:invertIfNegative val="0"/>
          <c:cat>
            <c:strRef>
              <c:f>BIC!$A$5:$A$15</c:f>
              <c:strCache>
                <c:ptCount val="10"/>
                <c:pt idx="0">
                  <c:v>alerts</c:v>
                </c:pt>
                <c:pt idx="1">
                  <c:v>documents</c:v>
                </c:pt>
                <c:pt idx="2">
                  <c:v>family_communication</c:v>
                </c:pt>
                <c:pt idx="3">
                  <c:v>insured </c:v>
                </c:pt>
                <c:pt idx="4">
                  <c:v>involved</c:v>
                </c:pt>
                <c:pt idx="5">
                  <c:v>learned_routes</c:v>
                </c:pt>
                <c:pt idx="6">
                  <c:v>made_plan</c:v>
                </c:pt>
                <c:pt idx="7">
                  <c:v>made_safer</c:v>
                </c:pt>
                <c:pt idx="8">
                  <c:v>practiced_drills</c:v>
                </c:pt>
                <c:pt idx="9">
                  <c:v>supplies</c:v>
                </c:pt>
              </c:strCache>
            </c:strRef>
          </c:cat>
          <c:val>
            <c:numRef>
              <c:f>BIC!$B$5:$B$15</c:f>
              <c:numCache>
                <c:formatCode>General</c:formatCode>
                <c:ptCount val="10"/>
                <c:pt idx="0">
                  <c:v>468.76986564439318</c:v>
                </c:pt>
                <c:pt idx="1">
                  <c:v>450.19085761375641</c:v>
                </c:pt>
                <c:pt idx="2">
                  <c:v>316.8216470201379</c:v>
                </c:pt>
                <c:pt idx="3">
                  <c:v>499.12392827861788</c:v>
                </c:pt>
                <c:pt idx="4">
                  <c:v>278.1333538243972</c:v>
                </c:pt>
                <c:pt idx="5">
                  <c:v>517.58408332474369</c:v>
                </c:pt>
                <c:pt idx="6">
                  <c:v>503.67681222148673</c:v>
                </c:pt>
                <c:pt idx="7">
                  <c:v>462.52709586809311</c:v>
                </c:pt>
                <c:pt idx="8">
                  <c:v>261.93110094330609</c:v>
                </c:pt>
                <c:pt idx="9">
                  <c:v>501.03647193346438</c:v>
                </c:pt>
              </c:numCache>
            </c:numRef>
          </c:val>
          <c:extLst>
            <c:ext xmlns:c16="http://schemas.microsoft.com/office/drawing/2014/chart" uri="{C3380CC4-5D6E-409C-BE32-E72D297353CC}">
              <c16:uniqueId val="{00000000-59DC-F948-821B-4F34511DD999}"/>
            </c:ext>
          </c:extLst>
        </c:ser>
        <c:ser>
          <c:idx val="1"/>
          <c:order val="1"/>
          <c:tx>
            <c:strRef>
              <c:f>BIC!$C$3:$C$4</c:f>
              <c:strCache>
                <c:ptCount val="1"/>
                <c:pt idx="0">
                  <c:v>education</c:v>
                </c:pt>
              </c:strCache>
            </c:strRef>
          </c:tx>
          <c:spPr>
            <a:solidFill>
              <a:schemeClr val="accent2"/>
            </a:solidFill>
            <a:ln>
              <a:noFill/>
            </a:ln>
            <a:effectLst/>
          </c:spPr>
          <c:invertIfNegative val="0"/>
          <c:cat>
            <c:strRef>
              <c:f>BIC!$A$5:$A$15</c:f>
              <c:strCache>
                <c:ptCount val="10"/>
                <c:pt idx="0">
                  <c:v>alerts</c:v>
                </c:pt>
                <c:pt idx="1">
                  <c:v>documents</c:v>
                </c:pt>
                <c:pt idx="2">
                  <c:v>family_communication</c:v>
                </c:pt>
                <c:pt idx="3">
                  <c:v>insured </c:v>
                </c:pt>
                <c:pt idx="4">
                  <c:v>involved</c:v>
                </c:pt>
                <c:pt idx="5">
                  <c:v>learned_routes</c:v>
                </c:pt>
                <c:pt idx="6">
                  <c:v>made_plan</c:v>
                </c:pt>
                <c:pt idx="7">
                  <c:v>made_safer</c:v>
                </c:pt>
                <c:pt idx="8">
                  <c:v>practiced_drills</c:v>
                </c:pt>
                <c:pt idx="9">
                  <c:v>supplies</c:v>
                </c:pt>
              </c:strCache>
            </c:strRef>
          </c:cat>
          <c:val>
            <c:numRef>
              <c:f>BIC!$C$5:$C$15</c:f>
              <c:numCache>
                <c:formatCode>General</c:formatCode>
                <c:ptCount val="10"/>
                <c:pt idx="0">
                  <c:v>469.17640122362099</c:v>
                </c:pt>
                <c:pt idx="1">
                  <c:v>451.0842568869395</c:v>
                </c:pt>
                <c:pt idx="2">
                  <c:v>321.65504291410519</c:v>
                </c:pt>
                <c:pt idx="3">
                  <c:v>500.63341136373361</c:v>
                </c:pt>
                <c:pt idx="4">
                  <c:v>295.17537605790022</c:v>
                </c:pt>
                <c:pt idx="5">
                  <c:v>517.55363240288648</c:v>
                </c:pt>
                <c:pt idx="6">
                  <c:v>506.56692110214982</c:v>
                </c:pt>
                <c:pt idx="7">
                  <c:v>461.93998722121307</c:v>
                </c:pt>
                <c:pt idx="8">
                  <c:v>276.62956529761442</c:v>
                </c:pt>
                <c:pt idx="9">
                  <c:v>508.08220876524979</c:v>
                </c:pt>
              </c:numCache>
            </c:numRef>
          </c:val>
          <c:extLst>
            <c:ext xmlns:c16="http://schemas.microsoft.com/office/drawing/2014/chart" uri="{C3380CC4-5D6E-409C-BE32-E72D297353CC}">
              <c16:uniqueId val="{00000001-59DC-F948-821B-4F34511DD999}"/>
            </c:ext>
          </c:extLst>
        </c:ser>
        <c:ser>
          <c:idx val="2"/>
          <c:order val="2"/>
          <c:tx>
            <c:strRef>
              <c:f>BIC!$D$3:$D$4</c:f>
              <c:strCache>
                <c:ptCount val="1"/>
                <c:pt idx="0">
                  <c:v>homeownership</c:v>
                </c:pt>
              </c:strCache>
            </c:strRef>
          </c:tx>
          <c:spPr>
            <a:solidFill>
              <a:schemeClr val="accent3"/>
            </a:solidFill>
            <a:ln>
              <a:noFill/>
            </a:ln>
            <a:effectLst/>
          </c:spPr>
          <c:invertIfNegative val="0"/>
          <c:cat>
            <c:strRef>
              <c:f>BIC!$A$5:$A$15</c:f>
              <c:strCache>
                <c:ptCount val="10"/>
                <c:pt idx="0">
                  <c:v>alerts</c:v>
                </c:pt>
                <c:pt idx="1">
                  <c:v>documents</c:v>
                </c:pt>
                <c:pt idx="2">
                  <c:v>family_communication</c:v>
                </c:pt>
                <c:pt idx="3">
                  <c:v>insured </c:v>
                </c:pt>
                <c:pt idx="4">
                  <c:v>involved</c:v>
                </c:pt>
                <c:pt idx="5">
                  <c:v>learned_routes</c:v>
                </c:pt>
                <c:pt idx="6">
                  <c:v>made_plan</c:v>
                </c:pt>
                <c:pt idx="7">
                  <c:v>made_safer</c:v>
                </c:pt>
                <c:pt idx="8">
                  <c:v>practiced_drills</c:v>
                </c:pt>
                <c:pt idx="9">
                  <c:v>supplies</c:v>
                </c:pt>
              </c:strCache>
            </c:strRef>
          </c:cat>
          <c:val>
            <c:numRef>
              <c:f>BIC!$D$5:$D$15</c:f>
              <c:numCache>
                <c:formatCode>General</c:formatCode>
                <c:ptCount val="10"/>
                <c:pt idx="0">
                  <c:v>468.95031397761329</c:v>
                </c:pt>
                <c:pt idx="1">
                  <c:v>451.08915418932389</c:v>
                </c:pt>
                <c:pt idx="2">
                  <c:v>322.65396292229087</c:v>
                </c:pt>
                <c:pt idx="3">
                  <c:v>496.21012007774362</c:v>
                </c:pt>
                <c:pt idx="4">
                  <c:v>290.04830727570351</c:v>
                </c:pt>
                <c:pt idx="5">
                  <c:v>517.31178344579746</c:v>
                </c:pt>
                <c:pt idx="6">
                  <c:v>507.34290039343807</c:v>
                </c:pt>
                <c:pt idx="7">
                  <c:v>462.16209875817839</c:v>
                </c:pt>
                <c:pt idx="8">
                  <c:v>276.50488429839669</c:v>
                </c:pt>
                <c:pt idx="9">
                  <c:v>510.03896450496183</c:v>
                </c:pt>
              </c:numCache>
            </c:numRef>
          </c:val>
          <c:extLst>
            <c:ext xmlns:c16="http://schemas.microsoft.com/office/drawing/2014/chart" uri="{C3380CC4-5D6E-409C-BE32-E72D297353CC}">
              <c16:uniqueId val="{00000002-59DC-F948-821B-4F34511DD999}"/>
            </c:ext>
          </c:extLst>
        </c:ser>
        <c:ser>
          <c:idx val="3"/>
          <c:order val="3"/>
          <c:tx>
            <c:strRef>
              <c:f>BIC!$E$3:$E$4</c:f>
              <c:strCache>
                <c:ptCount val="1"/>
                <c:pt idx="0">
                  <c:v>income</c:v>
                </c:pt>
              </c:strCache>
            </c:strRef>
          </c:tx>
          <c:spPr>
            <a:solidFill>
              <a:schemeClr val="accent4"/>
            </a:solidFill>
            <a:ln>
              <a:noFill/>
            </a:ln>
            <a:effectLst/>
          </c:spPr>
          <c:invertIfNegative val="0"/>
          <c:cat>
            <c:strRef>
              <c:f>BIC!$A$5:$A$15</c:f>
              <c:strCache>
                <c:ptCount val="10"/>
                <c:pt idx="0">
                  <c:v>alerts</c:v>
                </c:pt>
                <c:pt idx="1">
                  <c:v>documents</c:v>
                </c:pt>
                <c:pt idx="2">
                  <c:v>family_communication</c:v>
                </c:pt>
                <c:pt idx="3">
                  <c:v>insured </c:v>
                </c:pt>
                <c:pt idx="4">
                  <c:v>involved</c:v>
                </c:pt>
                <c:pt idx="5">
                  <c:v>learned_routes</c:v>
                </c:pt>
                <c:pt idx="6">
                  <c:v>made_plan</c:v>
                </c:pt>
                <c:pt idx="7">
                  <c:v>made_safer</c:v>
                </c:pt>
                <c:pt idx="8">
                  <c:v>practiced_drills</c:v>
                </c:pt>
                <c:pt idx="9">
                  <c:v>supplies</c:v>
                </c:pt>
              </c:strCache>
            </c:strRef>
          </c:cat>
          <c:val>
            <c:numRef>
              <c:f>BIC!$E$5:$E$15</c:f>
              <c:numCache>
                <c:formatCode>General</c:formatCode>
                <c:ptCount val="10"/>
                <c:pt idx="0">
                  <c:v>469.29951362254042</c:v>
                </c:pt>
                <c:pt idx="1">
                  <c:v>451.21590930276801</c:v>
                </c:pt>
                <c:pt idx="2">
                  <c:v>322.68447626074021</c:v>
                </c:pt>
                <c:pt idx="3">
                  <c:v>502.09017536566068</c:v>
                </c:pt>
                <c:pt idx="4">
                  <c:v>295.67031295278031</c:v>
                </c:pt>
                <c:pt idx="5">
                  <c:v>517.59093144684664</c:v>
                </c:pt>
                <c:pt idx="6">
                  <c:v>507.57755548858262</c:v>
                </c:pt>
                <c:pt idx="7">
                  <c:v>460.79937196166833</c:v>
                </c:pt>
                <c:pt idx="8">
                  <c:v>276.36233761096139</c:v>
                </c:pt>
                <c:pt idx="9">
                  <c:v>508.58764395979182</c:v>
                </c:pt>
              </c:numCache>
            </c:numRef>
          </c:val>
          <c:extLst>
            <c:ext xmlns:c16="http://schemas.microsoft.com/office/drawing/2014/chart" uri="{C3380CC4-5D6E-409C-BE32-E72D297353CC}">
              <c16:uniqueId val="{00000003-59DC-F948-821B-4F34511DD999}"/>
            </c:ext>
          </c:extLst>
        </c:ser>
        <c:ser>
          <c:idx val="4"/>
          <c:order val="4"/>
          <c:tx>
            <c:strRef>
              <c:f>BIC!$F$3:$F$4</c:f>
              <c:strCache>
                <c:ptCount val="1"/>
                <c:pt idx="0">
                  <c:v>multivariate </c:v>
                </c:pt>
              </c:strCache>
            </c:strRef>
          </c:tx>
          <c:spPr>
            <a:solidFill>
              <a:schemeClr val="accent5"/>
            </a:solidFill>
            <a:ln>
              <a:noFill/>
            </a:ln>
            <a:effectLst/>
          </c:spPr>
          <c:invertIfNegative val="0"/>
          <c:cat>
            <c:strRef>
              <c:f>BIC!$A$5:$A$15</c:f>
              <c:strCache>
                <c:ptCount val="10"/>
                <c:pt idx="0">
                  <c:v>alerts</c:v>
                </c:pt>
                <c:pt idx="1">
                  <c:v>documents</c:v>
                </c:pt>
                <c:pt idx="2">
                  <c:v>family_communication</c:v>
                </c:pt>
                <c:pt idx="3">
                  <c:v>insured </c:v>
                </c:pt>
                <c:pt idx="4">
                  <c:v>involved</c:v>
                </c:pt>
                <c:pt idx="5">
                  <c:v>learned_routes</c:v>
                </c:pt>
                <c:pt idx="6">
                  <c:v>made_plan</c:v>
                </c:pt>
                <c:pt idx="7">
                  <c:v>made_safer</c:v>
                </c:pt>
                <c:pt idx="8">
                  <c:v>practiced_drills</c:v>
                </c:pt>
                <c:pt idx="9">
                  <c:v>supplies</c:v>
                </c:pt>
              </c:strCache>
            </c:strRef>
          </c:cat>
          <c:val>
            <c:numRef>
              <c:f>BIC!$F$5:$F$15</c:f>
              <c:numCache>
                <c:formatCode>General</c:formatCode>
                <c:ptCount val="10"/>
                <c:pt idx="0">
                  <c:v>493.471</c:v>
                </c:pt>
                <c:pt idx="1">
                  <c:v>479.87099999999998</c:v>
                </c:pt>
                <c:pt idx="2">
                  <c:v>339.97699999999998</c:v>
                </c:pt>
                <c:pt idx="3">
                  <c:v>515.76</c:v>
                </c:pt>
                <c:pt idx="4">
                  <c:v>302.92700000000002</c:v>
                </c:pt>
                <c:pt idx="5">
                  <c:v>545.69100000000003</c:v>
                </c:pt>
                <c:pt idx="6">
                  <c:v>531.529</c:v>
                </c:pt>
                <c:pt idx="7">
                  <c:v>483.26</c:v>
                </c:pt>
                <c:pt idx="8">
                  <c:v>286.51100000000002</c:v>
                </c:pt>
                <c:pt idx="9">
                  <c:v>524.72299999999996</c:v>
                </c:pt>
              </c:numCache>
            </c:numRef>
          </c:val>
          <c:extLst>
            <c:ext xmlns:c16="http://schemas.microsoft.com/office/drawing/2014/chart" uri="{C3380CC4-5D6E-409C-BE32-E72D297353CC}">
              <c16:uniqueId val="{00000004-59DC-F948-821B-4F34511DD999}"/>
            </c:ext>
          </c:extLst>
        </c:ser>
        <c:ser>
          <c:idx val="5"/>
          <c:order val="5"/>
          <c:tx>
            <c:strRef>
              <c:f>BIC!$G$3:$G$4</c:f>
              <c:strCache>
                <c:ptCount val="1"/>
                <c:pt idx="0">
                  <c:v>rentmortgage</c:v>
                </c:pt>
              </c:strCache>
            </c:strRef>
          </c:tx>
          <c:spPr>
            <a:solidFill>
              <a:schemeClr val="accent6"/>
            </a:solidFill>
            <a:ln>
              <a:noFill/>
            </a:ln>
            <a:effectLst/>
          </c:spPr>
          <c:invertIfNegative val="0"/>
          <c:cat>
            <c:strRef>
              <c:f>BIC!$A$5:$A$15</c:f>
              <c:strCache>
                <c:ptCount val="10"/>
                <c:pt idx="0">
                  <c:v>alerts</c:v>
                </c:pt>
                <c:pt idx="1">
                  <c:v>documents</c:v>
                </c:pt>
                <c:pt idx="2">
                  <c:v>family_communication</c:v>
                </c:pt>
                <c:pt idx="3">
                  <c:v>insured </c:v>
                </c:pt>
                <c:pt idx="4">
                  <c:v>involved</c:v>
                </c:pt>
                <c:pt idx="5">
                  <c:v>learned_routes</c:v>
                </c:pt>
                <c:pt idx="6">
                  <c:v>made_plan</c:v>
                </c:pt>
                <c:pt idx="7">
                  <c:v>made_safer</c:v>
                </c:pt>
                <c:pt idx="8">
                  <c:v>practiced_drills</c:v>
                </c:pt>
                <c:pt idx="9">
                  <c:v>supplies</c:v>
                </c:pt>
              </c:strCache>
            </c:strRef>
          </c:cat>
          <c:val>
            <c:numRef>
              <c:f>BIC!$G$5:$G$15</c:f>
              <c:numCache>
                <c:formatCode>General</c:formatCode>
                <c:ptCount val="10"/>
                <c:pt idx="0">
                  <c:v>468.83971125310671</c:v>
                </c:pt>
                <c:pt idx="1">
                  <c:v>451.1215787032076</c:v>
                </c:pt>
                <c:pt idx="2">
                  <c:v>317.13947972602818</c:v>
                </c:pt>
                <c:pt idx="3">
                  <c:v>500.42331802515298</c:v>
                </c:pt>
                <c:pt idx="4">
                  <c:v>294.36815423395149</c:v>
                </c:pt>
                <c:pt idx="5">
                  <c:v>516.48649188388924</c:v>
                </c:pt>
                <c:pt idx="6">
                  <c:v>504.80149687872068</c:v>
                </c:pt>
                <c:pt idx="7">
                  <c:v>462.64669372348692</c:v>
                </c:pt>
                <c:pt idx="8">
                  <c:v>268.61910322645753</c:v>
                </c:pt>
                <c:pt idx="9">
                  <c:v>507.28202661186879</c:v>
                </c:pt>
              </c:numCache>
            </c:numRef>
          </c:val>
          <c:extLst>
            <c:ext xmlns:c16="http://schemas.microsoft.com/office/drawing/2014/chart" uri="{C3380CC4-5D6E-409C-BE32-E72D297353CC}">
              <c16:uniqueId val="{00000005-59DC-F948-821B-4F34511DD999}"/>
            </c:ext>
          </c:extLst>
        </c:ser>
        <c:ser>
          <c:idx val="6"/>
          <c:order val="6"/>
          <c:tx>
            <c:strRef>
              <c:f>BIC!$H$3:$H$4</c:f>
              <c:strCache>
                <c:ptCount val="1"/>
                <c:pt idx="0">
                  <c:v>sex</c:v>
                </c:pt>
              </c:strCache>
            </c:strRef>
          </c:tx>
          <c:spPr>
            <a:solidFill>
              <a:srgbClr val="801A99"/>
            </a:solidFill>
            <a:ln>
              <a:noFill/>
            </a:ln>
            <a:effectLst/>
          </c:spPr>
          <c:invertIfNegative val="0"/>
          <c:cat>
            <c:strRef>
              <c:f>BIC!$A$5:$A$15</c:f>
              <c:strCache>
                <c:ptCount val="10"/>
                <c:pt idx="0">
                  <c:v>alerts</c:v>
                </c:pt>
                <c:pt idx="1">
                  <c:v>documents</c:v>
                </c:pt>
                <c:pt idx="2">
                  <c:v>family_communication</c:v>
                </c:pt>
                <c:pt idx="3">
                  <c:v>insured </c:v>
                </c:pt>
                <c:pt idx="4">
                  <c:v>involved</c:v>
                </c:pt>
                <c:pt idx="5">
                  <c:v>learned_routes</c:v>
                </c:pt>
                <c:pt idx="6">
                  <c:v>made_plan</c:v>
                </c:pt>
                <c:pt idx="7">
                  <c:v>made_safer</c:v>
                </c:pt>
                <c:pt idx="8">
                  <c:v>practiced_drills</c:v>
                </c:pt>
                <c:pt idx="9">
                  <c:v>supplies</c:v>
                </c:pt>
              </c:strCache>
            </c:strRef>
          </c:cat>
          <c:val>
            <c:numRef>
              <c:f>BIC!$H$5:$H$15</c:f>
              <c:numCache>
                <c:formatCode>General</c:formatCode>
                <c:ptCount val="10"/>
                <c:pt idx="0">
                  <c:v>465.82311700660642</c:v>
                </c:pt>
                <c:pt idx="1">
                  <c:v>451.08216541669782</c:v>
                </c:pt>
                <c:pt idx="2">
                  <c:v>321.42011672496352</c:v>
                </c:pt>
                <c:pt idx="3">
                  <c:v>502.01388566607147</c:v>
                </c:pt>
                <c:pt idx="4">
                  <c:v>295.62638223734967</c:v>
                </c:pt>
                <c:pt idx="5">
                  <c:v>516.46661812856132</c:v>
                </c:pt>
                <c:pt idx="6">
                  <c:v>507.41077483317969</c:v>
                </c:pt>
                <c:pt idx="7">
                  <c:v>462.9465884902354</c:v>
                </c:pt>
                <c:pt idx="8">
                  <c:v>276.63623791500868</c:v>
                </c:pt>
                <c:pt idx="9">
                  <c:v>509.56918152761523</c:v>
                </c:pt>
              </c:numCache>
            </c:numRef>
          </c:val>
          <c:extLst>
            <c:ext xmlns:c16="http://schemas.microsoft.com/office/drawing/2014/chart" uri="{C3380CC4-5D6E-409C-BE32-E72D297353CC}">
              <c16:uniqueId val="{00000006-59DC-F948-821B-4F34511DD999}"/>
            </c:ext>
          </c:extLst>
        </c:ser>
        <c:dLbls>
          <c:showLegendKey val="0"/>
          <c:showVal val="0"/>
          <c:showCatName val="0"/>
          <c:showSerName val="0"/>
          <c:showPercent val="0"/>
          <c:showBubbleSize val="0"/>
        </c:dLbls>
        <c:gapWidth val="219"/>
        <c:overlap val="-27"/>
        <c:axId val="173927359"/>
        <c:axId val="173541055"/>
      </c:barChart>
      <c:catAx>
        <c:axId val="1739273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de-DE"/>
          </a:p>
        </c:txPr>
        <c:crossAx val="173541055"/>
        <c:crosses val="autoZero"/>
        <c:auto val="1"/>
        <c:lblAlgn val="ctr"/>
        <c:lblOffset val="100"/>
        <c:noMultiLvlLbl val="0"/>
      </c:catAx>
      <c:valAx>
        <c:axId val="173541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39273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[probit_univariate_annotated.xlsx]BIC!PivotTable1</c:name>
    <c:fmtId val="-1"/>
  </c:pivotSource>
  <c:chart>
    <c:title>
      <c:tx>
        <c:rich>
          <a:bodyPr rot="0" spcFirstLastPara="1" vertOverflow="ellipsis" vert="horz" wrap="square" anchor="ctr" anchorCtr="1"/>
          <a:lstStyle/>
          <a:p>
            <a:pPr>
              <a:defRPr sz="100" b="0" i="0" u="none" strike="noStrike" kern="1200" spc="0" baseline="0">
                <a:solidFill>
                  <a:srgbClr val="FFFFFF"/>
                </a:solidFill>
                <a:latin typeface="Arial" panose="020B0604020202020204" pitchFamily="34" charset="0"/>
                <a:ea typeface="Arial"/>
                <a:cs typeface="Arial"/>
              </a:defRPr>
            </a:pPr>
            <a:r>
              <a:rPr lang="en-US" sz="100" b="0" i="0" u="none">
                <a:solidFill>
                  <a:srgbClr val="FFFFFF"/>
                </a:solidFill>
                <a:latin typeface="Arial" panose="020B0604020202020204" pitchFamily="34" charset="0"/>
              </a:rPr>
              <a:t>Chart Title</a:t>
            </a:r>
          </a:p>
        </c:rich>
      </c:tx>
      <c:overlay val="0"/>
      <c:spPr>
        <a:noFill/>
        <a:ln w="25400">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100" b="0" i="0" u="none" strike="noStrike" kern="1200" spc="0" baseline="0">
              <a:solidFill>
                <a:srgbClr val="FFFFFF"/>
              </a:solidFill>
              <a:latin typeface="Arial" panose="020B0604020202020204" pitchFamily="34" charset="0"/>
              <a:ea typeface="Arial"/>
              <a:cs typeface="Arial"/>
            </a:defRPr>
          </a:pPr>
          <a:endParaRPr lang="de-DE"/>
        </a:p>
      </c:txPr>
    </c:title>
    <c:autoTitleDeleted val="0"/>
    <c:pivotFmts>
      <c:pivotFmt>
        <c:idx val="0"/>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BIC!$B$3:$B$4</c:f>
              <c:strCache>
                <c:ptCount val="1"/>
                <c:pt idx="0">
                  <c:v>awareness</c:v>
                </c:pt>
              </c:strCache>
            </c:strRef>
          </c:tx>
          <c:spPr>
            <a:solidFill>
              <a:schemeClr val="accent1"/>
            </a:solidFill>
            <a:ln>
              <a:noFill/>
            </a:ln>
            <a:effectLst/>
          </c:spPr>
          <c:invertIfNegative val="0"/>
          <c:cat>
            <c:strRef>
              <c:f>BIC!$A$5:$A$15</c:f>
              <c:strCache>
                <c:ptCount val="10"/>
                <c:pt idx="0">
                  <c:v>insured</c:v>
                </c:pt>
                <c:pt idx="1">
                  <c:v>learned_routes</c:v>
                </c:pt>
                <c:pt idx="2">
                  <c:v>made_plan</c:v>
                </c:pt>
                <c:pt idx="3">
                  <c:v>supplies</c:v>
                </c:pt>
                <c:pt idx="4">
                  <c:v>made_safer</c:v>
                </c:pt>
                <c:pt idx="5">
                  <c:v>documents</c:v>
                </c:pt>
                <c:pt idx="6">
                  <c:v>alerts</c:v>
                </c:pt>
                <c:pt idx="7">
                  <c:v>family_communication</c:v>
                </c:pt>
                <c:pt idx="8">
                  <c:v>involved</c:v>
                </c:pt>
                <c:pt idx="9">
                  <c:v>practiced_drills</c:v>
                </c:pt>
              </c:strCache>
            </c:strRef>
          </c:cat>
          <c:val>
            <c:numRef>
              <c:f>BIC!$B$5:$B$15</c:f>
              <c:numCache>
                <c:formatCode>General</c:formatCode>
                <c:ptCount val="10"/>
                <c:pt idx="0">
                  <c:v>408.12721364170659</c:v>
                </c:pt>
                <c:pt idx="1">
                  <c:v>407.60116936364909</c:v>
                </c:pt>
                <c:pt idx="2">
                  <c:v>401.53769244136959</c:v>
                </c:pt>
                <c:pt idx="3">
                  <c:v>389.0712280336702</c:v>
                </c:pt>
                <c:pt idx="4">
                  <c:v>370.70628313202019</c:v>
                </c:pt>
                <c:pt idx="5">
                  <c:v>370.16469865012482</c:v>
                </c:pt>
                <c:pt idx="6">
                  <c:v>368.13528521462729</c:v>
                </c:pt>
                <c:pt idx="7">
                  <c:v>259.11687671432469</c:v>
                </c:pt>
                <c:pt idx="8">
                  <c:v>246.6110624264989</c:v>
                </c:pt>
                <c:pt idx="9">
                  <c:v>223.0219637328502</c:v>
                </c:pt>
              </c:numCache>
            </c:numRef>
          </c:val>
          <c:extLst>
            <c:ext xmlns:c16="http://schemas.microsoft.com/office/drawing/2014/chart" uri="{C3380CC4-5D6E-409C-BE32-E72D297353CC}">
              <c16:uniqueId val="{00000000-8531-FB49-B8C7-79354992DB74}"/>
            </c:ext>
          </c:extLst>
        </c:ser>
        <c:ser>
          <c:idx val="1"/>
          <c:order val="1"/>
          <c:tx>
            <c:strRef>
              <c:f>BIC!$C$3:$C$4</c:f>
              <c:strCache>
                <c:ptCount val="1"/>
                <c:pt idx="0">
                  <c:v>experience</c:v>
                </c:pt>
              </c:strCache>
            </c:strRef>
          </c:tx>
          <c:spPr>
            <a:solidFill>
              <a:schemeClr val="accent2"/>
            </a:solidFill>
            <a:ln>
              <a:noFill/>
            </a:ln>
            <a:effectLst/>
          </c:spPr>
          <c:invertIfNegative val="0"/>
          <c:cat>
            <c:strRef>
              <c:f>BIC!$A$5:$A$15</c:f>
              <c:strCache>
                <c:ptCount val="10"/>
                <c:pt idx="0">
                  <c:v>insured</c:v>
                </c:pt>
                <c:pt idx="1">
                  <c:v>learned_routes</c:v>
                </c:pt>
                <c:pt idx="2">
                  <c:v>made_plan</c:v>
                </c:pt>
                <c:pt idx="3">
                  <c:v>supplies</c:v>
                </c:pt>
                <c:pt idx="4">
                  <c:v>made_safer</c:v>
                </c:pt>
                <c:pt idx="5">
                  <c:v>documents</c:v>
                </c:pt>
                <c:pt idx="6">
                  <c:v>alerts</c:v>
                </c:pt>
                <c:pt idx="7">
                  <c:v>family_communication</c:v>
                </c:pt>
                <c:pt idx="8">
                  <c:v>involved</c:v>
                </c:pt>
                <c:pt idx="9">
                  <c:v>practiced_drills</c:v>
                </c:pt>
              </c:strCache>
            </c:strRef>
          </c:cat>
          <c:val>
            <c:numRef>
              <c:f>BIC!$C$5:$C$15</c:f>
              <c:numCache>
                <c:formatCode>General</c:formatCode>
                <c:ptCount val="10"/>
                <c:pt idx="0">
                  <c:v>483.96337491328569</c:v>
                </c:pt>
                <c:pt idx="1">
                  <c:v>484.9797935828766</c:v>
                </c:pt>
                <c:pt idx="2">
                  <c:v>488.40756439999569</c:v>
                </c:pt>
                <c:pt idx="3">
                  <c:v>465.78776129984118</c:v>
                </c:pt>
                <c:pt idx="4">
                  <c:v>453.14534063974531</c:v>
                </c:pt>
                <c:pt idx="5">
                  <c:v>440.52920176972532</c:v>
                </c:pt>
                <c:pt idx="6">
                  <c:v>458.45724282860681</c:v>
                </c:pt>
                <c:pt idx="7">
                  <c:v>314.05451048265752</c:v>
                </c:pt>
                <c:pt idx="8">
                  <c:v>270.9399257087116</c:v>
                </c:pt>
                <c:pt idx="9">
                  <c:v>264.5150538711448</c:v>
                </c:pt>
              </c:numCache>
            </c:numRef>
          </c:val>
          <c:extLst>
            <c:ext xmlns:c16="http://schemas.microsoft.com/office/drawing/2014/chart" uri="{C3380CC4-5D6E-409C-BE32-E72D297353CC}">
              <c16:uniqueId val="{00000001-8531-FB49-B8C7-79354992DB74}"/>
            </c:ext>
          </c:extLst>
        </c:ser>
        <c:ser>
          <c:idx val="2"/>
          <c:order val="2"/>
          <c:tx>
            <c:strRef>
              <c:f>BIC!$D$3:$D$4</c:f>
              <c:strCache>
                <c:ptCount val="1"/>
                <c:pt idx="0">
                  <c:v>floodzone</c:v>
                </c:pt>
              </c:strCache>
            </c:strRef>
          </c:tx>
          <c:spPr>
            <a:solidFill>
              <a:schemeClr val="accent3"/>
            </a:solidFill>
            <a:ln>
              <a:noFill/>
            </a:ln>
            <a:effectLst/>
          </c:spPr>
          <c:invertIfNegative val="0"/>
          <c:cat>
            <c:strRef>
              <c:f>BIC!$A$5:$A$15</c:f>
              <c:strCache>
                <c:ptCount val="10"/>
                <c:pt idx="0">
                  <c:v>insured</c:v>
                </c:pt>
                <c:pt idx="1">
                  <c:v>learned_routes</c:v>
                </c:pt>
                <c:pt idx="2">
                  <c:v>made_plan</c:v>
                </c:pt>
                <c:pt idx="3">
                  <c:v>supplies</c:v>
                </c:pt>
                <c:pt idx="4">
                  <c:v>made_safer</c:v>
                </c:pt>
                <c:pt idx="5">
                  <c:v>documents</c:v>
                </c:pt>
                <c:pt idx="6">
                  <c:v>alerts</c:v>
                </c:pt>
                <c:pt idx="7">
                  <c:v>family_communication</c:v>
                </c:pt>
                <c:pt idx="8">
                  <c:v>involved</c:v>
                </c:pt>
                <c:pt idx="9">
                  <c:v>practiced_drills</c:v>
                </c:pt>
              </c:strCache>
            </c:strRef>
          </c:cat>
          <c:val>
            <c:numRef>
              <c:f>BIC!$D$5:$D$15</c:f>
              <c:numCache>
                <c:formatCode>General</c:formatCode>
                <c:ptCount val="10"/>
                <c:pt idx="0">
                  <c:v>414.22506356902443</c:v>
                </c:pt>
                <c:pt idx="1">
                  <c:v>431.46962516514321</c:v>
                </c:pt>
                <c:pt idx="2">
                  <c:v>424.2890843273675</c:v>
                </c:pt>
                <c:pt idx="3">
                  <c:v>413.27191881349142</c:v>
                </c:pt>
                <c:pt idx="4">
                  <c:v>379.61776349508631</c:v>
                </c:pt>
                <c:pt idx="5">
                  <c:v>383.06605904452908</c:v>
                </c:pt>
                <c:pt idx="6">
                  <c:v>365.71069333774869</c:v>
                </c:pt>
                <c:pt idx="7">
                  <c:v>266.99434855823438</c:v>
                </c:pt>
                <c:pt idx="8">
                  <c:v>248.57072479496219</c:v>
                </c:pt>
                <c:pt idx="9">
                  <c:v>219.03149077062599</c:v>
                </c:pt>
              </c:numCache>
            </c:numRef>
          </c:val>
          <c:extLst>
            <c:ext xmlns:c16="http://schemas.microsoft.com/office/drawing/2014/chart" uri="{C3380CC4-5D6E-409C-BE32-E72D297353CC}">
              <c16:uniqueId val="{00000002-8531-FB49-B8C7-79354992DB74}"/>
            </c:ext>
          </c:extLst>
        </c:ser>
        <c:ser>
          <c:idx val="3"/>
          <c:order val="3"/>
          <c:tx>
            <c:strRef>
              <c:f>BIC!$E$3:$E$4</c:f>
              <c:strCache>
                <c:ptCount val="1"/>
                <c:pt idx="0">
                  <c:v>perception</c:v>
                </c:pt>
              </c:strCache>
            </c:strRef>
          </c:tx>
          <c:spPr>
            <a:solidFill>
              <a:schemeClr val="accent4"/>
            </a:solidFill>
            <a:ln>
              <a:noFill/>
            </a:ln>
            <a:effectLst/>
          </c:spPr>
          <c:invertIfNegative val="0"/>
          <c:cat>
            <c:strRef>
              <c:f>BIC!$A$5:$A$15</c:f>
              <c:strCache>
                <c:ptCount val="10"/>
                <c:pt idx="0">
                  <c:v>insured</c:v>
                </c:pt>
                <c:pt idx="1">
                  <c:v>learned_routes</c:v>
                </c:pt>
                <c:pt idx="2">
                  <c:v>made_plan</c:v>
                </c:pt>
                <c:pt idx="3">
                  <c:v>supplies</c:v>
                </c:pt>
                <c:pt idx="4">
                  <c:v>made_safer</c:v>
                </c:pt>
                <c:pt idx="5">
                  <c:v>documents</c:v>
                </c:pt>
                <c:pt idx="6">
                  <c:v>alerts</c:v>
                </c:pt>
                <c:pt idx="7">
                  <c:v>family_communication</c:v>
                </c:pt>
                <c:pt idx="8">
                  <c:v>involved</c:v>
                </c:pt>
                <c:pt idx="9">
                  <c:v>practiced_drills</c:v>
                </c:pt>
              </c:strCache>
            </c:strRef>
          </c:cat>
          <c:val>
            <c:numRef>
              <c:f>BIC!$E$5:$E$15</c:f>
              <c:numCache>
                <c:formatCode>General</c:formatCode>
                <c:ptCount val="10"/>
                <c:pt idx="0">
                  <c:v>384.04196610313511</c:v>
                </c:pt>
                <c:pt idx="1">
                  <c:v>413.9388244306499</c:v>
                </c:pt>
                <c:pt idx="2">
                  <c:v>406.27644836427987</c:v>
                </c:pt>
                <c:pt idx="3">
                  <c:v>394.05656839531269</c:v>
                </c:pt>
                <c:pt idx="4">
                  <c:v>369.52839220627072</c:v>
                </c:pt>
                <c:pt idx="5">
                  <c:v>366.07714272100537</c:v>
                </c:pt>
                <c:pt idx="6">
                  <c:v>366.63232702954031</c:v>
                </c:pt>
                <c:pt idx="7">
                  <c:v>261.84608917264609</c:v>
                </c:pt>
                <c:pt idx="8">
                  <c:v>231.80890887186959</c:v>
                </c:pt>
                <c:pt idx="9">
                  <c:v>216.37368946208511</c:v>
                </c:pt>
              </c:numCache>
            </c:numRef>
          </c:val>
          <c:extLst>
            <c:ext xmlns:c16="http://schemas.microsoft.com/office/drawing/2014/chart" uri="{C3380CC4-5D6E-409C-BE32-E72D297353CC}">
              <c16:uniqueId val="{00000003-8531-FB49-B8C7-79354992DB74}"/>
            </c:ext>
          </c:extLst>
        </c:ser>
        <c:dLbls>
          <c:showLegendKey val="0"/>
          <c:showVal val="0"/>
          <c:showCatName val="0"/>
          <c:showSerName val="0"/>
          <c:showPercent val="0"/>
          <c:showBubbleSize val="0"/>
        </c:dLbls>
        <c:gapWidth val="150"/>
        <c:axId val="1121642544"/>
        <c:axId val="1121641464"/>
      </c:barChart>
      <c:catAx>
        <c:axId val="1121642544"/>
        <c:scaling>
          <c:orientation val="minMax"/>
        </c:scaling>
        <c:delete val="0"/>
        <c:axPos val="b"/>
        <c:numFmt formatCode="General" sourceLinked="1"/>
        <c:majorTickMark val="none"/>
        <c:minorTickMark val="none"/>
        <c:tickLblPos val="nextTo"/>
        <c:spPr>
          <a:noFill/>
          <a:ln w="9525" cap="flat" cmpd="sng" algn="ctr">
            <a:solidFill>
              <a:srgbClr val="979797"/>
            </a:solidFill>
            <a:prstDash val="solid"/>
            <a:round/>
          </a:ln>
          <a:effectLst/>
          <a:extLst>
            <a:ext uri="{909E8E84-426E-40DD-AFC4-6F175D3DCCD1}">
              <a14:hiddenFill xmlns:a14="http://schemas.microsoft.com/office/drawing/2010/main">
                <a:noFill/>
              </a14:hiddenFill>
            </a:ext>
          </a:extLst>
        </c:spPr>
        <c:txPr>
          <a:bodyPr rot="-60000000" spcFirstLastPara="1" vertOverflow="ellipsis" vert="horz" wrap="square" anchor="ctr" anchorCtr="1"/>
          <a:lstStyle/>
          <a:p>
            <a:pPr>
              <a:defRPr sz="800" b="0" i="0" u="none" strike="noStrike" kern="1200" baseline="0">
                <a:solidFill>
                  <a:srgbClr val="000000"/>
                </a:solidFill>
                <a:latin typeface="Arial"/>
                <a:ea typeface="Arial"/>
                <a:cs typeface="Arial"/>
              </a:defRPr>
            </a:pPr>
            <a:endParaRPr lang="de-DE"/>
          </a:p>
        </c:txPr>
        <c:crossAx val="1121641464"/>
        <c:crosses val="autoZero"/>
        <c:auto val="1"/>
        <c:lblAlgn val="ctr"/>
        <c:lblOffset val="100"/>
        <c:noMultiLvlLbl val="0"/>
      </c:catAx>
      <c:valAx>
        <c:axId val="1121641464"/>
        <c:scaling>
          <c:orientation val="minMax"/>
        </c:scaling>
        <c:delete val="0"/>
        <c:axPos val="l"/>
        <c:majorGridlines>
          <c:spPr>
            <a:ln w="6350" cap="flat" cmpd="sng" algn="ctr">
              <a:solidFill>
                <a:srgbClr val="706E6C"/>
              </a:solidFill>
              <a:prstDash val="solid"/>
              <a:round/>
            </a:ln>
            <a:effectLst/>
          </c:spPr>
        </c:majorGridlines>
        <c:numFmt formatCode="General" sourceLinked="1"/>
        <c:majorTickMark val="out"/>
        <c:minorTickMark val="none"/>
        <c:tickLblPos val="nextTo"/>
        <c:spPr>
          <a:noFill/>
          <a:ln>
            <a:noFill/>
          </a:ln>
          <a:effectLst/>
          <a:extLst>
            <a:ext uri="{91240B29-F687-4F45-9708-019B960494DF}">
              <a14:hiddenLine xmlns:a14="http://schemas.microsoft.com/office/drawing/2010/main">
                <a:noFill/>
              </a14:hiddenLine>
            </a:ext>
          </a:extLst>
        </c:spPr>
        <c:txPr>
          <a:bodyPr rot="-6000000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crossAx val="1121642544"/>
        <c:crosses val="autoZero"/>
        <c:crossBetween val="between"/>
      </c:valAx>
      <c:spPr>
        <a:noFill/>
        <a:ln>
          <a:noFill/>
        </a:ln>
        <a:effectLst/>
        <a:extLst>
          <a:ext uri="{91240B29-F687-4F45-9708-019B960494DF}">
            <a14:hiddenLine xmlns:a14="http://schemas.microsoft.com/office/drawing/2010/main">
              <a:noFill/>
            </a14:hiddenLine>
          </a:ext>
        </a:extLst>
      </c:spPr>
    </c:plotArea>
    <c:legend>
      <c:legendPos val="b"/>
      <c:overlay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legend>
    <c:plotVisOnly val="1"/>
    <c:dispBlanksAs val="gap"/>
    <c:showDLblsOverMax val="0"/>
    <c:extLst/>
  </c:chart>
  <c:spPr>
    <a:noFill/>
    <a:ln w="25400" cap="flat" cmpd="sng" algn="ctr">
      <a:noFill/>
      <a:round/>
    </a:ln>
    <a:effectLst/>
  </c:spPr>
  <c:txPr>
    <a:bodyPr/>
    <a:lstStyle/>
    <a:p>
      <a:pPr>
        <a:defRPr sz="900">
          <a:latin typeface="Arial"/>
          <a:ea typeface="Arial"/>
          <a:cs typeface="Arial"/>
        </a:defRPr>
      </a:pPr>
      <a:endParaRPr lang="de-DE"/>
    </a:p>
  </c:txPr>
  <c:externalData r:id="rId4">
    <c:autoUpdate val="0"/>
  </c:externalData>
  <c:userShapes r:id="rId5"/>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[probit_univariate_annotated.xlsx]R2!PivotTable1</c:name>
    <c:fmtId val="-1"/>
  </c:pivotSource>
  <c:chart>
    <c:title>
      <c:tx>
        <c:rich>
          <a:bodyPr rot="0" spcFirstLastPara="1" vertOverflow="ellipsis" vert="horz" wrap="square" anchor="ctr" anchorCtr="1"/>
          <a:lstStyle/>
          <a:p>
            <a:pPr>
              <a:defRPr sz="100" b="0" i="0" u="none" strike="noStrike" kern="1200" spc="0" baseline="0">
                <a:solidFill>
                  <a:srgbClr val="FFFFFF"/>
                </a:solidFill>
                <a:latin typeface="Arial" panose="020B0604020202020204" pitchFamily="34" charset="0"/>
                <a:ea typeface="Arial"/>
                <a:cs typeface="Arial"/>
              </a:defRPr>
            </a:pPr>
            <a:r>
              <a:rPr lang="en-US" sz="100" b="0" i="0" u="none">
                <a:solidFill>
                  <a:srgbClr val="FFFFFF"/>
                </a:solidFill>
                <a:latin typeface="Arial" panose="020B0604020202020204" pitchFamily="34" charset="0"/>
              </a:rPr>
              <a:t>Chart Title</a:t>
            </a:r>
          </a:p>
        </c:rich>
      </c:tx>
      <c:overlay val="0"/>
      <c:spPr>
        <a:noFill/>
        <a:ln w="25400">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100" b="0" i="0" u="none" strike="noStrike" kern="1200" spc="0" baseline="0">
              <a:solidFill>
                <a:srgbClr val="FFFFFF"/>
              </a:solidFill>
              <a:latin typeface="Arial" panose="020B0604020202020204" pitchFamily="34" charset="0"/>
              <a:ea typeface="Arial"/>
              <a:cs typeface="Arial"/>
            </a:defRPr>
          </a:pPr>
          <a:endParaRPr lang="de-DE"/>
        </a:p>
      </c:txPr>
    </c:title>
    <c:autoTitleDeleted val="0"/>
    <c:pivotFmts>
      <c:pivotFmt>
        <c:idx val="0"/>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8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8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8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'R2'!$B$3:$B$4</c:f>
              <c:strCache>
                <c:ptCount val="1"/>
                <c:pt idx="0">
                  <c:v>awareness</c:v>
                </c:pt>
              </c:strCache>
            </c:strRef>
          </c:tx>
          <c:spPr>
            <a:solidFill>
              <a:schemeClr val="accent1"/>
            </a:solidFill>
            <a:ln>
              <a:noFill/>
            </a:ln>
            <a:effectLst/>
          </c:spPr>
          <c:invertIfNegative val="0"/>
          <c:cat>
            <c:strRef>
              <c:f>'R2'!$A$5:$A$15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'R2'!$B$5:$B$15</c:f>
              <c:numCache>
                <c:formatCode>General</c:formatCode>
                <c:ptCount val="10"/>
                <c:pt idx="0">
                  <c:v>0.14321248845027579</c:v>
                </c:pt>
                <c:pt idx="1">
                  <c:v>0.1087805463952017</c:v>
                </c:pt>
                <c:pt idx="2">
                  <c:v>0.12860400298576569</c:v>
                </c:pt>
                <c:pt idx="3">
                  <c:v>0.12373971285914639</c:v>
                </c:pt>
                <c:pt idx="4">
                  <c:v>0.13246277513895091</c:v>
                </c:pt>
                <c:pt idx="5">
                  <c:v>0.16832299782025489</c:v>
                </c:pt>
                <c:pt idx="6">
                  <c:v>0.14231497534246071</c:v>
                </c:pt>
                <c:pt idx="7">
                  <c:v>9.2872711060134061E-2</c:v>
                </c:pt>
                <c:pt idx="8">
                  <c:v>0.1172459333771551</c:v>
                </c:pt>
                <c:pt idx="9">
                  <c:v>0.1931170930013961</c:v>
                </c:pt>
              </c:numCache>
            </c:numRef>
          </c:val>
          <c:extLst>
            <c:ext xmlns:c16="http://schemas.microsoft.com/office/drawing/2014/chart" uri="{C3380CC4-5D6E-409C-BE32-E72D297353CC}">
              <c16:uniqueId val="{00000000-C313-CD40-BAA1-DF70F300F1CB}"/>
            </c:ext>
          </c:extLst>
        </c:ser>
        <c:ser>
          <c:idx val="1"/>
          <c:order val="1"/>
          <c:tx>
            <c:strRef>
              <c:f>'R2'!$C$3:$C$4</c:f>
              <c:strCache>
                <c:ptCount val="1"/>
                <c:pt idx="0">
                  <c:v>experience</c:v>
                </c:pt>
              </c:strCache>
            </c:strRef>
          </c:tx>
          <c:spPr>
            <a:solidFill>
              <a:schemeClr val="accent2"/>
            </a:solidFill>
            <a:ln>
              <a:noFill/>
            </a:ln>
            <a:effectLst/>
          </c:spPr>
          <c:invertIfNegative val="0"/>
          <c:cat>
            <c:strRef>
              <c:f>'R2'!$A$5:$A$15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'R2'!$C$5:$C$15</c:f>
              <c:numCache>
                <c:formatCode>General</c:formatCode>
                <c:ptCount val="10"/>
                <c:pt idx="0">
                  <c:v>4.2834092915124362E-2</c:v>
                </c:pt>
                <c:pt idx="1">
                  <c:v>4.3635749746958448E-2</c:v>
                </c:pt>
                <c:pt idx="2">
                  <c:v>4.5158626748586478E-2</c:v>
                </c:pt>
                <c:pt idx="3">
                  <c:v>6.6961078882265879E-2</c:v>
                </c:pt>
                <c:pt idx="4">
                  <c:v>0.1249679407266347</c:v>
                </c:pt>
                <c:pt idx="5">
                  <c:v>0.10997669190516909</c:v>
                </c:pt>
                <c:pt idx="6">
                  <c:v>6.8887738169453705E-2</c:v>
                </c:pt>
                <c:pt idx="7">
                  <c:v>4.1035621487204479E-2</c:v>
                </c:pt>
                <c:pt idx="8">
                  <c:v>6.9212061173076725E-2</c:v>
                </c:pt>
                <c:pt idx="9">
                  <c:v>0.14493767952502551</c:v>
                </c:pt>
              </c:numCache>
            </c:numRef>
          </c:val>
          <c:extLst>
            <c:ext xmlns:c16="http://schemas.microsoft.com/office/drawing/2014/chart" uri="{C3380CC4-5D6E-409C-BE32-E72D297353CC}">
              <c16:uniqueId val="{00000001-C313-CD40-BAA1-DF70F300F1CB}"/>
            </c:ext>
          </c:extLst>
        </c:ser>
        <c:ser>
          <c:idx val="2"/>
          <c:order val="2"/>
          <c:tx>
            <c:strRef>
              <c:f>'R2'!$D$3:$D$4</c:f>
              <c:strCache>
                <c:ptCount val="1"/>
                <c:pt idx="0">
                  <c:v>floodzone</c:v>
                </c:pt>
              </c:strCache>
            </c:strRef>
          </c:tx>
          <c:spPr>
            <a:solidFill>
              <a:schemeClr val="accent3"/>
            </a:solidFill>
            <a:ln>
              <a:noFill/>
            </a:ln>
            <a:effectLst/>
          </c:spPr>
          <c:invertIfNegative val="0"/>
          <c:cat>
            <c:strRef>
              <c:f>'R2'!$A$5:$A$15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'R2'!$D$5:$D$15</c:f>
              <c:numCache>
                <c:formatCode>General</c:formatCode>
                <c:ptCount val="10"/>
                <c:pt idx="0">
                  <c:v>0.13707715518614369</c:v>
                </c:pt>
                <c:pt idx="1">
                  <c:v>4.1803230801682863E-2</c:v>
                </c:pt>
                <c:pt idx="2">
                  <c:v>6.4371799493252946E-2</c:v>
                </c:pt>
                <c:pt idx="3">
                  <c:v>9.0180312542104984E-2</c:v>
                </c:pt>
                <c:pt idx="4">
                  <c:v>9.9756221957427033E-2</c:v>
                </c:pt>
                <c:pt idx="5">
                  <c:v>6.5123072223863002E-2</c:v>
                </c:pt>
                <c:pt idx="6">
                  <c:v>3.9598784390437923E-2</c:v>
                </c:pt>
                <c:pt idx="7">
                  <c:v>4.4779172270128828E-2</c:v>
                </c:pt>
                <c:pt idx="8">
                  <c:v>0.12317485434976561</c:v>
                </c:pt>
                <c:pt idx="9">
                  <c:v>8.5079983899569639E-2</c:v>
                </c:pt>
              </c:numCache>
            </c:numRef>
          </c:val>
          <c:extLst>
            <c:ext xmlns:c16="http://schemas.microsoft.com/office/drawing/2014/chart" uri="{C3380CC4-5D6E-409C-BE32-E72D297353CC}">
              <c16:uniqueId val="{00000002-C313-CD40-BAA1-DF70F300F1CB}"/>
            </c:ext>
          </c:extLst>
        </c:ser>
        <c:ser>
          <c:idx val="3"/>
          <c:order val="3"/>
          <c:tx>
            <c:strRef>
              <c:f>'R2'!$E$3:$E$4</c:f>
              <c:strCache>
                <c:ptCount val="1"/>
                <c:pt idx="0">
                  <c:v>perception</c:v>
                </c:pt>
              </c:strCache>
            </c:strRef>
          </c:tx>
          <c:spPr>
            <a:solidFill>
              <a:schemeClr val="accent4"/>
            </a:solidFill>
            <a:ln>
              <a:noFill/>
            </a:ln>
            <a:effectLst/>
          </c:spPr>
          <c:invertIfNegative val="0"/>
          <c:cat>
            <c:strRef>
              <c:f>'R2'!$A$5:$A$15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'R2'!$E$5:$E$15</c:f>
              <c:numCache>
                <c:formatCode>General</c:formatCode>
                <c:ptCount val="10"/>
                <c:pt idx="0">
                  <c:v>0.16152778571500459</c:v>
                </c:pt>
                <c:pt idx="1">
                  <c:v>0.13731850538040921</c:v>
                </c:pt>
                <c:pt idx="2">
                  <c:v>0.1196761224762407</c:v>
                </c:pt>
                <c:pt idx="3">
                  <c:v>0.2394177153225884</c:v>
                </c:pt>
                <c:pt idx="4">
                  <c:v>0.29671548548204951</c:v>
                </c:pt>
                <c:pt idx="5">
                  <c:v>0.1513087758244529</c:v>
                </c:pt>
                <c:pt idx="6">
                  <c:v>0.12908193506766419</c:v>
                </c:pt>
                <c:pt idx="7">
                  <c:v>0.104553499561567</c:v>
                </c:pt>
                <c:pt idx="8">
                  <c:v>0.2016076779696386</c:v>
                </c:pt>
                <c:pt idx="9">
                  <c:v>0.18532270257923791</c:v>
                </c:pt>
              </c:numCache>
            </c:numRef>
          </c:val>
          <c:extLst>
            <c:ext xmlns:c16="http://schemas.microsoft.com/office/drawing/2014/chart" uri="{C3380CC4-5D6E-409C-BE32-E72D297353CC}">
              <c16:uniqueId val="{00000003-C313-CD40-BAA1-DF70F300F1CB}"/>
            </c:ext>
          </c:extLst>
        </c:ser>
        <c:dLbls>
          <c:showLegendKey val="0"/>
          <c:showVal val="0"/>
          <c:showCatName val="0"/>
          <c:showSerName val="0"/>
          <c:showPercent val="0"/>
          <c:showBubbleSize val="0"/>
        </c:dLbls>
        <c:gapWidth val="150"/>
        <c:axId val="1121642544"/>
        <c:axId val="1121641464"/>
      </c:barChart>
      <c:catAx>
        <c:axId val="1121642544"/>
        <c:scaling>
          <c:orientation val="minMax"/>
        </c:scaling>
        <c:delete val="0"/>
        <c:axPos val="b"/>
        <c:numFmt formatCode="General" sourceLinked="1"/>
        <c:majorTickMark val="none"/>
        <c:minorTickMark val="none"/>
        <c:tickLblPos val="nextTo"/>
        <c:spPr>
          <a:noFill/>
          <a:ln w="9525" cap="flat" cmpd="sng" algn="ctr">
            <a:solidFill>
              <a:srgbClr val="979797"/>
            </a:solidFill>
            <a:prstDash val="solid"/>
            <a:round/>
          </a:ln>
          <a:effectLst/>
          <a:extLst>
            <a:ext uri="{909E8E84-426E-40DD-AFC4-6F175D3DCCD1}">
              <a14:hiddenFill xmlns:a14="http://schemas.microsoft.com/office/drawing/2010/main">
                <a:noFill/>
              </a14:hiddenFill>
            </a:ext>
          </a:extLst>
        </c:spPr>
        <c:txPr>
          <a:bodyPr rot="-60000000" spcFirstLastPara="1" vertOverflow="ellipsis" vert="horz" wrap="square" anchor="ctr" anchorCtr="1"/>
          <a:lstStyle/>
          <a:p>
            <a:pPr>
              <a:defRPr sz="800" b="0" i="0" u="none" strike="noStrike" kern="1200" baseline="0">
                <a:solidFill>
                  <a:srgbClr val="000000"/>
                </a:solidFill>
                <a:latin typeface="Arial"/>
                <a:ea typeface="Arial"/>
                <a:cs typeface="Arial"/>
              </a:defRPr>
            </a:pPr>
            <a:endParaRPr lang="de-DE"/>
          </a:p>
        </c:txPr>
        <c:crossAx val="1121641464"/>
        <c:crosses val="autoZero"/>
        <c:auto val="1"/>
        <c:lblAlgn val="ctr"/>
        <c:lblOffset val="100"/>
        <c:noMultiLvlLbl val="0"/>
      </c:catAx>
      <c:valAx>
        <c:axId val="1121641464"/>
        <c:scaling>
          <c:orientation val="minMax"/>
        </c:scaling>
        <c:delete val="0"/>
        <c:axPos val="l"/>
        <c:majorGridlines>
          <c:spPr>
            <a:ln w="6350" cap="flat" cmpd="sng" algn="ctr">
              <a:solidFill>
                <a:srgbClr val="706E6C"/>
              </a:solidFill>
              <a:prstDash val="solid"/>
              <a:round/>
            </a:ln>
            <a:effectLst/>
          </c:spPr>
        </c:majorGridlines>
        <c:numFmt formatCode="0%" sourceLinked="0"/>
        <c:majorTickMark val="out"/>
        <c:minorTickMark val="none"/>
        <c:tickLblPos val="nextTo"/>
        <c:spPr>
          <a:noFill/>
          <a:ln>
            <a:noFill/>
          </a:ln>
          <a:effectLst/>
          <a:extLst>
            <a:ext uri="{91240B29-F687-4F45-9708-019B960494DF}">
              <a14:hiddenLine xmlns:a14="http://schemas.microsoft.com/office/drawing/2010/main">
                <a:noFill/>
              </a14:hiddenLine>
            </a:ext>
          </a:extLst>
        </c:spPr>
        <c:txPr>
          <a:bodyPr rot="-6000000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crossAx val="1121642544"/>
        <c:crosses val="autoZero"/>
        <c:crossBetween val="between"/>
      </c:valAx>
      <c:spPr>
        <a:noFill/>
        <a:ln>
          <a:noFill/>
        </a:ln>
        <a:effectLst/>
        <a:extLst>
          <a:ext uri="{91240B29-F687-4F45-9708-019B960494DF}">
            <a14:hiddenLine xmlns:a14="http://schemas.microsoft.com/office/drawing/2010/main">
              <a:noFill/>
            </a14:hiddenLine>
          </a:ext>
        </a:extLst>
      </c:spPr>
    </c:plotArea>
    <c:legend>
      <c:legendPos val="b"/>
      <c:overlay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legend>
    <c:plotVisOnly val="1"/>
    <c:dispBlanksAs val="gap"/>
    <c:showDLblsOverMax val="0"/>
    <c:extLst/>
  </c:chart>
  <c:spPr>
    <a:noFill/>
    <a:ln w="25400" cap="flat" cmpd="sng" algn="ctr">
      <a:noFill/>
      <a:round/>
    </a:ln>
    <a:effectLst/>
  </c:spPr>
  <c:txPr>
    <a:bodyPr/>
    <a:lstStyle/>
    <a:p>
      <a:pPr>
        <a:defRPr sz="900">
          <a:latin typeface="Arial"/>
          <a:ea typeface="Arial"/>
          <a:cs typeface="Arial"/>
        </a:defRPr>
      </a:pPr>
      <a:endParaRPr lang="de-DE"/>
    </a:p>
  </c:txPr>
  <c:externalData r:id="rId4">
    <c:autoUpdate val="0"/>
  </c:externalData>
  <c:userShapes r:id="rId5"/>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[probit_univariate_annotated.xlsx]dydx!PivotTable1</c:name>
    <c:fmtId val="-1"/>
  </c:pivotSource>
  <c:chart>
    <c:title>
      <c:tx>
        <c:rich>
          <a:bodyPr rot="0" spcFirstLastPara="1" vertOverflow="ellipsis" vert="horz" wrap="square" anchor="ctr" anchorCtr="1"/>
          <a:lstStyle/>
          <a:p>
            <a:pPr>
              <a:defRPr sz="100" b="0" i="0" u="none" strike="noStrike" kern="1200" spc="0" baseline="0">
                <a:solidFill>
                  <a:srgbClr val="FFFFFF"/>
                </a:solidFill>
                <a:latin typeface="Arial" panose="020B0604020202020204" pitchFamily="34" charset="0"/>
                <a:ea typeface="Arial"/>
                <a:cs typeface="Arial"/>
              </a:defRPr>
            </a:pPr>
            <a:r>
              <a:rPr lang="en-US" sz="100" b="0" i="0" u="none">
                <a:solidFill>
                  <a:srgbClr val="FFFFFF"/>
                </a:solidFill>
                <a:latin typeface="Arial" panose="020B0604020202020204" pitchFamily="34" charset="0"/>
              </a:rPr>
              <a:t>Chart Title</a:t>
            </a:r>
          </a:p>
        </c:rich>
      </c:tx>
      <c:overlay val="0"/>
      <c:spPr>
        <a:noFill/>
        <a:ln w="25400">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100" b="0" i="0" u="none" strike="noStrike" kern="1200" spc="0" baseline="0">
              <a:solidFill>
                <a:srgbClr val="FFFFFF"/>
              </a:solidFill>
              <a:latin typeface="Arial" panose="020B0604020202020204" pitchFamily="34" charset="0"/>
              <a:ea typeface="Arial"/>
              <a:cs typeface="Arial"/>
            </a:defRPr>
          </a:pPr>
          <a:endParaRPr lang="de-DE"/>
        </a:p>
      </c:txPr>
    </c:title>
    <c:autoTitleDeleted val="0"/>
    <c:pivotFmts>
      <c:pivotFmt>
        <c:idx val="0"/>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a:extLst>
            <a:ext uri="{91240B29-F687-4F45-9708-019B960494DF}">
              <a14:hiddenLine xmlns:a14="http://schemas.microsoft.com/office/drawing/2010/main">
                <a:noFill/>
              </a14:hiddenLine>
            </a:ext>
          </a:extLst>
        </c:spPr>
        <c:marker>
          <c:symbol val="none"/>
        </c:marker>
        <c:dLbl>
          <c:idx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6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7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7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7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7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7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7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7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de-DE"/>
            </a:p>
          </c:txPr>
          <c:showLegendKey val="0"/>
          <c:showVal val="0"/>
          <c:showCatName val="0"/>
          <c:showSerName val="0"/>
          <c:showPercent val="0"/>
          <c:showBubbleSize val="0"/>
          <c:extLst>
            <c:ext xmlns:c15="http://schemas.microsoft.com/office/drawing/2012/chart" uri="{CE6537A1-D6FC-4f65-9D91-7224C49458BB}"/>
          </c:extLst>
        </c:dLbl>
      </c:pivotFmt>
      <c:pivotFmt>
        <c:idx val="7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7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7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8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8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8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8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8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8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8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8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
        <c:idx val="8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a:ea typeface="Arial"/>
                  <a:cs typeface="Arial"/>
                </a:defRPr>
              </a:pPr>
              <a:endParaRPr lang="en-NL"/>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dydx!$B$3:$B$4</c:f>
              <c:strCache>
                <c:ptCount val="1"/>
                <c:pt idx="0">
                  <c:v>awareness</c:v>
                </c:pt>
              </c:strCache>
            </c:strRef>
          </c:tx>
          <c:spPr>
            <a:solidFill>
              <a:schemeClr val="accent1"/>
            </a:solidFill>
            <a:ln>
              <a:noFill/>
            </a:ln>
            <a:effectLst/>
          </c:spPr>
          <c:invertIfNegative val="0"/>
          <c:cat>
            <c:strRef>
              <c:f>dydx!$A$5:$A$15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dydx!$B$5:$B$15</c:f>
              <c:numCache>
                <c:formatCode>General</c:formatCode>
                <c:ptCount val="10"/>
                <c:pt idx="0">
                  <c:v>0.21126689717387889</c:v>
                </c:pt>
                <c:pt idx="1">
                  <c:v>0.18139107099650409</c:v>
                </c:pt>
                <c:pt idx="2">
                  <c:v>0.13421750525241519</c:v>
                </c:pt>
                <c:pt idx="3">
                  <c:v>0.2174616460862592</c:v>
                </c:pt>
                <c:pt idx="4">
                  <c:v>0.12919093981106999</c:v>
                </c:pt>
                <c:pt idx="5">
                  <c:v>0.26024875061865688</c:v>
                </c:pt>
                <c:pt idx="6">
                  <c:v>0.2316447138928788</c:v>
                </c:pt>
                <c:pt idx="7">
                  <c:v>0.16629496947444519</c:v>
                </c:pt>
                <c:pt idx="8">
                  <c:v>0.1074484633244524</c:v>
                </c:pt>
                <c:pt idx="9">
                  <c:v>0.2691158013493295</c:v>
                </c:pt>
              </c:numCache>
            </c:numRef>
          </c:val>
          <c:extLst>
            <c:ext xmlns:c16="http://schemas.microsoft.com/office/drawing/2014/chart" uri="{C3380CC4-5D6E-409C-BE32-E72D297353CC}">
              <c16:uniqueId val="{00000000-EA6D-0D4B-97B4-1BD0C74F0CC5}"/>
            </c:ext>
          </c:extLst>
        </c:ser>
        <c:ser>
          <c:idx val="1"/>
          <c:order val="1"/>
          <c:tx>
            <c:strRef>
              <c:f>dydx!$C$3:$C$4</c:f>
              <c:strCache>
                <c:ptCount val="1"/>
                <c:pt idx="0">
                  <c:v>experience</c:v>
                </c:pt>
              </c:strCache>
            </c:strRef>
          </c:tx>
          <c:spPr>
            <a:solidFill>
              <a:schemeClr val="accent2"/>
            </a:solidFill>
            <a:ln>
              <a:noFill/>
            </a:ln>
            <a:effectLst/>
          </c:spPr>
          <c:invertIfNegative val="0"/>
          <c:cat>
            <c:strRef>
              <c:f>dydx!$A$5:$A$15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dydx!$C$5:$C$15</c:f>
              <c:numCache>
                <c:formatCode>General</c:formatCode>
                <c:ptCount val="10"/>
                <c:pt idx="0">
                  <c:v>0.1252468990477133</c:v>
                </c:pt>
                <c:pt idx="1">
                  <c:v>0.1209904247916162</c:v>
                </c:pt>
                <c:pt idx="2">
                  <c:v>8.4480851769859991E-2</c:v>
                </c:pt>
                <c:pt idx="3">
                  <c:v>0.1685148716236782</c:v>
                </c:pt>
                <c:pt idx="4">
                  <c:v>0.12531030101654819</c:v>
                </c:pt>
                <c:pt idx="5">
                  <c:v>0.2217845432878825</c:v>
                </c:pt>
                <c:pt idx="6">
                  <c:v>0.17284393514425669</c:v>
                </c:pt>
                <c:pt idx="7">
                  <c:v>0.12089348899684051</c:v>
                </c:pt>
                <c:pt idx="8">
                  <c:v>8.755741247888349E-2</c:v>
                </c:pt>
                <c:pt idx="9">
                  <c:v>0.24858168635986649</c:v>
                </c:pt>
              </c:numCache>
            </c:numRef>
          </c:val>
          <c:extLst>
            <c:ext xmlns:c16="http://schemas.microsoft.com/office/drawing/2014/chart" uri="{C3380CC4-5D6E-409C-BE32-E72D297353CC}">
              <c16:uniqueId val="{00000001-EA6D-0D4B-97B4-1BD0C74F0CC5}"/>
            </c:ext>
          </c:extLst>
        </c:ser>
        <c:ser>
          <c:idx val="2"/>
          <c:order val="2"/>
          <c:tx>
            <c:strRef>
              <c:f>dydx!$D$3:$D$4</c:f>
              <c:strCache>
                <c:ptCount val="1"/>
                <c:pt idx="0">
                  <c:v>floodzone</c:v>
                </c:pt>
              </c:strCache>
            </c:strRef>
          </c:tx>
          <c:spPr>
            <a:solidFill>
              <a:schemeClr val="accent3"/>
            </a:solidFill>
            <a:ln>
              <a:noFill/>
            </a:ln>
            <a:effectLst/>
          </c:spPr>
          <c:invertIfNegative val="0"/>
          <c:cat>
            <c:strRef>
              <c:f>dydx!$A$5:$A$15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dydx!$D$5:$D$15</c:f>
              <c:numCache>
                <c:formatCode>General</c:formatCode>
                <c:ptCount val="10"/>
                <c:pt idx="0">
                  <c:v>0.21836440738749671</c:v>
                </c:pt>
                <c:pt idx="1">
                  <c:v>0.1201655608249223</c:v>
                </c:pt>
                <c:pt idx="2">
                  <c:v>0.1008613834283095</c:v>
                </c:pt>
                <c:pt idx="3">
                  <c:v>0.19778938779337521</c:v>
                </c:pt>
                <c:pt idx="4">
                  <c:v>0.1184372089692583</c:v>
                </c:pt>
                <c:pt idx="5">
                  <c:v>0.17342293551857671</c:v>
                </c:pt>
                <c:pt idx="6">
                  <c:v>0.13090331194347671</c:v>
                </c:pt>
                <c:pt idx="7">
                  <c:v>0.1233239901178302</c:v>
                </c:pt>
                <c:pt idx="8">
                  <c:v>0.11591137082212249</c:v>
                </c:pt>
                <c:pt idx="9">
                  <c:v>0.19107502284778191</c:v>
                </c:pt>
              </c:numCache>
            </c:numRef>
          </c:val>
          <c:extLst>
            <c:ext xmlns:c16="http://schemas.microsoft.com/office/drawing/2014/chart" uri="{C3380CC4-5D6E-409C-BE32-E72D297353CC}">
              <c16:uniqueId val="{00000002-EA6D-0D4B-97B4-1BD0C74F0CC5}"/>
            </c:ext>
          </c:extLst>
        </c:ser>
        <c:ser>
          <c:idx val="3"/>
          <c:order val="3"/>
          <c:tx>
            <c:strRef>
              <c:f>dydx!$E$3:$E$4</c:f>
              <c:strCache>
                <c:ptCount val="1"/>
                <c:pt idx="0">
                  <c:v>perception</c:v>
                </c:pt>
              </c:strCache>
            </c:strRef>
          </c:tx>
          <c:spPr>
            <a:solidFill>
              <a:schemeClr val="accent4"/>
            </a:solidFill>
            <a:ln>
              <a:noFill/>
            </a:ln>
            <a:effectLst/>
          </c:spPr>
          <c:invertIfNegative val="0"/>
          <c:cat>
            <c:strRef>
              <c:f>dydx!$A$5:$A$15</c:f>
              <c:strCache>
                <c:ptCount val="10"/>
                <c:pt idx="0">
                  <c:v>alerts</c:v>
                </c:pt>
                <c:pt idx="1">
                  <c:v>documents</c:v>
                </c:pt>
                <c:pt idx="2">
                  <c:v>family_communication</c:v>
                </c:pt>
                <c:pt idx="3">
                  <c:v>insured</c:v>
                </c:pt>
                <c:pt idx="4">
                  <c:v>involved</c:v>
                </c:pt>
                <c:pt idx="5">
                  <c:v>learned_routes</c:v>
                </c:pt>
                <c:pt idx="6">
                  <c:v>made_plan</c:v>
                </c:pt>
                <c:pt idx="7">
                  <c:v>made_safer</c:v>
                </c:pt>
                <c:pt idx="8">
                  <c:v>practiced_drills</c:v>
                </c:pt>
                <c:pt idx="9">
                  <c:v>supplies</c:v>
                </c:pt>
              </c:strCache>
            </c:strRef>
          </c:cat>
          <c:val>
            <c:numRef>
              <c:f>dydx!$E$5:$E$15</c:f>
              <c:numCache>
                <c:formatCode>General</c:formatCode>
                <c:ptCount val="10"/>
                <c:pt idx="0">
                  <c:v>0.22778303857515569</c:v>
                </c:pt>
                <c:pt idx="1">
                  <c:v>0.206479268069542</c:v>
                </c:pt>
                <c:pt idx="2">
                  <c:v>0.13122130270602919</c:v>
                </c:pt>
                <c:pt idx="3">
                  <c:v>0.3073914692600383</c:v>
                </c:pt>
                <c:pt idx="4">
                  <c:v>0.20462472877447291</c:v>
                </c:pt>
                <c:pt idx="5">
                  <c:v>0.25037036070106289</c:v>
                </c:pt>
                <c:pt idx="6">
                  <c:v>0.22348123750194129</c:v>
                </c:pt>
                <c:pt idx="7">
                  <c:v>0.17843369541712889</c:v>
                </c:pt>
                <c:pt idx="8">
                  <c:v>0.14528321326875571</c:v>
                </c:pt>
                <c:pt idx="9">
                  <c:v>0.2682233455522765</c:v>
                </c:pt>
              </c:numCache>
            </c:numRef>
          </c:val>
          <c:extLst>
            <c:ext xmlns:c16="http://schemas.microsoft.com/office/drawing/2014/chart" uri="{C3380CC4-5D6E-409C-BE32-E72D297353CC}">
              <c16:uniqueId val="{00000003-EA6D-0D4B-97B4-1BD0C74F0CC5}"/>
            </c:ext>
          </c:extLst>
        </c:ser>
        <c:dLbls>
          <c:showLegendKey val="0"/>
          <c:showVal val="0"/>
          <c:showCatName val="0"/>
          <c:showSerName val="0"/>
          <c:showPercent val="0"/>
          <c:showBubbleSize val="0"/>
        </c:dLbls>
        <c:gapWidth val="150"/>
        <c:axId val="1121642544"/>
        <c:axId val="1121641464"/>
      </c:barChart>
      <c:catAx>
        <c:axId val="1121642544"/>
        <c:scaling>
          <c:orientation val="minMax"/>
        </c:scaling>
        <c:delete val="0"/>
        <c:axPos val="b"/>
        <c:numFmt formatCode="General" sourceLinked="1"/>
        <c:majorTickMark val="none"/>
        <c:minorTickMark val="none"/>
        <c:tickLblPos val="nextTo"/>
        <c:spPr>
          <a:noFill/>
          <a:ln w="9525" cap="flat" cmpd="sng" algn="ctr">
            <a:solidFill>
              <a:srgbClr val="979797"/>
            </a:solidFill>
            <a:prstDash val="solid"/>
            <a:round/>
          </a:ln>
          <a:effectLst/>
          <a:extLst>
            <a:ext uri="{909E8E84-426E-40DD-AFC4-6F175D3DCCD1}">
              <a14:hiddenFill xmlns:a14="http://schemas.microsoft.com/office/drawing/2010/main">
                <a:noFill/>
              </a14:hiddenFill>
            </a:ext>
          </a:extLst>
        </c:spPr>
        <c:txPr>
          <a:bodyPr rot="-60000000" spcFirstLastPara="1" vertOverflow="ellipsis" vert="horz" wrap="square" anchor="ctr" anchorCtr="1"/>
          <a:lstStyle/>
          <a:p>
            <a:pPr>
              <a:defRPr sz="800" b="0" i="0" u="none" strike="noStrike" kern="1200" baseline="0">
                <a:solidFill>
                  <a:srgbClr val="000000"/>
                </a:solidFill>
                <a:latin typeface="Arial"/>
                <a:ea typeface="Arial"/>
                <a:cs typeface="Arial"/>
              </a:defRPr>
            </a:pPr>
            <a:endParaRPr lang="de-DE"/>
          </a:p>
        </c:txPr>
        <c:crossAx val="1121641464"/>
        <c:crosses val="autoZero"/>
        <c:auto val="1"/>
        <c:lblAlgn val="ctr"/>
        <c:lblOffset val="100"/>
        <c:noMultiLvlLbl val="0"/>
      </c:catAx>
      <c:valAx>
        <c:axId val="1121641464"/>
        <c:scaling>
          <c:orientation val="minMax"/>
        </c:scaling>
        <c:delete val="0"/>
        <c:axPos val="l"/>
        <c:majorGridlines>
          <c:spPr>
            <a:ln w="6350" cap="flat" cmpd="sng" algn="ctr">
              <a:solidFill>
                <a:srgbClr val="706E6C"/>
              </a:solidFill>
              <a:prstDash val="solid"/>
              <a:round/>
            </a:ln>
            <a:effectLst/>
          </c:spPr>
        </c:majorGridlines>
        <c:numFmt formatCode="General" sourceLinked="1"/>
        <c:majorTickMark val="out"/>
        <c:minorTickMark val="none"/>
        <c:tickLblPos val="nextTo"/>
        <c:spPr>
          <a:noFill/>
          <a:ln>
            <a:noFill/>
          </a:ln>
          <a:effectLst/>
          <a:extLst>
            <a:ext uri="{91240B29-F687-4F45-9708-019B960494DF}">
              <a14:hiddenLine xmlns:a14="http://schemas.microsoft.com/office/drawing/2010/main">
                <a:noFill/>
              </a14:hiddenLine>
            </a:ext>
          </a:extLst>
        </c:spPr>
        <c:txPr>
          <a:bodyPr rot="-6000000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crossAx val="1121642544"/>
        <c:crosses val="autoZero"/>
        <c:crossBetween val="between"/>
      </c:valAx>
      <c:spPr>
        <a:noFill/>
        <a:ln>
          <a:noFill/>
        </a:ln>
        <a:effectLst/>
        <a:extLst>
          <a:ext uri="{91240B29-F687-4F45-9708-019B960494DF}">
            <a14:hiddenLine xmlns:a14="http://schemas.microsoft.com/office/drawing/2010/main">
              <a:noFill/>
            </a14:hiddenLine>
          </a:ext>
        </a:extLst>
      </c:spPr>
    </c:plotArea>
    <c:legend>
      <c:legendPos val="b"/>
      <c:overlay val="0"/>
      <c:spPr>
        <a:noFill/>
        <a:ln>
          <a:noFill/>
        </a:ln>
        <a:effectLst/>
        <a:extLst>
          <a:ext uri="{909E8E84-426E-40DD-AFC4-6F175D3DCCD1}">
            <a14:hiddenFill xmlns:a14="http://schemas.microsoft.com/office/drawing/2010/main">
              <a:solidFill>
                <a:srgbClr val="FFFFFF">
                  <a:alpha val="0"/>
                </a:srgbClr>
              </a:solidFill>
            </a14:hiddenFill>
          </a:ext>
        </a:extLst>
      </c:spPr>
      <c:txPr>
        <a:bodyPr rot="0" spcFirstLastPara="1" vertOverflow="ellipsis" vert="horz" wrap="square" anchor="ctr" anchorCtr="1"/>
        <a:lstStyle/>
        <a:p>
          <a:pPr>
            <a:defRPr sz="900" b="0" i="0" u="none" strike="noStrike" kern="1200" baseline="0">
              <a:solidFill>
                <a:srgbClr val="000000"/>
              </a:solidFill>
              <a:latin typeface="Arial"/>
              <a:ea typeface="Arial"/>
              <a:cs typeface="Arial"/>
            </a:defRPr>
          </a:pPr>
          <a:endParaRPr lang="de-DE"/>
        </a:p>
      </c:txPr>
    </c:legend>
    <c:plotVisOnly val="1"/>
    <c:dispBlanksAs val="gap"/>
    <c:showDLblsOverMax val="0"/>
    <c:extLst/>
  </c:chart>
  <c:spPr>
    <a:noFill/>
    <a:ln w="25400" cap="flat" cmpd="sng" algn="ctr">
      <a:noFill/>
      <a:round/>
    </a:ln>
    <a:effectLst/>
  </c:spPr>
  <c:txPr>
    <a:bodyPr/>
    <a:lstStyle/>
    <a:p>
      <a:pPr>
        <a:defRPr sz="900">
          <a:latin typeface="Arial"/>
          <a:ea typeface="Arial"/>
          <a:cs typeface="Arial"/>
        </a:defRPr>
      </a:pPr>
      <a:endParaRPr lang="de-DE"/>
    </a:p>
  </c:txPr>
  <c:externalData r:id="rId4">
    <c:autoUpdate val="0"/>
  </c:externalData>
  <c:userShapes r:id="rId5"/>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0.01111</cdr:x>
      <cdr:y>0.01852</cdr:y>
    </cdr:from>
    <cdr:to>
      <cdr:x>0.01111</cdr:x>
      <cdr:y>0.01852</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64706355-B28A-E626-F3D3-29E38A1DE007}"/>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drawings/drawing2.xml><?xml version="1.0" encoding="utf-8"?>
<c:userShapes xmlns:c="http://schemas.openxmlformats.org/drawingml/2006/chart">
  <cdr:relSizeAnchor xmlns:cdr="http://schemas.openxmlformats.org/drawingml/2006/chartDrawing">
    <cdr:from>
      <cdr:x>0.01111</cdr:x>
      <cdr:y>0.01852</cdr:y>
    </cdr:from>
    <cdr:to>
      <cdr:x>0.01111</cdr:x>
      <cdr:y>0.01852</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64706355-B28A-E626-F3D3-29E38A1DE007}"/>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dr:relSizeAnchor xmlns:cdr="http://schemas.openxmlformats.org/drawingml/2006/chartDrawing">
    <cdr:from>
      <cdr:x>0.00629</cdr:x>
      <cdr:y>0.01526</cdr:y>
    </cdr:from>
    <cdr:to>
      <cdr:x>0.00629</cdr:x>
      <cdr:y>0.01526</cdr:y>
    </cdr:to>
    <cdr:sp macro="" textlink="">
      <cdr:nvSpPr>
        <cdr:cNvPr id="3" name="UpSlideExportSave" hidden="1">
          <a:extLst xmlns:a="http://schemas.openxmlformats.org/drawingml/2006/main">
            <a:ext uri="{FF2B5EF4-FFF2-40B4-BE49-F238E27FC236}">
              <a16:creationId xmlns:a16="http://schemas.microsoft.com/office/drawing/2014/main" id="{EC59D45E-E13D-773A-1216-222608B9B8BA}"/>
            </a:ext>
          </a:extLst>
        </cdr:cNvPr>
        <cdr:cNvSpPr/>
      </cdr:nvSpPr>
      <cdr:spPr>
        <a:xfrm xmlns:a="http://schemas.openxmlformats.org/drawingml/2006/main">
          <a:off x="50800" y="50800"/>
          <a:ext cx="0" cy="0"/>
        </a:xfrm>
        <a:prstGeom xmlns:a="http://schemas.openxmlformats.org/drawingml/2006/main" prst="rect">
          <a:avLst/>
        </a:prstGeom>
        <a:noFill xmlns:a="http://schemas.openxmlformats.org/drawingml/2006/main"/>
        <a:ln xmlns:a="http://schemas.openxmlformats.org/drawingml/2006/main" w="12700" cap="flat" cmpd="sng" algn="ctr">
          <a:noFill/>
          <a:prstDash val="solid"/>
          <a:miter lim="800000"/>
        </a:ln>
        <a:effectLst xmlns:a="http://schemas.openxmlformats.org/drawingml/2006/main"/>
        <a:extLst xmlns:a="http://schemas.openxmlformats.org/drawingml/2006/main">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flat" cmpd="sng" algn="ctr">
              <a:solidFill>
                <a:schemeClr val="accent1">
                  <a:shade val="15000"/>
                </a:schemeClr>
              </a:solidFill>
              <a:prstDash val="solid"/>
              <a:miter lim="800000"/>
            </a14:hiddenLine>
          </a:ext>
        </a:extLst>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drawings/drawing3.xml><?xml version="1.0" encoding="utf-8"?>
<c:userShapes xmlns:c="http://schemas.openxmlformats.org/drawingml/2006/chart">
  <cdr:relSizeAnchor xmlns:cdr="http://schemas.openxmlformats.org/drawingml/2006/chartDrawing">
    <cdr:from>
      <cdr:x>0.01111</cdr:x>
      <cdr:y>0.01852</cdr:y>
    </cdr:from>
    <cdr:to>
      <cdr:x>0.01111</cdr:x>
      <cdr:y>0.01852</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0C5E4DEC-26E4-77A9-AA43-FDCAFA500DE8}"/>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dr:relSizeAnchor xmlns:cdr="http://schemas.openxmlformats.org/drawingml/2006/chartDrawing">
    <cdr:from>
      <cdr:x>0.01111</cdr:x>
      <cdr:y>0.01852</cdr:y>
    </cdr:from>
    <cdr:to>
      <cdr:x>0.01111</cdr:x>
      <cdr:y>0.01852</cdr:y>
    </cdr:to>
    <cdr:sp macro="" textlink="">
      <cdr:nvSpPr>
        <cdr:cNvPr id="3" name="#UpSlide#ChartHasBeenCopiedWithUpSlideActive#" hidden="1">
          <a:extLst xmlns:a="http://schemas.openxmlformats.org/drawingml/2006/main">
            <a:ext uri="{FF2B5EF4-FFF2-40B4-BE49-F238E27FC236}">
              <a16:creationId xmlns:a16="http://schemas.microsoft.com/office/drawing/2014/main" id="{0C5E4DEC-26E4-77A9-AA43-FDCAFA500DE8}"/>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drawings/drawing4.xml><?xml version="1.0" encoding="utf-8"?>
<c:userShapes xmlns:c="http://schemas.openxmlformats.org/drawingml/2006/chart">
  <cdr:relSizeAnchor xmlns:cdr="http://schemas.openxmlformats.org/drawingml/2006/chartDrawing">
    <cdr:from>
      <cdr:x>0.01111</cdr:x>
      <cdr:y>0.01852</cdr:y>
    </cdr:from>
    <cdr:to>
      <cdr:x>0.01111</cdr:x>
      <cdr:y>0.01852</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0C5E4DEC-26E4-77A9-AA43-FDCAFA500DE8}"/>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dr:relSizeAnchor xmlns:cdr="http://schemas.openxmlformats.org/drawingml/2006/chartDrawing">
    <cdr:from>
      <cdr:x>0.01111</cdr:x>
      <cdr:y>0.01852</cdr:y>
    </cdr:from>
    <cdr:to>
      <cdr:x>0.01111</cdr:x>
      <cdr:y>0.01852</cdr:y>
    </cdr:to>
    <cdr:sp macro="" textlink="">
      <cdr:nvSpPr>
        <cdr:cNvPr id="3" name="#UpSlide#ChartHasBeenCopiedWithUpSlideActive#" hidden="1">
          <a:extLst xmlns:a="http://schemas.openxmlformats.org/drawingml/2006/main">
            <a:ext uri="{FF2B5EF4-FFF2-40B4-BE49-F238E27FC236}">
              <a16:creationId xmlns:a16="http://schemas.microsoft.com/office/drawing/2014/main" id="{0C5E4DEC-26E4-77A9-AA43-FDCAFA500DE8}"/>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dr:relSizeAnchor xmlns:cdr="http://schemas.openxmlformats.org/drawingml/2006/chartDrawing">
    <cdr:from>
      <cdr:x>0.00439</cdr:x>
      <cdr:y>0.01063</cdr:y>
    </cdr:from>
    <cdr:to>
      <cdr:x>0.00439</cdr:x>
      <cdr:y>0.01063</cdr:y>
    </cdr:to>
    <cdr:sp macro="" textlink="">
      <cdr:nvSpPr>
        <cdr:cNvPr id="4" name="UpSlideExportSave" hidden="1">
          <a:extLst xmlns:a="http://schemas.openxmlformats.org/drawingml/2006/main">
            <a:ext uri="{FF2B5EF4-FFF2-40B4-BE49-F238E27FC236}">
              <a16:creationId xmlns:a16="http://schemas.microsoft.com/office/drawing/2014/main" id="{87B8EDEA-DD83-B5EB-B70D-4C79EFAB85B1}"/>
            </a:ext>
          </a:extLst>
        </cdr:cNvPr>
        <cdr:cNvSpPr/>
      </cdr:nvSpPr>
      <cdr:spPr>
        <a:xfrm xmlns:a="http://schemas.openxmlformats.org/drawingml/2006/main">
          <a:off x="50800" y="50800"/>
          <a:ext cx="0" cy="0"/>
        </a:xfrm>
        <a:prstGeom xmlns:a="http://schemas.openxmlformats.org/drawingml/2006/main" prst="rect">
          <a:avLst/>
        </a:prstGeom>
        <a:noFill xmlns:a="http://schemas.openxmlformats.org/drawingml/2006/main"/>
        <a:ln xmlns:a="http://schemas.openxmlformats.org/drawingml/2006/main" w="25400" cap="flat" cmpd="sng" algn="ctr">
          <a:noFill/>
          <a:prstDash val="solid"/>
        </a:ln>
        <a:effectLst xmlns:a="http://schemas.openxmlformats.org/drawingml/2006/main"/>
        <a:extLst xmlns:a="http://schemas.openxmlformats.org/drawingml/2006/main">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5400" cap="flat" cmpd="sng" algn="ctr">
              <a:solidFill>
                <a:schemeClr val="accent1">
                  <a:shade val="15000"/>
                </a:schemeClr>
              </a:solidFill>
              <a:prstDash val="solid"/>
            </a14:hiddenLine>
          </a:ext>
        </a:extLst>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drawings/drawing5.xml><?xml version="1.0" encoding="utf-8"?>
<c:userShapes xmlns:c="http://schemas.openxmlformats.org/drawingml/2006/chart">
  <cdr:relSizeAnchor xmlns:cdr="http://schemas.openxmlformats.org/drawingml/2006/chartDrawing">
    <cdr:from>
      <cdr:x>0.01111</cdr:x>
      <cdr:y>0.01852</cdr:y>
    </cdr:from>
    <cdr:to>
      <cdr:x>0.01111</cdr:x>
      <cdr:y>0.01852</cdr:y>
    </cdr:to>
    <cdr:sp macro="" textlink="">
      <cdr:nvSpPr>
        <cdr:cNvPr id="2" name="#UpSlide#ChartHasBeenCopiedWithUpSlideActive#" hidden="1">
          <a:extLst xmlns:a="http://schemas.openxmlformats.org/drawingml/2006/main">
            <a:ext uri="{FF2B5EF4-FFF2-40B4-BE49-F238E27FC236}">
              <a16:creationId xmlns:a16="http://schemas.microsoft.com/office/drawing/2014/main" id="{0C5E4DEC-26E4-77A9-AA43-FDCAFA500DE8}"/>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dr:relSizeAnchor xmlns:cdr="http://schemas.openxmlformats.org/drawingml/2006/chartDrawing">
    <cdr:from>
      <cdr:x>0.01111</cdr:x>
      <cdr:y>0.01852</cdr:y>
    </cdr:from>
    <cdr:to>
      <cdr:x>0.01111</cdr:x>
      <cdr:y>0.01852</cdr:y>
    </cdr:to>
    <cdr:sp macro="" textlink="">
      <cdr:nvSpPr>
        <cdr:cNvPr id="3" name="#UpSlide#ChartHasBeenCopiedWithUpSlideActive#" hidden="1">
          <a:extLst xmlns:a="http://schemas.openxmlformats.org/drawingml/2006/main">
            <a:ext uri="{FF2B5EF4-FFF2-40B4-BE49-F238E27FC236}">
              <a16:creationId xmlns:a16="http://schemas.microsoft.com/office/drawing/2014/main" id="{0C5E4DEC-26E4-77A9-AA43-FDCAFA500DE8}"/>
            </a:ext>
          </a:extLst>
        </cdr:cNvPr>
        <cdr:cNvSpPr/>
      </cdr:nvSpPr>
      <cdr:spPr>
        <a:xfrm xmlns:a="http://schemas.openxmlformats.org/drawingml/2006/main">
          <a:off x="50800" y="50800"/>
          <a:ext cx="0" cy="0"/>
        </a:xfrm>
        <a:prstGeom xmlns:a="http://schemas.openxmlformats.org/drawingml/2006/main" prst="rect">
          <a:avLst/>
        </a:prstGeom>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Custom 4">
    <a:dk1>
      <a:sysClr val="windowText" lastClr="000000"/>
    </a:dk1>
    <a:lt1>
      <a:sysClr val="window" lastClr="FFFFFF"/>
    </a:lt1>
    <a:dk2>
      <a:srgbClr val="1F497D"/>
    </a:dk2>
    <a:lt2>
      <a:srgbClr val="EEECE1"/>
    </a:lt2>
    <a:accent1>
      <a:srgbClr val="0C8066"/>
    </a:accent1>
    <a:accent2>
      <a:srgbClr val="002328"/>
    </a:accent2>
    <a:accent3>
      <a:srgbClr val="E3DAD8"/>
    </a:accent3>
    <a:accent4>
      <a:srgbClr val="FFD700"/>
    </a:accent4>
    <a:accent5>
      <a:srgbClr val="BC0436"/>
    </a:accent5>
    <a:accent6>
      <a:srgbClr val="FFC000"/>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Custom 4">
    <a:dk1>
      <a:sysClr val="windowText" lastClr="000000"/>
    </a:dk1>
    <a:lt1>
      <a:sysClr val="window" lastClr="FFFFFF"/>
    </a:lt1>
    <a:dk2>
      <a:srgbClr val="1F497D"/>
    </a:dk2>
    <a:lt2>
      <a:srgbClr val="EEECE1"/>
    </a:lt2>
    <a:accent1>
      <a:srgbClr val="0C8066"/>
    </a:accent1>
    <a:accent2>
      <a:srgbClr val="002328"/>
    </a:accent2>
    <a:accent3>
      <a:srgbClr val="E3DAD8"/>
    </a:accent3>
    <a:accent4>
      <a:srgbClr val="FFD700"/>
    </a:accent4>
    <a:accent5>
      <a:srgbClr val="BC0436"/>
    </a:accent5>
    <a:accent6>
      <a:srgbClr val="FFC000"/>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Custom 5">
    <a:dk1>
      <a:sysClr val="windowText" lastClr="000000"/>
    </a:dk1>
    <a:lt1>
      <a:sysClr val="window" lastClr="FFFFFF"/>
    </a:lt1>
    <a:dk2>
      <a:srgbClr val="1F497D"/>
    </a:dk2>
    <a:lt2>
      <a:srgbClr val="EEECE1"/>
    </a:lt2>
    <a:accent1>
      <a:srgbClr val="0C8066"/>
    </a:accent1>
    <a:accent2>
      <a:srgbClr val="002328"/>
    </a:accent2>
    <a:accent3>
      <a:srgbClr val="E3DAD8"/>
    </a:accent3>
    <a:accent4>
      <a:srgbClr val="FFD700"/>
    </a:accent4>
    <a:accent5>
      <a:srgbClr val="BC0436"/>
    </a:accent5>
    <a:accent6>
      <a:srgbClr val="FF9E00"/>
    </a:accent6>
    <a:hlink>
      <a:srgbClr val="801A99"/>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Custom 5">
    <a:dk1>
      <a:sysClr val="windowText" lastClr="000000"/>
    </a:dk1>
    <a:lt1>
      <a:sysClr val="window" lastClr="FFFFFF"/>
    </a:lt1>
    <a:dk2>
      <a:srgbClr val="1F497D"/>
    </a:dk2>
    <a:lt2>
      <a:srgbClr val="EEECE1"/>
    </a:lt2>
    <a:accent1>
      <a:srgbClr val="0C8066"/>
    </a:accent1>
    <a:accent2>
      <a:srgbClr val="002328"/>
    </a:accent2>
    <a:accent3>
      <a:srgbClr val="E3DAD8"/>
    </a:accent3>
    <a:accent4>
      <a:srgbClr val="FFD700"/>
    </a:accent4>
    <a:accent5>
      <a:srgbClr val="BC0436"/>
    </a:accent5>
    <a:accent6>
      <a:srgbClr val="FF9E00"/>
    </a:accent6>
    <a:hlink>
      <a:srgbClr val="801A99"/>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Custom 1">
    <a:dk1>
      <a:sysClr val="windowText" lastClr="000000"/>
    </a:dk1>
    <a:lt1>
      <a:sysClr val="window" lastClr="FFFFFF"/>
    </a:lt1>
    <a:dk2>
      <a:srgbClr val="1F497D"/>
    </a:dk2>
    <a:lt2>
      <a:srgbClr val="EEECE1"/>
    </a:lt2>
    <a:accent1>
      <a:srgbClr val="002328"/>
    </a:accent1>
    <a:accent2>
      <a:srgbClr val="0C8066"/>
    </a:accent2>
    <a:accent3>
      <a:srgbClr val="E3DAD8"/>
    </a:accent3>
    <a:accent4>
      <a:srgbClr val="FFD700"/>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Custom 1">
    <a:dk1>
      <a:sysClr val="windowText" lastClr="000000"/>
    </a:dk1>
    <a:lt1>
      <a:sysClr val="window" lastClr="FFFFFF"/>
    </a:lt1>
    <a:dk2>
      <a:srgbClr val="1F497D"/>
    </a:dk2>
    <a:lt2>
      <a:srgbClr val="EEECE1"/>
    </a:lt2>
    <a:accent1>
      <a:srgbClr val="002328"/>
    </a:accent1>
    <a:accent2>
      <a:srgbClr val="0C8066"/>
    </a:accent2>
    <a:accent3>
      <a:srgbClr val="E3DAD8"/>
    </a:accent3>
    <a:accent4>
      <a:srgbClr val="FFD700"/>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Custom 1">
    <a:dk1>
      <a:sysClr val="windowText" lastClr="000000"/>
    </a:dk1>
    <a:lt1>
      <a:sysClr val="window" lastClr="FFFFFF"/>
    </a:lt1>
    <a:dk2>
      <a:srgbClr val="1F497D"/>
    </a:dk2>
    <a:lt2>
      <a:srgbClr val="EEECE1"/>
    </a:lt2>
    <a:accent1>
      <a:srgbClr val="002328"/>
    </a:accent1>
    <a:accent2>
      <a:srgbClr val="0C8066"/>
    </a:accent2>
    <a:accent3>
      <a:srgbClr val="E3DAD8"/>
    </a:accent3>
    <a:accent4>
      <a:srgbClr val="FFD700"/>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861AD-1D58-544A-89B8-20B3729EE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3358</TotalTime>
  <Pages>42</Pages>
  <Words>20066</Words>
  <Characters>114380</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Muller</dc:creator>
  <cp:keywords/>
  <dc:description/>
  <cp:lastModifiedBy>Philip Muller</cp:lastModifiedBy>
  <cp:revision>331</cp:revision>
  <cp:lastPrinted>2025-04-13T20:11:00Z</cp:lastPrinted>
  <dcterms:created xsi:type="dcterms:W3CDTF">2025-03-31T12:30:00Z</dcterms:created>
  <dcterms:modified xsi:type="dcterms:W3CDTF">2025-05-05T19:01:00Z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id="MpOFIX5C"/&gt;&lt;style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