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Detectability of Decision Reconstruction Risk in AI-Generated Decision Records: An International Expert Study</w:t>
      </w:r>
    </w:p>
    <w:p>
      <w:pPr>
        <w:spacing w:after="140"/>
      </w:pPr>
      <w:r>
        <w:rPr>
          <w:b/>
        </w:rPr>
        <w:t xml:space="preserve">Competing interests.</w:t>
      </w:r>
      <w:r>
        <w:t xml:space="preserve"> Declared in full under Statements and Declarations.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t xml:space="preserve">Generative AI increasingly drafts high-stakes corporate, administrative, and investigative records. Fluent text can read as complete and well supported while the evidentiary basis for its conclusions is absent from the record itself, and a record whose conclusion cannot be reconstructed from the record alone cannot be independently examined, contested, or defended. We name this property Decision Reconstruction Risk (DRR) and define it relative to a stated reviewer standpoint. A measurement programme must first settle whether, given an operational definition, independent domain experts can distinguish records that satisfy it from records that do not. A balanced corpus of 24 constructed, de-identified, AI-generated records (12 grounded, 12 unsupported) was judged against a pre-specified reference classification, fixed before verification and independently reproduced by automated raters without access to it. Reviewers worked blind to that classification and to one another. Analysis followed a plan registered before the data were examined. Sixteen reviewers across 11 countries completed the corpus, producing 384 graded reads. Mean reviewer-level accuracy was 83.9 percent (95 percent CI 72.7 to 95.1, n = 16), sensitivity 87.0 percent, specificity 80.7 percent, clearing the pre-registered threshold. Reviewer-level accuracy ranged from 37.5 to 100 percent (SD 21.0), reported as a finding rather than as noise. The study establishes that an operationalised documentation-risk construct is detectable by independent experts on constructed records at the ends of the severity range. It does not establish criterion validity, measurement invariance, workflow independence, psychometric validation of the five conditions, or any advantage over unaided expert judgment.</w:t>
      </w:r>
    </w:p>
    <w:p>
      <w:pPr>
        <w:spacing w:after="140"/>
      </w:pPr>
      <w:r>
        <w:rPr>
          <w:b/>
        </w:rPr>
        <w:t xml:space="preserve">Keywords.</w:t>
      </w:r>
      <w:r>
        <w:t xml:space="preserve"> Artificial intelligence; AI governance; decision reconstruction; accountability; documentation; contestability</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cannot reliably distinguish records whose reasoning is present from those whose reasoning is absent under the stated reviewer standpoint, then a governance control that depends on human review of that property would lack an adequate empirical basis.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 reference classification reproduced by automated raters without access to it, blinded expert detection, and a pre-registered statistical criterion. The chain provides evidence that the operationalisation is recognisable to independent experts under the stated reviewer standpoint and briefing.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[26]. Datasheets document a dataset's provenance and composition [16]. Internal audit frameworks trace an organisation's development lifecycle [29]. Risk management frameworks specify functions an organisation should perform [19, 28]. Regulatory regimes require logging, technical documentation, and human oversight for high-risk systems [31].</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[11]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[7, 32]</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[29]</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[31]</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[16]</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[1, 22]</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[9, 10]</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[11]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t xml:space="preserve">DRR</w:t>
            </w:r>
          </w:p>
        </w:tc>
        <w:tc>
          <w:tcPr>
            <w:tcW w:w="2340" w:type="dxa"/>
          </w:tcPr>
          <w:p>
            <w:pPr>
              <w:spacing w:after="0"/>
            </w:pPr>
            <w:r>
              <w:t xml:space="preserve">the individual record</w:t>
            </w:r>
          </w:p>
        </w:tc>
        <w:tc>
          <w:tcPr>
            <w:tcW w:w="2340" w:type="dxa"/>
          </w:tcPr>
          <w:p>
            <w:pPr>
              <w:spacing w:after="0"/>
            </w:pPr>
            <w: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to our knowledge,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[5, 21].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[7]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conditions under which the failure may be produced and detected,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an independent reviewer, competent in the domain, with access to the record and to generally available domain knowledge, and without access to the original decision-maker or to material outside the record.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reference classification encodes that operationalisation. A finding that experts recover the reference classification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[1] and Kaminski and Urban [22]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[9]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[6]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descriptive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Note that author-blindness is a design intention of the instrument and is not a finding of this study.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a pilot reviewer and is credited on the title page with their permission. It is untested.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Independent reproduction of an author-generated reference classification by automated raters not involved in corpus construction</w:t>
            </w:r>
          </w:p>
        </w:tc>
        <w:tc>
          <w:tcPr>
            <w:tcW w:w="3120" w:type="dxa"/>
          </w:tcPr>
          <w:p>
            <w:pPr>
              <w:spacing w:after="0"/>
            </w:pPr>
            <w:r>
              <w:t xml:space="preserve">Section 4.4, independently reproduced but construct-dependent</w:t>
            </w:r>
          </w:p>
        </w:tc>
      </w:tr>
      <w:tr>
        <w:tc>
          <w:tcPr>
            <w:tcW w:w="3120" w:type="dxa"/>
          </w:tcPr>
          <w:p>
            <w:pPr>
              <w:spacing w:after="0"/>
            </w:pPr>
            <w:r>
              <w:t xml:space="preserve">Blinded detection</w:t>
            </w:r>
          </w:p>
        </w:tc>
        <w:tc>
          <w:tcPr>
            <w:tcW w:w="3120" w:type="dxa"/>
          </w:tcPr>
          <w:p>
            <w:pPr>
              <w:spacing w:after="0"/>
            </w:pPr>
            <w:r>
              <w:t xml:space="preserve">Independent judges, blind to the reference classification</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t xml:space="preserve">Not attempted.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t xml:space="preserve">Not attempted.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automated raters without access to that classification or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a separate set of credentialed professionals recruited from the same professional population and randomised between review methods, so its two conditions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Record-level generation provenance was not retained in a separate construction log sufficient to reconstruct the generation process for each record, including model and version, generation date, prompt, and extent of human editing.</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[30, 34].</w:t>
      </w:r>
    </w:p>
    <w:p>
      <w:pPr>
        <w:spacing w:after="140"/>
      </w:pPr>
      <w:r>
        <w:t xml:space="preserve">The consequence is specific and we accept it: the accuracy reported in Section 6 may overstate performance on a corpus containing ambiguous records and should not be interpreted as an estimate of field performance.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reference classification, and how it was established</w:t>
      </w:r>
    </w:p>
    <w:p>
      <w:pPr>
        <w:spacing w:after="140"/>
      </w:pPr>
      <w:r>
        <w:t xml:space="preserve">The reference classification is the comparison standard underlying the primary accuracy estimates, and it is treated here as a methodological object rather than as a formality.</w:t>
      </w:r>
    </w:p>
    <w:p>
      <w:pPr>
        <w:spacing w:after="140"/>
      </w:pPr>
      <w:r>
        <w:rPr>
          <w:b/>
        </w:rPr>
        <w:t xml:space="preserve">Author-side classification.</w:t>
      </w:r>
      <w:r>
        <w:t xml:space="preserve"> Before verification began,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 by automated raters.</w:t>
      </w:r>
      <w:r>
        <w:t xml:space="preserve"> The author-side classification was independently checked using three separate large-language-model instances applying the operational classification rule. These were automated raters, not human raters, and no expert or professional status is claimed for them. Each instance independently classified all 24 records without access to the intended labels or to the author-side classification, producing 72 record-level classifications. The verification packet identified the task as verification of an answer key but did not provide the intended record-level classifications. All three model passes reproduced the intended classification on all 24 records, so the pre-specified adjudication condition was not triggered and no classification changed. The pre-registered procedure specified two independent passes with conditional adjudication; the executed procedure used three.</w:t>
      </w:r>
    </w:p>
    <w:p>
      <w:pPr>
        <w:spacing w:after="140"/>
      </w:pPr>
      <w:r>
        <w:rPr>
          <w:b/>
        </w:rPr>
        <w:t xml:space="preserve">What the automated check does not do.</w:t>
      </w:r>
      <w:r>
        <w:t xml:space="preserve"> The automated reference check demonstrates reproducibility of the operational classification rule across three independent model passes; it does not constitute independent human validation of the reference labels and does not establish criterion validity. No human replication of the reference classification has been performed.</w:t>
      </w:r>
    </w:p>
    <w:p>
      <w:pPr>
        <w:spacing w:after="140"/>
      </w:pPr>
      <w:r>
        <w:rPr>
          <w:b/>
        </w:rPr>
        <w:t xml:space="preserve">What this establishes, and what it does not.</w:t>
      </w:r>
      <w:r>
        <w:t xml:space="preserve"> Unanimous reproduction by automated raters without access to the intended labels rules out the objection that the reference classification was fitted to the reviewers' responses after the fact. It does not, however, remove the construct-dependence described below, and it does not rule out a weaker but real objection: the automated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automated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automated raters, and the record-by-record reproduction result. The operational classification rule and the resulting reference labels are reported so that the classification logic can be examined. The model implementation details and per-pass execution records were not retained in a form sufficient for independent reproduction of the three automated reference passes.</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reference classification,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The 95 percent confidence interval for the panel mean was calculated using a Student t interval across the sixteen reviewer accuracy scores, with reviewers as the independent sampling units.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t xml:space="preserve">Item variance is not modelled in the primary analysis, and that is a limitation rather than a choice we defend. The participant-level analysis correctly treats each reviewer as the unit of observation and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[3, 4],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on this corpus, while the record component is weakly identified and permits a materially larger effect within its profile-likelihood interval.</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pre-specified reference classification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was pre-specified at a minimum of 0.61, with a lower confidence bound of at least 0.41, for the reliability analyses reported by reviewer group in Section 6.5. Both parts were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Panel members who have not recorded a naming election are counted in every figure and are not named, and the accuracy figures reported here include their judgments.</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All raters are experienced practitioners. Raters whose codes begin with E were invited directly; the remainder enrolled through the open review page. The distinction is the route by which a rater reached the study and nothing else. The two groups are reported separately because they were recruited by different routes; the split records the recruitment channel and is not a measure of professional expertise. Agreement is assessed with Gwet's AC1 [17] as the primary chance-corrected coefficient, chosen in advance for robustness to the kappa paradox under skewed marginals [8, 14], with Krippendorff's alpha [23] and Fleiss' kappa [15]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open-enrolment coefficient is 0.623, and pooling the baseline labels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That study comprises 20 independent experts of the same professional standing as the detection panel,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Mean reviewer-level accuracy against the reference classification</w:t>
            </w:r>
          </w:p>
        </w:tc>
        <w:tc>
          <w:tcPr>
            <w:tcW w:w="4680" w:type="dxa"/>
          </w:tcPr>
          <w:p>
            <w:pPr>
              <w:spacing w:after="0"/>
            </w:pPr>
            <w: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at least one reviewer had an accuracy below the 50 percent balanced-corpus chance benchmark.</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the distribution reported above, and at the point of use that spread is invisible: an organisation routing a record to a single reviewer cannot assume that the panel-level accuracy estimate represents that reviewer's individual performance.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The comparison is descriptive and the gap is not statistically distinguishable from zero in this sample. Both numbers come from the same sixteen reviewers, so the correct test is paired, and the paired data were not retained in a form that supports one.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Of the 25 reliability participants, 22 contributed labels under the five-condition instrument and entered the analysed reliability sample: eight invited raters and fourteen open-enrolment raters. Three open-enrolment raters contributed only under the unstructured baseline prompt and were excluded because those labels did not assess agreement under the five-condition instrument.</w:t>
      </w:r>
    </w:p>
    <w:p>
      <w:pPr>
        <w:spacing w:after="140"/>
      </w:pPr>
      <w:r>
        <w:t xml:space="preserve">Fifteen records carried at least one label under the five-condition instrument. Because agreement can only be estimated where a record was reviewed by more than one rater, the ten records with two or more raters formed the analysed reliability set. Those ten records carry 113 submitted determinations,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Invited</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Open enrolment</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0.252 to 0.993</w:t>
            </w:r>
          </w:p>
        </w:tc>
        <w:tc>
          <w:tcPr>
            <w:tcW w:w="1337" w:type="dxa"/>
          </w:tcPr>
          <w:p>
            <w:pPr>
              <w:spacing w:after="0"/>
            </w:pPr>
            <w:r>
              <w:t xml:space="preserve">0.285 to 0.894</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Neither clears the second on the analytic interval, which is the interval the analysis plan specified. The invited-rater lower bound is 0.402 against a required 0.41; the open-enrolment lower bound is 0.252.</w:t>
      </w:r>
    </w:p>
    <w:p>
      <w:pPr>
        <w:spacing w:after="140"/>
      </w:pPr>
      <w:r>
        <w:t xml:space="preserve">The bootstrap interval places the expert lower bound at 0.427, above the criterion. We do not treat that as satisfying the pre-registration.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invited-expert group and that the conclusion is sensitive to interval construction, which is itself a statement about how little the ten-record sample can support.</w:t>
      </w:r>
    </w:p>
    <w:p>
      <w:pPr>
        <w:spacing w:after="140"/>
      </w:pPr>
      <w:r>
        <w:t xml:space="preserve">The correct reading is that the reliability sample is too small to establish reliability.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[24].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 For JRS, the result provides preliminary evidence that the record-level distinction embodied in its review logic is operationally detectable; it is not evidence that JRS itself improves documentation outcomes.</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remains open; the study provides a basis for testing whether record-level reconstructability warrants a distinct measurement layer in AI governance.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reference classification rules out fitting it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The estimated item component is small relative to reviewer variation on this corpus, but it is weakly identified and the profile-likelihood interval permits a materially larger record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 panel was composed of credentialed practitioners and researchers recruited for expertise in AI governance, compliance, audit, human resources, investigations, data privacy, records, or law. Because participants self-selected into the study and the sample was not probability-based, performance among less experienced reviewers or reviewers outside these professional domains remains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reference classification,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reference classification by automated raters not involved in corpus construction and who did not see the hypotheses; reviewers blind to that classification,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t xml:space="preserve">Reported here.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substantial variation in accuracy among the sixteen detection-panel experts, while the separate reliability sample did not meet the pre-registered lower-bound criterion.</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Statements and Declarations</w:t>
      </w:r>
    </w:p>
    <w:p>
      <w:pPr>
        <w:spacing w:after="140"/>
      </w:pPr>
      <w:r>
        <w:rPr>
          <w:b/>
        </w:rPr>
        <w:t xml:space="preserve">Funding.</w:t>
      </w:r>
      <w:r>
        <w:t xml:space="preserve"> No external funding was received. No participant was compensated.</w:t>
      </w:r>
    </w:p>
    <w:p>
      <w:pPr>
        <w:spacing w:after="140"/>
      </w:pPr>
      <w:r>
        <w:rPr>
          <w:b/>
        </w:rPr>
        <w:t xml:space="preserve">Competing interests.</w:t>
      </w:r>
      <w:r>
        <w:t xml:space="preserve"> 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programme has commercial activity associated with it; no commercial arrangement is contingent on any result reported here, and no participant had any financial interest in the outcome. Section 9 states the mitigations that were applied and the investigator dependence that remains after them.</w:t>
      </w:r>
    </w:p>
    <w:p>
      <w:pPr>
        <w:spacing w:after="140"/>
      </w:pPr>
      <w:r>
        <w:rPr>
          <w:b/>
        </w:rPr>
        <w:t xml:space="preserve">Ethics approval.</w:t>
      </w:r>
      <w:r>
        <w:t xml:space="preserve"> This study was not reviewed by an institutional review board. It was conducted outside any institution holding an IRB, by an independent researcher, with adult professional volunteers making judgments about wholly synthetic documents. No approval or exemption was sought or granted. The absence of formal review is declared rather than glossed, and independent ethical review would be sought for any successor study involving real records or real case outcomes. Section 4.8 states the safeguards that were applied instead.</w:t>
      </w:r>
    </w:p>
    <w:p>
      <w:pPr>
        <w:spacing w:after="140"/>
      </w:pPr>
      <w:r>
        <w:rPr>
          <w:b/>
        </w:rPr>
        <w:t xml:space="preserve">Consent to participate.</w:t>
      </w:r>
      <w:r>
        <w:t xml:space="preserve"> Participation was voluntary, uncompensated, and in a personal capacity, and could be withdrawn at any time before publication. Participants were informed in advance that the reference classification and the corpus composition would not be disclosed during review, because disclosure would compromise the blinded detection task.</w:t>
      </w:r>
    </w:p>
    <w:p>
      <w:pPr>
        <w:spacing w:after="140"/>
      </w:pPr>
      <w:r>
        <w:rPr>
          <w:b/>
        </w:rPr>
        <w:t xml:space="preserve">Consent to publish.</w:t>
      </w:r>
      <w:r>
        <w:t xml:space="preserve"> Attribution is opt-in. Contributors are named only with their consent, may participate anonymously, and may withdraw their name at any time.</w:t>
      </w:r>
    </w:p>
    <w:p>
      <w:pPr>
        <w:spacing w:after="140"/>
      </w:pPr>
      <w:r>
        <w:rPr>
          <w:b/>
        </w:rPr>
        <w:t xml:space="preserve">Availability of data and materials.</w:t>
      </w:r>
      <w:r>
        <w:t xml:space="preserve"> The protocol and analysis plan were registered before data collection. The following materials are available from the authors on request: the 24 constructed records; the full reference classification with the reason and evidentiary defect or support for each record and the JRS conditions implicated; the instructions given to the automated reference-classification instances and their record-by-record reproduction result; coded participant-level response data, de-identified; and the analysis scripts that produce every figure in this paper. No material is deposited in a public repository, so no persistent identifier is available. Requests are answered by the corresponding author. A record-level corpus construction log containing complete generation provenance was not retained, so model and version, generation date, prompt, and extent of human editing cannot be independently reconstructed for each record from the retained study materials. Live participation is tracked on an aggregate dashboard showing counts only, never individual answers.</w:t>
      </w:r>
    </w:p>
    <w:p>
      <w:pPr>
        <w:spacing w:after="140"/>
      </w:pPr>
      <w:r>
        <w:rPr>
          <w:b/>
        </w:rPr>
        <w:t xml:space="preserve">Code availability.</w:t>
      </w:r>
      <w:r>
        <w:t xml:space="preserve"> The analysis scripts that produce every figure in this paper are available from the authors on request, on the same terms as the data. They use only the Python standard library and require no network access. They are not deposited in a public repository, so no persistent identifier is available.</w:t>
      </w:r>
    </w:p>
    <w:p>
      <w:pPr>
        <w:spacing w:after="140"/>
      </w:pPr>
      <w:r>
        <w:rPr>
          <w:b/>
        </w:rPr>
        <w:t xml:space="preserve">Authors'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Use of artificial intelligence.</w:t>
      </w:r>
      <w:r>
        <w:t xml:space="preserve"> AI use in this research is methodological and is described where it occurs, not summarised here: the corpus was generated with large-language-model assistance and edited by the first author (Section 4.3), the reference classification was independently reproduced by three automated raters (Section 4.4), and cross-vendor model consistency is reported in Appendix A. No AI system is an author. The limits of that use are stated with it, including that the automated raters were briefed by the authors, that agreement among models is not accuracy, and that per-pass execution records were not retained.</w:t>
      </w:r>
    </w:p>
    <w:p>
      <w:pPr>
        <w:spacing w:after="140"/>
      </w:pPr>
      <w:r>
        <w:rPr>
          <w:b/>
        </w:rPr>
        <w:t xml:space="preserve">Pre-registration.</w:t>
      </w:r>
      <w:r>
        <w:t xml:space="preserve"> The protocol and analysis plan were registered before data collection. Data closed 15 August 2026.</w:t>
      </w:r>
    </w:p>
    <w:p>
      <w:pPr>
        <w:pStyle w:val="Heading2"/>
        <w:spacing w:after="140"/>
      </w:pPr>
      <w:r>
        <w:t xml:space="preserve">References</w:t>
      </w:r>
    </w:p>
    <w:p>
      <w:pPr>
        <w:numPr>
          <w:ilvl w:val="0"/>
          <w:numId w:val="3"/>
        </w:numPr>
        <w:spacing w:after="6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numPr>
          <w:ilvl w:val="0"/>
          <w:numId w:val="4"/>
        </w:numPr>
        <w:spacing w:after="6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numPr>
          <w:ilvl w:val="0"/>
          <w:numId w:val="5"/>
        </w:numPr>
        <w:spacing w:after="60"/>
      </w:pPr>
      <w:r>
        <w:t xml:space="preserve">Barr, D.J., Levy, R., Scheepers, C., Tily, H.J., 2013. Random effects structure for confirmatory hypothesis testing: keep it maximal. </w:t>
      </w:r>
      <w:r>
        <w:rPr>
          <w:i/>
        </w:rPr>
        <w:t xml:space="preserve">Journal of Memory and Language</w:t>
      </w:r>
      <w:r>
        <w:t xml:space="preserve"> 68 (3), 255-278.</w:t>
      </w:r>
    </w:p>
    <w:p>
      <w:pPr>
        <w:numPr>
          <w:ilvl w:val="0"/>
          <w:numId w:val="6"/>
        </w:numPr>
        <w:spacing w:after="60"/>
      </w:pPr>
      <w:r>
        <w:t xml:space="preserve">Bates, D., Mächler, M., Bolker, B., Walker, S., 2015. Fitting linear mixed-effects models using lme4. </w:t>
      </w:r>
      <w:r>
        <w:rPr>
          <w:i/>
        </w:rPr>
        <w:t xml:space="preserve">Journal of Statistical Software</w:t>
      </w:r>
      <w:r>
        <w:t xml:space="preserve"> 67 (1), 1-48.</w:t>
      </w:r>
    </w:p>
    <w:p>
      <w:pPr>
        <w:numPr>
          <w:ilvl w:val="0"/>
          <w:numId w:val="7"/>
        </w:numPr>
        <w:spacing w:after="6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numPr>
          <w:ilvl w:val="0"/>
          <w:numId w:val="8"/>
        </w:numPr>
        <w:spacing w:after="60"/>
      </w:pPr>
      <w:r>
        <w:t xml:space="preserve">Bovens, M., 2007. Analysing and assessing accountability: a conceptual framework. </w:t>
      </w:r>
      <w:r>
        <w:rPr>
          <w:i/>
        </w:rPr>
        <w:t xml:space="preserve">European Law Journal</w:t>
      </w:r>
      <w:r>
        <w:t xml:space="preserve"> 13 (4), 447-468.</w:t>
      </w:r>
    </w:p>
    <w:p>
      <w:pPr>
        <w:numPr>
          <w:ilvl w:val="0"/>
          <w:numId w:val="9"/>
        </w:numPr>
        <w:spacing w:after="60"/>
      </w:pPr>
      <w:r>
        <w:t xml:space="preserve">Burrell, J., 2016. How the machine 'thinks': understanding opacity in machine learning algorithms. </w:t>
      </w:r>
      <w:r>
        <w:rPr>
          <w:i/>
        </w:rPr>
        <w:t xml:space="preserve">Big Data &amp; Society</w:t>
      </w:r>
      <w:r>
        <w:t xml:space="preserve"> 3 (1), 1-12.</w:t>
      </w:r>
    </w:p>
    <w:p>
      <w:pPr>
        <w:numPr>
          <w:ilvl w:val="0"/>
          <w:numId w:val="10"/>
        </w:numPr>
        <w:spacing w:after="60"/>
      </w:pPr>
      <w:r>
        <w:t xml:space="preserve">Byrt, T., Bishop, J., Carlin, J.B., 1993. Bias, prevalence and kappa. </w:t>
      </w:r>
      <w:r>
        <w:rPr>
          <w:i/>
        </w:rPr>
        <w:t xml:space="preserve">Journal of Clinical Epidemiology</w:t>
      </w:r>
      <w:r>
        <w:t xml:space="preserve"> 46 (5), 423-429.</w:t>
      </w:r>
    </w:p>
    <w:p>
      <w:pPr>
        <w:numPr>
          <w:ilvl w:val="0"/>
          <w:numId w:val="11"/>
        </w:numPr>
        <w:spacing w:after="60"/>
      </w:pPr>
      <w:r>
        <w:t xml:space="preserve">Citron, D.K., 2008. Technological due process. </w:t>
      </w:r>
      <w:r>
        <w:rPr>
          <w:i/>
        </w:rPr>
        <w:t xml:space="preserve">Washington University Law Review</w:t>
      </w:r>
      <w:r>
        <w:t xml:space="preserve"> 85 (6), 1249-1313.</w:t>
      </w:r>
    </w:p>
    <w:p>
      <w:pPr>
        <w:numPr>
          <w:ilvl w:val="0"/>
          <w:numId w:val="12"/>
        </w:numPr>
        <w:spacing w:after="60"/>
      </w:pPr>
      <w:r>
        <w:t xml:space="preserve">Citron, D.K., Pasquale, F., 2014. The scored society: due process for automated predictions. </w:t>
      </w:r>
      <w:r>
        <w:rPr>
          <w:i/>
        </w:rPr>
        <w:t xml:space="preserve">Washington Law Review</w:t>
      </w:r>
      <w:r>
        <w:t xml:space="preserve"> 89 (1), 1-33.</w:t>
      </w:r>
    </w:p>
    <w:p>
      <w:pPr>
        <w:numPr>
          <w:ilvl w:val="0"/>
          <w:numId w:val="13"/>
        </w:numPr>
        <w:spacing w:after="6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numPr>
          <w:ilvl w:val="0"/>
          <w:numId w:val="14"/>
        </w:numPr>
        <w:spacing w:after="60"/>
      </w:pPr>
      <w:r>
        <w:t xml:space="preserve">Cohen, J., 1960. A coefficient of agreement for nominal scales. </w:t>
      </w:r>
      <w:r>
        <w:rPr>
          <w:i/>
        </w:rPr>
        <w:t xml:space="preserve">Educational and Psychological Measurement</w:t>
      </w:r>
      <w:r>
        <w:t xml:space="preserve"> 20 (1), 37-46.</w:t>
      </w:r>
    </w:p>
    <w:p>
      <w:pPr>
        <w:numPr>
          <w:ilvl w:val="0"/>
          <w:numId w:val="15"/>
        </w:numPr>
        <w:spacing w:after="60"/>
      </w:pPr>
      <w:r>
        <w:t xml:space="preserve">Cronbach, L.J., Meehl, P.E., 1955. Construct validity in psychological tests. </w:t>
      </w:r>
      <w:r>
        <w:rPr>
          <w:i/>
        </w:rPr>
        <w:t xml:space="preserve">Psychological Bulletin</w:t>
      </w:r>
      <w:r>
        <w:t xml:space="preserve"> 52 (4), 281-302.</w:t>
      </w:r>
    </w:p>
    <w:p>
      <w:pPr>
        <w:numPr>
          <w:ilvl w:val="0"/>
          <w:numId w:val="16"/>
        </w:numPr>
        <w:spacing w:after="60"/>
      </w:pPr>
      <w:r>
        <w:t xml:space="preserve">Feinstein, A.R., Cicchetti, D.V., 1990. High agreement but low kappa: I. The problems of two paradoxes. </w:t>
      </w:r>
      <w:r>
        <w:rPr>
          <w:i/>
        </w:rPr>
        <w:t xml:space="preserve">Journal of Clinical Epidemiology</w:t>
      </w:r>
      <w:r>
        <w:t xml:space="preserve"> 43 (6), 543-549.</w:t>
      </w:r>
    </w:p>
    <w:p>
      <w:pPr>
        <w:numPr>
          <w:ilvl w:val="0"/>
          <w:numId w:val="17"/>
        </w:numPr>
        <w:spacing w:after="60"/>
      </w:pPr>
      <w:r>
        <w:t xml:space="preserve">Fleiss, J.L., 1971. Measuring nominal scale agreement among many raters. </w:t>
      </w:r>
      <w:r>
        <w:rPr>
          <w:i/>
        </w:rPr>
        <w:t xml:space="preserve">Psychological Bulletin</w:t>
      </w:r>
      <w:r>
        <w:t xml:space="preserve"> 76 (5), 378-382.</w:t>
      </w:r>
    </w:p>
    <w:p>
      <w:pPr>
        <w:numPr>
          <w:ilvl w:val="0"/>
          <w:numId w:val="18"/>
        </w:numPr>
        <w:spacing w:after="60"/>
      </w:pPr>
      <w:r>
        <w:t xml:space="preserve">Gebru, T., Morgenstern, J., Vecchione, B., Vaughan, J.W., Wallach, H., Daumé III, H., Crawford, K., 2021. Datasheets for datasets. </w:t>
      </w:r>
      <w:r>
        <w:rPr>
          <w:i/>
        </w:rPr>
        <w:t xml:space="preserve">Communications of the ACM</w:t>
      </w:r>
      <w:r>
        <w:t xml:space="preserve"> 64 (12), 86-92.</w:t>
      </w:r>
    </w:p>
    <w:p>
      <w:pPr>
        <w:numPr>
          <w:ilvl w:val="0"/>
          <w:numId w:val="19"/>
        </w:numPr>
        <w:spacing w:after="6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numPr>
          <w:ilvl w:val="0"/>
          <w:numId w:val="20"/>
        </w:numPr>
        <w:spacing w:after="60"/>
      </w:pPr>
      <w:r>
        <w:t xml:space="preserve">Gwet, K.L., 2014. </w:t>
      </w:r>
      <w:r>
        <w:rPr>
          <w:i/>
        </w:rPr>
        <w:t xml:space="preserve">Handbook of Inter-Rater Reliability</w:t>
      </w:r>
      <w:r>
        <w:t xml:space="preserve">, fourth ed. Advanced Analytics, Gaithersburg, MD.</w:t>
      </w:r>
    </w:p>
    <w:p>
      <w:pPr>
        <w:numPr>
          <w:ilvl w:val="0"/>
          <w:numId w:val="21"/>
        </w:numPr>
        <w:spacing w:after="60"/>
      </w:pPr>
      <w:r>
        <w:t xml:space="preserve">ISO/IEC, 2023. </w:t>
      </w:r>
      <w:r>
        <w:rPr>
          <w:i/>
        </w:rPr>
        <w:t xml:space="preserve">ISO/IEC 42001:2023 Information technology - Artificial intelligence - Management system</w:t>
      </w:r>
      <w:r>
        <w:t xml:space="preserve">. International Organization for Standardization, Geneva.</w:t>
      </w:r>
    </w:p>
    <w:p>
      <w:pPr>
        <w:numPr>
          <w:ilvl w:val="0"/>
          <w:numId w:val="22"/>
        </w:numPr>
        <w:spacing w:after="60"/>
      </w:pPr>
      <w:r>
        <w:t xml:space="preserve">Jacobs, A.Z., Wallach, H., 2021. Measurement and fairness. In: </w:t>
      </w:r>
      <w:r>
        <w:rPr>
          <w:i/>
        </w:rPr>
        <w:t xml:space="preserve">Proceedings of the 2021 ACM Conference on Fairness, Accountability, and Transparency (FAccT '21)</w:t>
      </w:r>
      <w:r>
        <w:t xml:space="preserve">. ACM, pp. 375-385.</w:t>
      </w:r>
    </w:p>
    <w:p>
      <w:pPr>
        <w:numPr>
          <w:ilvl w:val="0"/>
          <w:numId w:val="23"/>
        </w:numPr>
        <w:spacing w:after="60"/>
      </w:pPr>
      <w:r>
        <w:t xml:space="preserve">Ji, Z., Lee, N., Frieske, R., Yu, T., Su, D., Xu, Y., Ishii, E., Bang, Y.J., Madotto, A., Fung, P., 2023. Survey of hallucination in natural language generation. </w:t>
      </w:r>
      <w:r>
        <w:rPr>
          <w:i/>
        </w:rPr>
        <w:t xml:space="preserve">ACM Computing Surveys</w:t>
      </w:r>
      <w:r>
        <w:t xml:space="preserve"> 55 (12), 1-38.</w:t>
      </w:r>
    </w:p>
    <w:p>
      <w:pPr>
        <w:numPr>
          <w:ilvl w:val="0"/>
          <w:numId w:val="24"/>
        </w:numPr>
        <w:spacing w:after="60"/>
      </w:pPr>
      <w:r>
        <w:t xml:space="preserve">Kaminski, M.E., Urban, J.M., 2021. The right to contest AI. </w:t>
      </w:r>
      <w:r>
        <w:rPr>
          <w:i/>
        </w:rPr>
        <w:t xml:space="preserve">Columbia Law Review</w:t>
      </w:r>
      <w:r>
        <w:t xml:space="preserve"> 121 (7), 1957-2048.</w:t>
      </w:r>
    </w:p>
    <w:p>
      <w:pPr>
        <w:numPr>
          <w:ilvl w:val="0"/>
          <w:numId w:val="25"/>
        </w:numPr>
        <w:spacing w:after="60"/>
      </w:pPr>
      <w:r>
        <w:t xml:space="preserve">Krippendorff, K., 2004. </w:t>
      </w:r>
      <w:r>
        <w:rPr>
          <w:i/>
        </w:rPr>
        <w:t xml:space="preserve">Content Analysis: An Introduction to Its Methodology</w:t>
      </w:r>
      <w:r>
        <w:t xml:space="preserve">, second ed. Sage, Thousand Oaks, CA.</w:t>
      </w:r>
    </w:p>
    <w:p>
      <w:pPr>
        <w:numPr>
          <w:ilvl w:val="0"/>
          <w:numId w:val="26"/>
        </w:numPr>
        <w:spacing w:after="60"/>
      </w:pPr>
      <w:r>
        <w:t xml:space="preserve">Landis, J.R., Koch, G.G., 1977. The measurement of observer agreement for categorical data. </w:t>
      </w:r>
      <w:r>
        <w:rPr>
          <w:i/>
        </w:rPr>
        <w:t xml:space="preserve">Biometrics</w:t>
      </w:r>
      <w:r>
        <w:t xml:space="preserve"> 33 (1), 159-174.</w:t>
      </w:r>
    </w:p>
    <w:p>
      <w:pPr>
        <w:numPr>
          <w:ilvl w:val="0"/>
          <w:numId w:val="27"/>
        </w:numPr>
        <w:spacing w:after="6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numPr>
          <w:ilvl w:val="0"/>
          <w:numId w:val="28"/>
        </w:numPr>
        <w:spacing w:after="6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numPr>
          <w:ilvl w:val="0"/>
          <w:numId w:val="29"/>
        </w:numPr>
        <w:spacing w:after="60"/>
      </w:pPr>
      <w:r>
        <w:t xml:space="preserve">Mittelstadt, B.D., Allo, P., Taddeo, M., Wachter, S., Floridi, L., 2016. The ethics of algorithms: mapping the debate. </w:t>
      </w:r>
      <w:r>
        <w:rPr>
          <w:i/>
        </w:rPr>
        <w:t xml:space="preserve">Big Data &amp; Society</w:t>
      </w:r>
      <w:r>
        <w:t xml:space="preserve"> 3 (2), 1-21.</w:t>
      </w:r>
    </w:p>
    <w:p>
      <w:pPr>
        <w:numPr>
          <w:ilvl w:val="0"/>
          <w:numId w:val="30"/>
        </w:numPr>
        <w:spacing w:after="60"/>
      </w:pPr>
      <w:r>
        <w:t xml:space="preserve">NIST, 2023. </w:t>
      </w:r>
      <w:r>
        <w:rPr>
          <w:i/>
        </w:rPr>
        <w:t xml:space="preserve">Artificial Intelligence Risk Management Framework (AI RMF 1.0)</w:t>
      </w:r>
      <w:r>
        <w:t xml:space="preserve">, NIST AI 100-1. National Institute of Standards and Technology, Gaithersburg, MD.</w:t>
      </w:r>
    </w:p>
    <w:p>
      <w:pPr>
        <w:numPr>
          <w:ilvl w:val="0"/>
          <w:numId w:val="31"/>
        </w:numPr>
        <w:spacing w:after="6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numPr>
          <w:ilvl w:val="0"/>
          <w:numId w:val="32"/>
        </w:numPr>
        <w:spacing w:after="60"/>
      </w:pPr>
      <w:r>
        <w:t xml:space="preserve">Ransohoff, D.F., Feinstein, A.R., 1978. Problems of spectrum and bias in evaluating the efficacy of diagnostic tests. </w:t>
      </w:r>
      <w:r>
        <w:rPr>
          <w:i/>
        </w:rPr>
        <w:t xml:space="preserve">New England Journal of Medicine</w:t>
      </w:r>
      <w:r>
        <w:t xml:space="preserve"> 299 (17), 926-930.</w:t>
      </w:r>
    </w:p>
    <w:p>
      <w:pPr>
        <w:numPr>
          <w:ilvl w:val="0"/>
          <w:numId w:val="33"/>
        </w:numPr>
        <w:spacing w:after="6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numPr>
          <w:ilvl w:val="0"/>
          <w:numId w:val="34"/>
        </w:numPr>
        <w:spacing w:after="60"/>
      </w:pPr>
      <w:r>
        <w:t xml:space="preserve">Selbst, A.D., Barocas, S., 2018. The intuitive appeal of explainable machines. </w:t>
      </w:r>
      <w:r>
        <w:rPr>
          <w:i/>
        </w:rPr>
        <w:t xml:space="preserve">Fordham Law Review</w:t>
      </w:r>
      <w:r>
        <w:t xml:space="preserve"> 87 (3), 1085-1139.</w:t>
      </w:r>
    </w:p>
    <w:p>
      <w:pPr>
        <w:numPr>
          <w:ilvl w:val="0"/>
          <w:numId w:val="35"/>
        </w:numPr>
        <w:spacing w:after="6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numPr>
          <w:ilvl w:val="0"/>
          <w:numId w:val="36"/>
        </w:numPr>
        <w:spacing w:after="6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numPr>
          <w:ilvl w:val="0"/>
          <w:numId w:val="37"/>
        </w:numPr>
        <w:spacing w:after="6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41 nightly runs, mean pairwise agreement on the determination was 87.2 percent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Appendix B uses the 113 recorded five-condition determinations for descriptive condition-level reporting; the reliability coefficients in Section 6.5 use the deduplicated 104-label set specified by the reliability analysis rule.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[35],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[3, 4]:</w:t>
      </w:r>
    </w:p>
    <w:p>
      <w:pPr>
        <w:spacing w:after="140"/>
      </w:pPr>
      <w:r>
        <w:rPr>
          <w:rFonts w:ascii="Consolas" w:hAnsi="Consolas"/>
        </w:rPr>
        <w:t xml:space="preserve">`</w:t>
      </w:r>
      <w:r>
        <w:t xml:space="preserve"> correct ~ 1 + (1 | reviewer) + (1 | record) </w:t>
      </w: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t xml:space="preserve">Does modelling item difficulty materially alter the panel accuracy estimate? No. The intercept places an average reviewer on an average record at 89.2 percent, and the participant-level mean of 83.9 percent reported in Section 6.1 sits inside the reviewer-level spread the model estimates. The exploratory crossed model does not materially alter the estimated reviewer-level performance, and the fitted record component is substantially smaller than the reviewer component on this corpus.</w:t>
      </w:r>
    </w:p>
    <w:p>
      <w:pPr>
        <w:spacing w:after="140"/>
      </w:pPr>
      <w:r>
        <w:t xml:space="preserve">How much of the modelled random-effect variation is associated with reviewers rather than records? The estimated reviewer component is substantially larger than the record component. On the model's latent logistic scale, the estimated reviewer-level intraclass correlation is 0.488, indicating substantially greater between-reviewer than between-record variation in this dataset. The record-level intraclass correlation is 0.0000.</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estimated at the boundary and must not be interpreted as zero.</w:t>
      </w:r>
    </w:p>
    <w:p>
      <w:pPr>
        <w:spacing w:after="140"/>
      </w:pPr>
      <w:r>
        <w:t xml:space="preserve">The record SD is estimated at 0.011, which is on the boundary. That is not evidence that record difficulty does not exist. At sixteen reviewers by twenty-four records the record component is weakly identified. The profile-likelihood interval, 0.001 to 0.556, is the informative quantity and it does not exclude a moderate record effect.</w:t>
      </w:r>
    </w:p>
    <w:p>
      <w:pPr>
        <w:spacing w:after="140"/>
      </w:pPr>
      <w:r>
        <w:t xml:space="preserve">The defensible statement is therefore narrow: on this corpus, the estimated item component is small relative to reviewer variation, but it is weakly identified and the profile-likelihood interval permits a materially larger record effect.</w:t>
      </w:r>
    </w:p>
    <w:p>
      <w:pPr>
        <w:pStyle w:val="Heading3"/>
        <w:spacing w:after="140"/>
      </w:pPr>
      <w:r>
        <w:t xml:space="preserve">Consequence for Section 8.3</w:t>
      </w:r>
    </w:p>
    <w:p>
      <w:pPr>
        <w:spacing w:after="140"/>
      </w:pPr>
      <w:r>
        <w:t xml:space="preserve">Section 8.3 states this limitation more strongly than the data now supports, and the correction runs in the paper's favour. That section warns that the participant-level interval does not account for the possibility that this draw of 24 records was easier or harder than another draw would be. That remains formally true. The estimated reviewer variance is substantially larger than the estimated record variance on this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t xml:space="preserve">The grounded and unsupported classification of each record is deliberately not printed beside these rates. Publishing accuracy next to the class would publish the reference classification, which is available from the authors on request rather than printed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generated from the per-read analysis dataset using the archived analysis implementation, which returns aggregate results without exposing individual reviewer responses.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